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5200" w:hRule="exact"/>
        </w:trPr>
        <w:tc>
          <w:tcPr>
            <w:shd w:fill="1A2330" w:val="clear"/>
            <w:tcMar>
              <w:left w:type="dxa" w:w="600"/>
              <w:right w:type="dxa" w:w="600"/>
            </w:tcMar>
            <w:vAlign w:val="top"/>
          </w:tcPr>
          <w:p>
            <w:pPr>
              <w:spacing w:before="4229"/>
            </w:pPr>
          </w:p>
          <w:p>
            <w:pPr>
              <w:spacing w:after="80" w:line="920" w:lineRule="atLeast"/>
            </w:pPr>
            <w:r>
              <w:rPr>
                <w:rFonts w:ascii="Calibri" w:eastAsia="SimHei"/>
                <w:b/>
                <w:bCs/>
                <w:color w:val="FFFFFF"/>
                <w:sz w:val="80"/>
                <w:szCs w:val="80"/>
              </w:rPr>
              <w:t xml:space="preserve">MCLUB June 20</w:t>
            </w:r>
          </w:p>
          <w:p>
            <w:pPr>
              <w:spacing w:after="80" w:line="920" w:lineRule="atLeast"/>
            </w:pPr>
            <w:r>
              <w:rPr>
                <w:rFonts w:ascii="Calibri" w:eastAsia="SimHei"/>
                <w:b/>
                <w:bCs/>
                <w:color w:val="FFFFFF"/>
                <w:sz w:val="80"/>
                <w:szCs w:val="80"/>
              </w:rPr>
              <w:t xml:space="preserve">26 Action Plan</w:t>
            </w:r>
          </w:p>
          <w:p>
            <w:pPr>
              <w:spacing w:before="1039" w:line="400" w:lineRule="atLeast"/>
            </w:pPr>
            <w:r>
              <w:rPr>
                <w:rFonts w:ascii="Calibri" w:eastAsia="Microsoft YaHei"/>
                <w:color w:val="B0B8C0"/>
                <w:sz w:val="24"/>
                <w:szCs w:val="24"/>
              </w:rPr>
              <w:t xml:space="preserve">Monthly Execution Roadmap for CRM, Video Marketing, Broker Training &amp; Commission Framework</w:t>
            </w:r>
          </w:p>
          <w:p>
            <w:pPr>
              <w:pBdr>
                <w:bottom w:val="single" w:color="D4875A" w:sz="6" w:space="20"/>
              </w:pBdr>
              <w:spacing w:after="200" w:before="300"/>
              <w:ind w:left="400" w:right="400"/>
            </w:pP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1638" w:hRule="exact"/>
        </w:trPr>
        <w:tc>
          <w:tcPr>
            <w:tcMar>
              <w:left w:type="dxa" w:w="600"/>
              <w:right w:type="dxa" w:w="600"/>
            </w:tcMar>
            <w:vAlign w:val="top"/>
          </w:tcPr>
          <w:p>
            <w:pPr>
              <w:spacing w:before="600"/>
            </w:pPr>
          </w:p>
          <w:p>
            <w:pPr>
              <w:spacing w:after="80" w:line="360"/>
            </w:pPr>
            <w:r>
              <w:rPr>
                <w:rFonts w:ascii="Calibri" w:eastAsia="Microsoft YaHei"/>
                <w:color w:val="90989F"/>
                <w:sz w:val="20"/>
                <w:szCs w:val="20"/>
              </w:rPr>
              <w:t xml:space="preserve">Organization: MCLUB — Park Zeman Chase Family Office</w:t>
            </w:r>
          </w:p>
          <w:p>
            <w:pPr>
              <w:spacing w:after="80" w:line="360"/>
            </w:pPr>
            <w:r>
              <w:rPr>
                <w:rFonts w:ascii="Calibri" w:eastAsia="Microsoft YaHei"/>
                <w:color w:val="90989F"/>
                <w:sz w:val="20"/>
                <w:szCs w:val="20"/>
              </w:rPr>
              <w:t xml:space="preserve">Period: June 2026 (Week 1 – Week 4)</w:t>
            </w:r>
          </w:p>
          <w:p>
            <w:pPr>
              <w:spacing w:after="80" w:line="360"/>
            </w:pPr>
            <w:r>
              <w:rPr>
                <w:rFonts w:ascii="Calibri" w:eastAsia="Microsoft YaHei"/>
                <w:color w:val="90989F"/>
                <w:sz w:val="20"/>
                <w:szCs w:val="20"/>
              </w:rPr>
              <w:t xml:space="preserve">Version: 1.0</w:t>
            </w:r>
          </w:p>
          <w:p>
            <w:pPr>
              <w:spacing w:after="80" w:line="360"/>
            </w:pPr>
            <w:r>
              <w:rPr>
                <w:rFonts w:ascii="Calibri" w:eastAsia="Microsoft YaHei"/>
                <w:color w:val="90989F"/>
                <w:sz w:val="20"/>
                <w:szCs w:val="20"/>
              </w:rPr>
              <w:t xml:space="preserve">Date: June 2, 2026</w:t>
            </w:r>
          </w:p>
          <w:p>
            <w:pPr>
              <w:spacing w:before="400"/>
            </w:pPr>
            <w:r>
              <w:rPr>
                <w:rFonts w:ascii="Calibri" w:eastAsia="Microsoft YaHei"/>
                <w:color w:val="687078"/>
                <w:sz w:val="18"/>
                <w:szCs w:val="18"/>
              </w:rPr>
              <w:t xml:space="preserve">MCLUB · Park Zeman Chase Family Office</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Task 1: Beta CRM Mobile System</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Objective &amp; Scope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Weekly Execution Plan</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Week 1 (June 2–6): Requirements &amp; Design Finalization</w:t>
            </w:r>
            <w:r>
              <w:tab/>
            </w:r>
            <w:r>
              <w:fldChar w:fldCharType="begin"/>
            </w:r>
            <w:r>
              <w:instrText xml:space="preserve"> PAGEREF _Toc100004 \h </w:instrText>
            </w:r>
            <w:r>
              <w:fldChar w:fldCharType="separate"/>
            </w:r>
            <w:r>
              <w:t>2</w:t>
            </w:r>
            <w:r>
              <w:fldChar w:fldCharType="end"/>
            </w:r>
          </w:hyperlink>
        </w:p>
        <w:p>
          <w:pPr>
            <w:pStyle w:val="12"/>
            <w:ind w:left="720"/>
            <w:tabs>
              <w:tab w:val="right" w:leader="dot" w:pos="9026"/>
            </w:tabs>
            <w:spacing w:before="120" w:after="60"/>
          </w:pPr>
          <w:hyperlink w:anchor="_Toc100005" w:history="1">
            <w:r>
              <w:rPr>
                <w:rStyle w:val="Hyperlink"/>
              </w:rPr>
              <w:t>Week 2 (June 9–13): Core Development Sprint</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Week 3 (June 16–20): Advanced Features &amp; Integration</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Week 4 (June 23–27): Beta Testing &amp; Onboarding</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1.3 Key Milestones &amp; Deliverables</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Task 2: Short Video Content Schedule</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2.1 Strategy Overview</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2.2 Platform Strategy</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2.3 June Content Calendar</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Week 1 (June 2–6): Brand Introduction &amp; Core Business</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Week 2 (June 9–13): Investment &amp; Fund Products</w:t>
            </w:r>
            <w:r>
              <w:tab/>
            </w:r>
            <w:r>
              <w:fldChar w:fldCharType="begin"/>
            </w:r>
            <w:r>
              <w:instrText xml:space="preserve"> PAGEREF _Toc100014 \h </w:instrText>
            </w:r>
            <w:r>
              <w:fldChar w:fldCharType="separate"/>
            </w:r>
            <w:r>
              <w:t>7</w:t>
            </w:r>
            <w:r>
              <w:fldChar w:fldCharType="end"/>
            </w:r>
          </w:hyperlink>
        </w:p>
        <w:p>
          <w:pPr>
            <w:pStyle w:val="12"/>
            <w:ind w:left="720"/>
            <w:tabs>
              <w:tab w:val="right" w:leader="dot" w:pos="9026"/>
            </w:tabs>
            <w:spacing w:before="120" w:after="60"/>
          </w:pPr>
          <w:hyperlink w:anchor="_Toc100015" w:history="1">
            <w:r>
              <w:rPr>
                <w:rStyle w:val="Hyperlink"/>
              </w:rPr>
              <w:t>Week 3 (June 16–20): Insurance &amp; Protection Products</w:t>
            </w:r>
            <w:r>
              <w:tab/>
            </w:r>
            <w:r>
              <w:fldChar w:fldCharType="begin"/>
            </w:r>
            <w:r>
              <w:instrText xml:space="preserve"> PAGEREF _Toc100015 \h </w:instrText>
            </w:r>
            <w:r>
              <w:fldChar w:fldCharType="separate"/>
            </w:r>
            <w:r>
              <w:t>8</w:t>
            </w:r>
            <w:r>
              <w:fldChar w:fldCharType="end"/>
            </w:r>
          </w:hyperlink>
        </w:p>
        <w:p>
          <w:pPr>
            <w:pStyle w:val="12"/>
            <w:ind w:left="720"/>
            <w:tabs>
              <w:tab w:val="right" w:leader="dot" w:pos="9026"/>
            </w:tabs>
            <w:spacing w:before="120" w:after="60"/>
          </w:pPr>
          <w:hyperlink w:anchor="_Toc100016" w:history="1">
            <w:r>
              <w:rPr>
                <w:rStyle w:val="Hyperlink"/>
              </w:rPr>
              <w:t>Week 4 (June 23–27): Citizenship, Property &amp; Holistic Planning</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2.4 Production &amp; Coordination</w:t>
            </w:r>
            <w:r>
              <w:tab/>
            </w:r>
            <w:r>
              <w:fldChar w:fldCharType="begin"/>
            </w:r>
            <w:r>
              <w:instrText xml:space="preserve"> PAGEREF _Toc100017 \h </w:instrText>
            </w:r>
            <w:r>
              <w:fldChar w:fldCharType="separate"/>
            </w:r>
            <w:r>
              <w:t>10</w:t>
            </w:r>
            <w:r>
              <w:fldChar w:fldCharType="end"/>
            </w:r>
          </w:hyperlink>
        </w:p>
        <w:p>
          <w:pPr>
            <w:pStyle w:val="9"/>
            <w:tabs>
              <w:tab w:val="right" w:leader="dot" w:pos="9026"/>
            </w:tabs>
            <w:spacing w:before="120" w:after="60"/>
          </w:pPr>
          <w:hyperlink w:anchor="_Toc100018" w:history="1">
            <w:r>
              <w:rPr>
                <w:rStyle w:val="Hyperlink"/>
              </w:rPr>
              <w:t>Task 3: Internal Training Events with Insurance Brokers</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3.1 Training Funnel Overview</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3.2 Session 1: Leadership Introduction</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3.3 Session 2: Team Leader Engagement</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3.4 Session 3: Client Seminar</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3.5 Funnel Timeline &amp; Dependencies</w:t>
            </w:r>
            <w:r>
              <w:tab/>
            </w:r>
            <w:r>
              <w:fldChar w:fldCharType="begin"/>
            </w:r>
            <w:r>
              <w:instrText xml:space="preserve"> PAGEREF _Toc100023 \h </w:instrText>
            </w:r>
            <w:r>
              <w:fldChar w:fldCharType="separate"/>
            </w:r>
            <w:r>
              <w:t>11</w:t>
            </w:r>
            <w:r>
              <w:fldChar w:fldCharType="end"/>
            </w:r>
          </w:hyperlink>
        </w:p>
        <w:p>
          <w:pPr>
            <w:pStyle w:val="9"/>
            <w:tabs>
              <w:tab w:val="right" w:leader="dot" w:pos="9026"/>
            </w:tabs>
            <w:spacing w:before="120" w:after="60"/>
          </w:pPr>
          <w:hyperlink w:anchor="_Toc100024" w:history="1">
            <w:r>
              <w:rPr>
                <w:rStyle w:val="Hyperlink"/>
              </w:rPr>
              <w:t>Task 4: Commission Rate Confirmation</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4.1 Importance &amp; Urgency</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4.2 Product Commission Framework</w:t>
            </w:r>
            <w:r>
              <w:tab/>
            </w:r>
            <w:r>
              <w:fldChar w:fldCharType="begin"/>
            </w:r>
            <w:r>
              <w:instrText xml:space="preserve"> PAGEREF _Toc100026 \h </w:instrText>
            </w:r>
            <w:r>
              <w:fldChar w:fldCharType="separate"/>
            </w:r>
            <w:r>
              <w:t>12</w:t>
            </w:r>
            <w:r>
              <w:fldChar w:fldCharType="end"/>
            </w:r>
          </w:hyperlink>
        </w:p>
        <w:p>
          <w:pPr>
            <w:pStyle w:val="11"/>
            <w:ind w:left="360"/>
            <w:tabs>
              <w:tab w:val="right" w:leader="dot" w:pos="9026"/>
            </w:tabs>
            <w:spacing w:before="120" w:after="60"/>
          </w:pPr>
          <w:hyperlink w:anchor="_Toc100027" w:history="1">
            <w:r>
              <w:rPr>
                <w:rStyle w:val="Hyperlink"/>
              </w:rPr>
              <w:t>4.3 Confirmation Process</w:t>
            </w:r>
            <w:r>
              <w:tab/>
            </w:r>
            <w:r>
              <w:fldChar w:fldCharType="begin"/>
            </w:r>
            <w:r>
              <w:instrText xml:space="preserve"> PAGEREF _Toc100027 \h </w:instrText>
            </w:r>
            <w:r>
              <w:fldChar w:fldCharType="separate"/>
            </w:r>
            <w:r>
              <w:t>12</w:t>
            </w:r>
            <w:r>
              <w:fldChar w:fldCharType="end"/>
            </w:r>
          </w:hyperlink>
        </w:p>
        <w:p>
          <w:pPr>
            <w:pStyle w:val="12"/>
            <w:ind w:left="720"/>
            <w:tabs>
              <w:tab w:val="right" w:leader="dot" w:pos="9026"/>
            </w:tabs>
            <w:spacing w:before="120" w:after="60"/>
          </w:pPr>
          <w:hyperlink w:anchor="_Toc100028" w:history="1">
            <w:r>
              <w:rPr>
                <w:rStyle w:val="Hyperlink"/>
              </w:rPr>
              <w:t>Week 1 (June 2–6): Rate Drafting</w:t>
            </w:r>
            <w:r>
              <w:tab/>
            </w:r>
            <w:r>
              <w:fldChar w:fldCharType="begin"/>
            </w:r>
            <w:r>
              <w:instrText xml:space="preserve"> PAGEREF _Toc100028 \h </w:instrText>
            </w:r>
            <w:r>
              <w:fldChar w:fldCharType="separate"/>
            </w:r>
            <w:r>
              <w:t>12</w:t>
            </w:r>
            <w:r>
              <w:fldChar w:fldCharType="end"/>
            </w:r>
          </w:hyperlink>
        </w:p>
        <w:p>
          <w:pPr>
            <w:pStyle w:val="12"/>
            <w:ind w:left="720"/>
            <w:tabs>
              <w:tab w:val="right" w:leader="dot" w:pos="9026"/>
            </w:tabs>
            <w:spacing w:before="120" w:after="60"/>
          </w:pPr>
          <w:hyperlink w:anchor="_Toc100029" w:history="1">
            <w:r>
              <w:rPr>
                <w:rStyle w:val="Hyperlink"/>
              </w:rPr>
              <w:t>Week 2 (June 9–13): Executive Review &amp; Finalization</w:t>
            </w:r>
            <w:r>
              <w:tab/>
            </w:r>
            <w:r>
              <w:fldChar w:fldCharType="begin"/>
            </w:r>
            <w:r>
              <w:instrText xml:space="preserve"> PAGEREF _Toc100029 \h </w:instrText>
            </w:r>
            <w:r>
              <w:fldChar w:fldCharType="separate"/>
            </w:r>
            <w:r>
              <w:t>13</w:t>
            </w:r>
            <w:r>
              <w:fldChar w:fldCharType="end"/>
            </w:r>
          </w:hyperlink>
        </w:p>
        <w:p>
          <w:pPr>
            <w:pStyle w:val="11"/>
            <w:ind w:left="360"/>
            <w:tabs>
              <w:tab w:val="right" w:leader="dot" w:pos="9026"/>
            </w:tabs>
            <w:spacing w:before="120" w:after="60"/>
          </w:pPr>
          <w:hyperlink w:anchor="_Toc100030" w:history="1">
            <w:r>
              <w:rPr>
                <w:rStyle w:val="Hyperlink"/>
              </w:rPr>
              <w:t>4.4 Commission Rate Principles</w:t>
            </w:r>
            <w:r>
              <w:tab/>
            </w:r>
            <w:r>
              <w:fldChar w:fldCharType="begin"/>
            </w:r>
            <w:r>
              <w:instrText xml:space="preserve"> PAGEREF _Toc100030 \h </w:instrText>
            </w:r>
            <w:r>
              <w:fldChar w:fldCharType="separate"/>
            </w:r>
            <w:r>
              <w:t>14</w:t>
            </w:r>
            <w:r>
              <w:fldChar w:fldCharType="end"/>
            </w:r>
          </w:hyperlink>
        </w:p>
        <w:p>
          <w:pPr>
            <w:pStyle w:val="9"/>
            <w:tabs>
              <w:tab w:val="right" w:leader="dot" w:pos="9026"/>
            </w:tabs>
            <w:spacing w:before="120" w:after="60"/>
          </w:pPr>
          <w:hyperlink w:anchor="_Toc100031" w:history="1">
            <w:r>
              <w:rPr>
                <w:rStyle w:val="Hyperlink"/>
              </w:rPr>
              <w:t>Consolidated Monthly Timeline</w:t>
            </w:r>
            <w:r>
              <w:tab/>
            </w:r>
            <w:r>
              <w:fldChar w:fldCharType="begin"/>
            </w:r>
            <w:r>
              <w:instrText xml:space="preserve"> PAGEREF _Toc100031 \h </w:instrText>
            </w:r>
            <w:r>
              <w:fldChar w:fldCharType="separate"/>
            </w:r>
            <w:r>
              <w:t>14</w:t>
            </w:r>
            <w:r>
              <w:fldChar w:fldCharType="end"/>
            </w:r>
          </w:hyperlink>
        </w:p>
        <w:p>
          <w:pPr>
            <w:pStyle w:val="11"/>
            <w:ind w:left="360"/>
            <w:tabs>
              <w:tab w:val="right" w:leader="dot" w:pos="9026"/>
            </w:tabs>
            <w:spacing w:before="120" w:after="60"/>
          </w:pPr>
          <w:hyperlink w:anchor="_Toc100032" w:history="1">
            <w:r>
              <w:rPr>
                <w:rStyle w:val="Hyperlink"/>
              </w:rPr>
              <w:t>5.1 Week-by-Week Master Schedule</w:t>
            </w:r>
            <w:r>
              <w:tab/>
            </w:r>
            <w:r>
              <w:fldChar w:fldCharType="begin"/>
            </w:r>
            <w:r>
              <w:instrText xml:space="preserve"> PAGEREF _Toc100032 \h </w:instrText>
            </w:r>
            <w:r>
              <w:fldChar w:fldCharType="separate"/>
            </w:r>
            <w:r>
              <w:t>14</w:t>
            </w:r>
            <w:r>
              <w:fldChar w:fldCharType="end"/>
            </w:r>
          </w:hyperlink>
        </w:p>
        <w:p>
          <w:pPr>
            <w:pStyle w:val="11"/>
            <w:ind w:left="360"/>
            <w:tabs>
              <w:tab w:val="right" w:leader="dot" w:pos="9026"/>
            </w:tabs>
            <w:spacing w:before="120" w:after="60"/>
          </w:pPr>
          <w:hyperlink w:anchor="_Toc100033" w:history="1">
            <w:r>
              <w:rPr>
                <w:rStyle w:val="Hyperlink"/>
              </w:rPr>
              <w:t>5.2 Critical Path &amp; Dependencies</w:t>
            </w:r>
            <w:r>
              <w:tab/>
            </w:r>
            <w:r>
              <w:fldChar w:fldCharType="begin"/>
            </w:r>
            <w:r>
              <w:instrText xml:space="preserve"> PAGEREF _Toc100033 \h </w:instrText>
            </w:r>
            <w:r>
              <w:fldChar w:fldCharType="separate"/>
            </w:r>
            <w:r>
              <w:t>14</w:t>
            </w:r>
            <w:r>
              <w:fldChar w:fldCharType="end"/>
            </w:r>
          </w:hyperlink>
        </w:p>
        <w:p>
          <w:pPr>
            <w:pStyle w:val="9"/>
            <w:tabs>
              <w:tab w:val="right" w:leader="dot" w:pos="9026"/>
            </w:tabs>
            <w:spacing w:before="120" w:after="60"/>
          </w:pPr>
          <w:hyperlink w:anchor="_Toc100034" w:history="1">
            <w:r>
              <w:rPr>
                <w:rStyle w:val="Hyperlink"/>
              </w:rPr>
              <w:t>Risk Analysis &amp; Mitigation</w:t>
            </w:r>
            <w:r>
              <w:tab/>
            </w:r>
            <w:r>
              <w:fldChar w:fldCharType="begin"/>
            </w:r>
            <w:r>
              <w:instrText xml:space="preserve"> PAGEREF _Toc100034 \h </w:instrText>
            </w:r>
            <w:r>
              <w:fldChar w:fldCharType="separate"/>
            </w:r>
            <w:r>
              <w:t>15</w:t>
            </w:r>
            <w:r>
              <w:fldChar w:fldCharType="end"/>
            </w:r>
          </w:hyperlink>
        </w:p>
        <w:p>
          <w:pPr>
            <w:pStyle w:val="9"/>
            <w:tabs>
              <w:tab w:val="right" w:leader="dot" w:pos="9026"/>
            </w:tabs>
            <w:spacing w:before="120" w:after="60"/>
          </w:pPr>
          <w:hyperlink w:anchor="_Toc100035" w:history="1">
            <w:r>
              <w:rPr>
                <w:rStyle w:val="Hyperlink"/>
              </w:rPr>
              <w:t>Success Metrics &amp; KPIs</w:t>
            </w:r>
            <w:r>
              <w:tab/>
            </w:r>
            <w:r>
              <w:fldChar w:fldCharType="begin"/>
            </w:r>
            <w:r>
              <w:instrText xml:space="preserve"> PAGEREF _Toc100035 \h </w:instrText>
            </w:r>
            <w:r>
              <w:fldChar w:fldCharType="separate"/>
            </w:r>
            <w:r>
              <w:t>15</w:t>
            </w:r>
            <w:r>
              <w:fldChar w:fldCharType="end"/>
            </w:r>
          </w:hyperlink>
        </w:p>
        <w:p>
          <w:pPr>
            <w:pStyle w:val="9"/>
            <w:tabs>
              <w:tab w:val="right" w:leader="dot" w:pos="9026"/>
            </w:tabs>
            <w:spacing w:before="120" w:after="60"/>
          </w:pPr>
          <w:hyperlink w:anchor="_Toc100036" w:history="1">
            <w:r>
              <w:rPr>
                <w:rStyle w:val="Hyperlink"/>
              </w:rPr>
              <w:t>Next Steps &amp; Recommendations</w:t>
            </w:r>
            <w:r>
              <w:tab/>
            </w:r>
            <w:r>
              <w:fldChar w:fldCharType="begin"/>
            </w:r>
            <w:r>
              <w:instrText xml:space="preserve"> PAGEREF _Toc100036 \h </w:instrText>
            </w:r>
            <w:r>
              <w:fldChar w:fldCharType="separate"/>
            </w:r>
            <w:r>
              <w:t>15</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1A2330"/>
          <w:sz w:val="32"/>
          <w:szCs w:val="32"/>
        </w:rPr>
        <w:t xml:space="preserve">Executive Summary</w:t>
      </w:r>
      <w:bookmarkEnd w:id="100000"/>
    </w:p>
    <w:p>
      <w:pPr>
        <w:spacing w:after="80" w:line="312"/>
        <w:ind w:firstLine="480"/>
        <w:jc w:val="both"/>
      </w:pPr>
      <w:r>
        <w:rPr>
          <w:rFonts w:ascii="Calibri" w:eastAsia="Microsoft YaHei"/>
          <w:color w:val="182030"/>
          <w:sz w:val="24"/>
          <w:szCs w:val="24"/>
        </w:rPr>
        <w:t xml:space="preserve">This action plan outlines the strategic initiatives and execution roadmap for MCLUB (Park Zeman Chase Family Office) during June 2026. The plan encompasses four critical workstreams that collectively aim to strengthen MCLUB’s operational infrastructure, expand market reach through digital content, build productive partnerships with insurance broker networks, and establish a transparent commission framework that incentivizes all distribution channels. Each workstream is designed with specific milestones, dependencies, and deliverables that align with MCLUB’s broader mission of delivering premium wealth management and family office services to high-net-worth clients across Asia.</w:t>
      </w:r>
    </w:p>
    <w:p>
      <w:pPr>
        <w:spacing w:after="80" w:line="312"/>
        <w:ind w:firstLine="480"/>
        <w:jc w:val="both"/>
      </w:pPr>
      <w:r>
        <w:rPr>
          <w:rFonts w:ascii="Calibri" w:eastAsia="Microsoft YaHei"/>
          <w:color w:val="182030"/>
          <w:sz w:val="24"/>
          <w:szCs w:val="24"/>
        </w:rPr>
        <w:t xml:space="preserve">The four core initiatives are: (1) the development and beta launch of a CRM mobile system tailored for distributors, internal staff, and agents; (2) a structured short video content schedule across five major platforms—YouTube, B站, 抖音, 知乎, and 小红书—connecting with different product and service partners within the MCLUB ecosystem; (3) a three-session internal training funnel with insurance brokers, progressing from leadership introduction to team leader engagement and culminating in client-facing seminars; and (4) the confirmation and documentation of commission rates across all ten MCLUB products for self, agent, and distributor channels.</w:t>
      </w:r>
    </w:p>
    <w:p>
      <w:pPr>
        <w:spacing w:after="80" w:line="312"/>
        <w:ind w:firstLine="480"/>
        <w:jc w:val="both"/>
      </w:pPr>
      <w:r>
        <w:rPr>
          <w:rFonts w:ascii="Calibri" w:eastAsia="Microsoft YaHei"/>
          <w:color w:val="182030"/>
          <w:sz w:val="24"/>
          <w:szCs w:val="24"/>
        </w:rPr>
        <w:t xml:space="preserve">The plan follows a phased approach across four weeks, with carefully sequenced dependencies. For instance, commission rate confirmation must precede the second broker training session, as team leaders need concrete financial incentives to present to their clients. Similarly, the CRM system beta must be operational before agents can be onboarded for field testing. This document serves as both a strategic guide and an operational checklist, ensuring that all stakeholders understand their roles, deadlines, and interdependencies throughout the month.</w:t>
      </w:r>
    </w:p>
    <w:p>
      <w:pPr>
        <w:pStyle w:val="Heading1"/>
        <w:spacing w:after="160" w:before="360" w:line="312"/>
      </w:pPr>
      <w:bookmarkStart w:id="100001" w:name="_Toc100001"/>
      <w:r>
        <w:rPr>
          <w:rFonts w:ascii="Calibri" w:eastAsia="SimHei"/>
          <w:b/>
          <w:bCs/>
          <w:color w:val="1A2330"/>
          <w:sz w:val="32"/>
          <w:szCs w:val="32"/>
        </w:rPr>
        <w:t xml:space="preserve">Task 1: Beta CRM Mobile System</w:t>
      </w:r>
      <w:bookmarkEnd w:id="100001"/>
    </w:p>
    <w:p>
      <w:pPr>
        <w:pStyle w:val="Heading2"/>
        <w:spacing w:after="120" w:before="240" w:line="312"/>
      </w:pPr>
      <w:bookmarkStart w:id="100002" w:name="_Toc100002"/>
      <w:r>
        <w:rPr>
          <w:rFonts w:ascii="Calibri" w:eastAsia="SimHei"/>
          <w:b/>
          <w:bCs/>
          <w:color w:val="1A2330"/>
          <w:sz w:val="28"/>
          <w:szCs w:val="28"/>
        </w:rPr>
        <w:t xml:space="preserve">1.1 Objective &amp; Scope</w:t>
      </w:r>
      <w:bookmarkEnd w:id="100002"/>
    </w:p>
    <w:p>
      <w:pPr>
        <w:spacing w:after="80" w:line="312"/>
        <w:ind w:firstLine="480"/>
        <w:jc w:val="both"/>
      </w:pPr>
      <w:r>
        <w:rPr>
          <w:rFonts w:ascii="Calibri" w:eastAsia="Microsoft YaHei"/>
          <w:color w:val="182030"/>
          <w:sz w:val="24"/>
          <w:szCs w:val="24"/>
        </w:rPr>
        <w:t xml:space="preserve">The primary objective of this initiative is to deliver a functional beta version of a mobile CRM system that serves three distinct user groups: distributors who sell MCLUB products in the field, internal staff who manage client relationships and track performance metrics, and agents who operate as independent intermediaries connecting MCLUB with potential clients. The CRM system will serve as the digital backbone of MCLUB’s distribution network, enabling real-time client data access, product information retrieval, commission tracking, and performance analytics from any mobile device.</w:t>
      </w:r>
    </w:p>
    <w:p>
      <w:pPr>
        <w:spacing w:after="80" w:line="312"/>
        <w:ind w:firstLine="480"/>
        <w:jc w:val="both"/>
      </w:pPr>
      <w:r>
        <w:rPr>
          <w:rFonts w:ascii="Calibri" w:eastAsia="Microsoft YaHei"/>
          <w:color w:val="182030"/>
          <w:sz w:val="24"/>
          <w:szCs w:val="24"/>
        </w:rPr>
        <w:t xml:space="preserve">The scope of the beta release includes core modules for client management (contact details, interaction history, KYC documents), product catalog access with real-time pricing and availability, a commission dashboard showing earned and pending commissions by product, a lead management pipeline with status tracking, and basic reporting capabilities for personal and team performance. The beta will not include advanced features such as AI-driven lead scoring, automated compliance checking, or integration with external financial platforms—these are planned for Phase 2 in subsequent months.</w:t>
      </w:r>
    </w:p>
    <w:p>
      <w:pPr>
        <w:pStyle w:val="Heading2"/>
        <w:spacing w:after="120" w:before="240" w:line="312"/>
      </w:pPr>
      <w:bookmarkStart w:id="100003" w:name="_Toc100003"/>
      <w:r>
        <w:rPr>
          <w:rFonts w:ascii="Calibri" w:eastAsia="SimHei"/>
          <w:b/>
          <w:bCs/>
          <w:color w:val="1A2330"/>
          <w:sz w:val="28"/>
          <w:szCs w:val="28"/>
        </w:rPr>
        <w:t xml:space="preserve">1.2 Weekly Execution Plan</w:t>
      </w:r>
      <w:bookmarkEnd w:id="100003"/>
    </w:p>
    <w:p>
      <w:pPr>
        <w:pStyle w:val="Heading3"/>
        <w:spacing w:after="100" w:before="200" w:line="312"/>
      </w:pPr>
      <w:bookmarkStart w:id="100004" w:name="_Toc100004"/>
      <w:r>
        <w:rPr>
          <w:rFonts w:ascii="Calibri" w:eastAsia="SimHei"/>
          <w:b/>
          <w:bCs/>
          <w:color w:val="1A2330"/>
          <w:sz w:val="24"/>
          <w:szCs w:val="24"/>
        </w:rPr>
        <w:t xml:space="preserve">Week 1 (June 2–6): Requirements &amp; Design Finalization</w:t>
      </w:r>
      <w:bookmarkEnd w:id="100004"/>
    </w:p>
    <w:p>
      <w:pPr>
        <w:spacing w:after="80" w:line="312"/>
        <w:ind w:firstLine="480"/>
        <w:jc w:val="both"/>
      </w:pPr>
      <w:r>
        <w:rPr>
          <w:rFonts w:ascii="Calibri" w:eastAsia="Microsoft YaHei"/>
          <w:color w:val="182030"/>
          <w:sz w:val="24"/>
          <w:szCs w:val="24"/>
        </w:rPr>
        <w:t xml:space="preserve">The first week focuses on consolidating all requirements from the three user groups and finalizing the technical design. This includes conducting focused requirement workshops with representative distributors, internal staff, and agents to validate feature priorities and workflow assumptions. The UX/UI design team will produce high-fidelity wireframes for all primary screens, and the technical architecture will be reviewed and approved. Key deliverables for this week include a signed-off requirements document, approved wireframes for at least 80% of screens, and a confirmed technology stack and development environment setup.</w:t>
      </w:r>
    </w:p>
    <w:p>
      <w:pPr>
        <w:pStyle w:val="ListParagraph"/>
        <w:numPr>
          <w:ilvl w:val="0"/>
          <w:numId w:val="1"/>
        </w:numPr>
        <w:spacing w:after="60" w:line="312"/>
      </w:pPr>
      <w:r>
        <w:rPr>
          <w:rFonts w:ascii="Calibri" w:eastAsia="Microsoft YaHei"/>
          <w:color w:val="182030"/>
          <w:sz w:val="24"/>
          <w:szCs w:val="24"/>
        </w:rPr>
        <w:t xml:space="preserve">Monday: Kick-off meeting with all stakeholders; distribute requirement questionnaires</w:t>
      </w:r>
    </w:p>
    <w:p>
      <w:pPr>
        <w:pStyle w:val="ListParagraph"/>
        <w:numPr>
          <w:ilvl w:val="0"/>
          <w:numId w:val="1"/>
        </w:numPr>
        <w:spacing w:after="60" w:line="312"/>
      </w:pPr>
      <w:r>
        <w:rPr>
          <w:rFonts w:ascii="Calibri" w:eastAsia="Microsoft YaHei"/>
          <w:color w:val="182030"/>
          <w:sz w:val="24"/>
          <w:szCs w:val="24"/>
        </w:rPr>
        <w:t xml:space="preserve">Tuesday–Wednesday: Conduct 3 separate requirement workshops (distributors, staff, agents)</w:t>
      </w:r>
    </w:p>
    <w:p>
      <w:pPr>
        <w:pStyle w:val="ListParagraph"/>
        <w:numPr>
          <w:ilvl w:val="0"/>
          <w:numId w:val="1"/>
        </w:numPr>
        <w:spacing w:after="60" w:line="312"/>
      </w:pPr>
      <w:r>
        <w:rPr>
          <w:rFonts w:ascii="Calibri" w:eastAsia="Microsoft YaHei"/>
          <w:color w:val="182030"/>
          <w:sz w:val="24"/>
          <w:szCs w:val="24"/>
        </w:rPr>
        <w:t xml:space="preserve">Thursday: Compile and prioritize requirements; resolve conflicting needs across user groups</w:t>
      </w:r>
    </w:p>
    <w:p>
      <w:pPr>
        <w:pStyle w:val="ListParagraph"/>
        <w:numPr>
          <w:ilvl w:val="0"/>
          <w:numId w:val="1"/>
        </w:numPr>
        <w:spacing w:after="60" w:line="312"/>
      </w:pPr>
      <w:r>
        <w:rPr>
          <w:rFonts w:ascii="Calibri" w:eastAsia="Microsoft YaHei"/>
          <w:color w:val="182030"/>
          <w:sz w:val="24"/>
          <w:szCs w:val="24"/>
        </w:rPr>
        <w:t xml:space="preserve">Friday: Finalize wireframes and technical architecture; obtain sign-off from project sponsor</w:t>
      </w:r>
    </w:p>
    <w:p>
      <w:pPr>
        <w:pStyle w:val="Heading3"/>
        <w:spacing w:after="100" w:before="200" w:line="312"/>
      </w:pPr>
      <w:bookmarkStart w:id="100005" w:name="_Toc100005"/>
      <w:r>
        <w:rPr>
          <w:rFonts w:ascii="Calibri" w:eastAsia="SimHei"/>
          <w:b/>
          <w:bCs/>
          <w:color w:val="1A2330"/>
          <w:sz w:val="24"/>
          <w:szCs w:val="24"/>
        </w:rPr>
        <w:t xml:space="preserve">Week 2 (June 9–13): Core Development Sprint</w:t>
      </w:r>
      <w:bookmarkEnd w:id="100005"/>
    </w:p>
    <w:p>
      <w:pPr>
        <w:spacing w:after="80" w:line="312"/>
        <w:ind w:firstLine="480"/>
        <w:jc w:val="both"/>
      </w:pPr>
      <w:r>
        <w:rPr>
          <w:rFonts w:ascii="Calibri" w:eastAsia="Microsoft YaHei"/>
          <w:color w:val="182030"/>
          <w:sz w:val="24"/>
          <w:szCs w:val="24"/>
        </w:rPr>
        <w:t xml:space="preserve">The second week is dedicated to intensive development of the core CRM modules. The development team will work in daily sprint cycles, building the client management module, product catalog, and authentication system. Backend API development runs in parallel with frontend mobile implementation. Daily stand-up meetings at 9:00 AM ensure blockers are identified and resolved quickly. By end of week, the team should have a working prototype that supports user login, client search, and product browsing.</w:t>
      </w:r>
    </w:p>
    <w:p>
      <w:pPr>
        <w:pStyle w:val="ListParagraph"/>
        <w:numPr>
          <w:ilvl w:val="0"/>
          <w:numId w:val="1"/>
        </w:numPr>
        <w:spacing w:after="60" w:line="312"/>
      </w:pPr>
      <w:r>
        <w:rPr>
          <w:rFonts w:ascii="Calibri" w:eastAsia="Microsoft YaHei"/>
          <w:color w:val="182030"/>
          <w:sz w:val="24"/>
          <w:szCs w:val="24"/>
        </w:rPr>
        <w:t xml:space="preserve">Monday–Tuesday: Build authentication module and user role management (distributor/staff/agent)</w:t>
      </w:r>
    </w:p>
    <w:p>
      <w:pPr>
        <w:pStyle w:val="ListParagraph"/>
        <w:numPr>
          <w:ilvl w:val="0"/>
          <w:numId w:val="1"/>
        </w:numPr>
        <w:spacing w:after="60" w:line="312"/>
      </w:pPr>
      <w:r>
        <w:rPr>
          <w:rFonts w:ascii="Calibri" w:eastAsia="Microsoft YaHei"/>
          <w:color w:val="182030"/>
          <w:sz w:val="24"/>
          <w:szCs w:val="24"/>
        </w:rPr>
        <w:t xml:space="preserve">Wednesday–Thursday: Develop client management module (add/edit/search clients, interaction logging)</w:t>
      </w:r>
    </w:p>
    <w:p>
      <w:pPr>
        <w:pStyle w:val="ListParagraph"/>
        <w:numPr>
          <w:ilvl w:val="0"/>
          <w:numId w:val="1"/>
        </w:numPr>
        <w:spacing w:after="60" w:line="312"/>
      </w:pPr>
      <w:r>
        <w:rPr>
          <w:rFonts w:ascii="Calibri" w:eastAsia="Microsoft YaHei"/>
          <w:color w:val="182030"/>
          <w:sz w:val="24"/>
          <w:szCs w:val="24"/>
        </w:rPr>
        <w:t xml:space="preserve">Friday: Implement product catalog module with real-time data integration; internal demo</w:t>
      </w:r>
    </w:p>
    <w:p>
      <w:pPr>
        <w:pStyle w:val="Heading3"/>
        <w:spacing w:after="100" w:before="200" w:line="312"/>
      </w:pPr>
      <w:bookmarkStart w:id="100006" w:name="_Toc100006"/>
      <w:r>
        <w:rPr>
          <w:rFonts w:ascii="Calibri" w:eastAsia="SimHei"/>
          <w:b/>
          <w:bCs/>
          <w:color w:val="1A2330"/>
          <w:sz w:val="24"/>
          <w:szCs w:val="24"/>
        </w:rPr>
        <w:t xml:space="preserve">Week 3 (June 16–20): Advanced Features &amp; Integration</w:t>
      </w:r>
      <w:bookmarkEnd w:id="100006"/>
    </w:p>
    <w:p>
      <w:pPr>
        <w:spacing w:after="80" w:line="312"/>
        <w:ind w:firstLine="480"/>
        <w:jc w:val="both"/>
      </w:pPr>
      <w:r>
        <w:rPr>
          <w:rFonts w:ascii="Calibri" w:eastAsia="Microsoft YaHei"/>
          <w:color w:val="182030"/>
          <w:sz w:val="24"/>
          <w:szCs w:val="24"/>
        </w:rPr>
        <w:t xml:space="preserve">Week three focuses on building the commission dashboard, lead pipeline, and reporting features. This is also the integration week where all modules are connected and end-to-end workflows are tested. The commission dashboard is particularly critical because it directly impacts agent and distributor motivation—they need to see their earnings in real-time. The lead pipeline module will support the broker training funnel by tracking leads from initial broker contact through to client conversion.</w:t>
      </w:r>
    </w:p>
    <w:p>
      <w:pPr>
        <w:pStyle w:val="ListParagraph"/>
        <w:numPr>
          <w:ilvl w:val="0"/>
          <w:numId w:val="1"/>
        </w:numPr>
        <w:spacing w:after="60" w:line="312"/>
      </w:pPr>
      <w:r>
        <w:rPr>
          <w:rFonts w:ascii="Calibri" w:eastAsia="Microsoft YaHei"/>
          <w:color w:val="182030"/>
          <w:sz w:val="24"/>
          <w:szCs w:val="24"/>
        </w:rPr>
        <w:t xml:space="preserve">Monday–Tuesday: Build commission dashboard (earned/pending/by-product breakdown)</w:t>
      </w:r>
    </w:p>
    <w:p>
      <w:pPr>
        <w:pStyle w:val="ListParagraph"/>
        <w:numPr>
          <w:ilvl w:val="0"/>
          <w:numId w:val="1"/>
        </w:numPr>
        <w:spacing w:after="60" w:line="312"/>
      </w:pPr>
      <w:r>
        <w:rPr>
          <w:rFonts w:ascii="Calibri" w:eastAsia="Microsoft YaHei"/>
          <w:color w:val="182030"/>
          <w:sz w:val="24"/>
          <w:szCs w:val="24"/>
        </w:rPr>
        <w:t xml:space="preserve">Wednesday: Develop lead pipeline module with stage tracking (new/qualified/proposal/negotiation/closed)</w:t>
      </w:r>
    </w:p>
    <w:p>
      <w:pPr>
        <w:pStyle w:val="ListParagraph"/>
        <w:numPr>
          <w:ilvl w:val="0"/>
          <w:numId w:val="1"/>
        </w:numPr>
        <w:spacing w:after="60" w:line="312"/>
      </w:pPr>
      <w:r>
        <w:rPr>
          <w:rFonts w:ascii="Calibri" w:eastAsia="Microsoft YaHei"/>
          <w:color w:val="182030"/>
          <w:sz w:val="24"/>
          <w:szCs w:val="24"/>
        </w:rPr>
        <w:t xml:space="preserve">Thursday: Build basic reporting module (personal stats, team overview)</w:t>
      </w:r>
    </w:p>
    <w:p>
      <w:pPr>
        <w:pStyle w:val="ListParagraph"/>
        <w:numPr>
          <w:ilvl w:val="0"/>
          <w:numId w:val="1"/>
        </w:numPr>
        <w:spacing w:after="60" w:line="312"/>
      </w:pPr>
      <w:r>
        <w:rPr>
          <w:rFonts w:ascii="Calibri" w:eastAsia="Microsoft YaHei"/>
          <w:color w:val="182030"/>
          <w:sz w:val="24"/>
          <w:szCs w:val="24"/>
        </w:rPr>
        <w:t xml:space="preserve">Friday: Full integration testing; fix critical bugs; prepare beta deployment package</w:t>
      </w:r>
    </w:p>
    <w:p>
      <w:pPr>
        <w:pStyle w:val="Heading3"/>
        <w:spacing w:after="100" w:before="200" w:line="312"/>
      </w:pPr>
      <w:bookmarkStart w:id="100007" w:name="_Toc100007"/>
      <w:r>
        <w:rPr>
          <w:rFonts w:ascii="Calibri" w:eastAsia="SimHei"/>
          <w:b/>
          <w:bCs/>
          <w:color w:val="1A2330"/>
          <w:sz w:val="24"/>
          <w:szCs w:val="24"/>
        </w:rPr>
        <w:t xml:space="preserve">Week 4 (June 23–27): Beta Testing &amp; Onboarding</w:t>
      </w:r>
      <w:bookmarkEnd w:id="100007"/>
    </w:p>
    <w:p>
      <w:pPr>
        <w:spacing w:after="80" w:line="312"/>
        <w:ind w:firstLine="480"/>
        <w:jc w:val="both"/>
      </w:pPr>
      <w:r>
        <w:rPr>
          <w:rFonts w:ascii="Calibri" w:eastAsia="Microsoft YaHei"/>
          <w:color w:val="182030"/>
          <w:sz w:val="24"/>
          <w:szCs w:val="24"/>
        </w:rPr>
        <w:t xml:space="preserve">The final week is dedicated to deploying the beta version, onboarding the first cohort of users, and collecting feedback. A soft launch with 10–15 selected users from each group (distributors, staff, agents) ensures controlled testing. Each user receives a 30-minute onboarding session and a feedback form. A dedicated Slack channel or WhatsApp group provides real-time support. Critical bugs identified during beta testing are triaged daily, with showstopper issues resolved within 24 hours.</w:t>
      </w:r>
    </w:p>
    <w:p>
      <w:pPr>
        <w:pStyle w:val="ListParagraph"/>
        <w:numPr>
          <w:ilvl w:val="0"/>
          <w:numId w:val="1"/>
        </w:numPr>
        <w:spacing w:after="60" w:line="312"/>
      </w:pPr>
      <w:r>
        <w:rPr>
          <w:rFonts w:ascii="Calibri" w:eastAsia="Microsoft YaHei"/>
          <w:color w:val="182030"/>
          <w:sz w:val="24"/>
          <w:szCs w:val="24"/>
        </w:rPr>
        <w:t xml:space="preserve">Monday: Deploy beta to staging environment; conduct internal QA walkthrough</w:t>
      </w:r>
    </w:p>
    <w:p>
      <w:pPr>
        <w:pStyle w:val="ListParagraph"/>
        <w:numPr>
          <w:ilvl w:val="0"/>
          <w:numId w:val="1"/>
        </w:numPr>
        <w:spacing w:after="60" w:line="312"/>
      </w:pPr>
      <w:r>
        <w:rPr>
          <w:rFonts w:ascii="Calibri" w:eastAsia="Microsoft YaHei"/>
          <w:color w:val="182030"/>
          <w:sz w:val="24"/>
          <w:szCs w:val="24"/>
        </w:rPr>
        <w:t xml:space="preserve">Tuesday: Distribute beta access to first cohort; conduct onboarding sessions for distributors</w:t>
      </w:r>
    </w:p>
    <w:p>
      <w:pPr>
        <w:pStyle w:val="ListParagraph"/>
        <w:numPr>
          <w:ilvl w:val="0"/>
          <w:numId w:val="1"/>
        </w:numPr>
        <w:spacing w:after="60" w:line="312"/>
      </w:pPr>
      <w:r>
        <w:rPr>
          <w:rFonts w:ascii="Calibri" w:eastAsia="Microsoft YaHei"/>
          <w:color w:val="182030"/>
          <w:sz w:val="24"/>
          <w:szCs w:val="24"/>
        </w:rPr>
        <w:t xml:space="preserve">Wednesday: Onboard internal staff and agents; begin collecting structured feedback</w:t>
      </w:r>
    </w:p>
    <w:p>
      <w:pPr>
        <w:pStyle w:val="ListParagraph"/>
        <w:numPr>
          <w:ilvl w:val="0"/>
          <w:numId w:val="1"/>
        </w:numPr>
        <w:spacing w:after="60" w:line="312"/>
      </w:pPr>
      <w:r>
        <w:rPr>
          <w:rFonts w:ascii="Calibri" w:eastAsia="Microsoft YaHei"/>
          <w:color w:val="182030"/>
          <w:sz w:val="24"/>
          <w:szCs w:val="24"/>
        </w:rPr>
        <w:t xml:space="preserve">Thursday–Friday: Triage and resolve critical bugs; compile beta feedback report; plan Phase 2 roadmap</w:t>
      </w:r>
    </w:p>
    <w:p>
      <w:pPr>
        <w:pStyle w:val="Heading2"/>
        <w:spacing w:after="120" w:before="240" w:line="312"/>
      </w:pPr>
      <w:bookmarkStart w:id="100008" w:name="_Toc100008"/>
      <w:r>
        <w:rPr>
          <w:rFonts w:ascii="Calibri" w:eastAsia="SimHei"/>
          <w:b/>
          <w:bCs/>
          <w:color w:val="1A2330"/>
          <w:sz w:val="28"/>
          <w:szCs w:val="28"/>
        </w:rPr>
        <w:t xml:space="preserve">1.3 Key Milestones &amp; Deliverables</w:t>
      </w:r>
      <w:bookmarkEnd w:id="10000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Week</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Milestone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Deliverable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Owner</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Week 1</w:t>
            </w:r>
          </w:p>
        </w:tc>
        <w:tc>
          <w:tcPr>
            <w:shd w:fill="F8F0EB" w:val="clear"/>
            <w:tcMar>
              <w:top w:type="dxa" w:w="60"/>
              <w:left w:type="dxa" w:w="120"/>
              <w:bottom w:type="dxa" w:w="60"/>
              <w:right w:type="dxa" w:w="120"/>
            </w:tcMar>
          </w:tcPr>
          <w:p>
            <w:r>
              <w:rPr>
                <w:rFonts w:ascii="Calibri" w:eastAsia="Microsoft YaHei"/>
                <w:color w:val="182030"/>
                <w:sz w:val="21"/>
                <w:szCs w:val="21"/>
              </w:rPr>
              <w:t xml:space="preserve">Requirements &amp; Design Signed Off</w:t>
            </w:r>
          </w:p>
        </w:tc>
        <w:tc>
          <w:tcPr>
            <w:shd w:fill="F8F0EB" w:val="clear"/>
            <w:tcMar>
              <w:top w:type="dxa" w:w="60"/>
              <w:left w:type="dxa" w:w="120"/>
              <w:bottom w:type="dxa" w:w="60"/>
              <w:right w:type="dxa" w:w="120"/>
            </w:tcMar>
          </w:tcPr>
          <w:p>
            <w:r>
              <w:rPr>
                <w:rFonts w:ascii="Calibri" w:eastAsia="Microsoft YaHei"/>
                <w:color w:val="182030"/>
                <w:sz w:val="21"/>
                <w:szCs w:val="21"/>
              </w:rPr>
              <w:t xml:space="preserve">Requirements doc + Approved wireframes</w:t>
            </w:r>
          </w:p>
        </w:tc>
        <w:tc>
          <w:tcPr>
            <w:shd w:fill="F8F0EB" w:val="clear"/>
            <w:tcMar>
              <w:top w:type="dxa" w:w="60"/>
              <w:left w:type="dxa" w:w="120"/>
              <w:bottom w:type="dxa" w:w="60"/>
              <w:right w:type="dxa" w:w="120"/>
            </w:tcMar>
          </w:tcPr>
          <w:p>
            <w:r>
              <w:rPr>
                <w:rFonts w:ascii="Calibri" w:eastAsia="Microsoft YaHei"/>
                <w:color w:val="182030"/>
                <w:sz w:val="21"/>
                <w:szCs w:val="21"/>
              </w:rPr>
              <w:t xml:space="preserve">Project Manager</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Week 2</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Core Prototype Ready</w:t>
            </w:r>
          </w:p>
        </w:tc>
        <w:tc>
          <w:tcPr>
            <w:shd w:fill="FFFFFF" w:val="clear"/>
            <w:tcMar>
              <w:top w:type="dxa" w:w="60"/>
              <w:left w:type="dxa" w:w="120"/>
              <w:bottom w:type="dxa" w:w="60"/>
              <w:right w:type="dxa" w:w="120"/>
            </w:tcMar>
          </w:tcPr>
          <w:p>
            <w:r>
              <w:rPr>
                <w:rFonts w:ascii="Calibri" w:eastAsia="Microsoft YaHei"/>
                <w:color w:val="182030"/>
                <w:sz w:val="21"/>
                <w:szCs w:val="21"/>
              </w:rPr>
              <w:t xml:space="preserve">Working login + client mgmt + product catalog</w:t>
            </w:r>
          </w:p>
        </w:tc>
        <w:tc>
          <w:tcPr>
            <w:shd w:fill="FFFFFF" w:val="clear"/>
            <w:tcMar>
              <w:top w:type="dxa" w:w="60"/>
              <w:left w:type="dxa" w:w="120"/>
              <w:bottom w:type="dxa" w:w="60"/>
              <w:right w:type="dxa" w:w="120"/>
            </w:tcMar>
          </w:tcPr>
          <w:p>
            <w:r>
              <w:rPr>
                <w:rFonts w:ascii="Calibri" w:eastAsia="Microsoft YaHei"/>
                <w:color w:val="182030"/>
                <w:sz w:val="21"/>
                <w:szCs w:val="21"/>
              </w:rPr>
              <w:t xml:space="preserve">Tech Lead</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Week 3</w:t>
            </w:r>
          </w:p>
        </w:tc>
        <w:tc>
          <w:tcPr>
            <w:shd w:fill="F8F0EB" w:val="clear"/>
            <w:tcMar>
              <w:top w:type="dxa" w:w="60"/>
              <w:left w:type="dxa" w:w="120"/>
              <w:bottom w:type="dxa" w:w="60"/>
              <w:right w:type="dxa" w:w="120"/>
            </w:tcMar>
          </w:tcPr>
          <w:p>
            <w:r>
              <w:rPr>
                <w:rFonts w:ascii="Calibri" w:eastAsia="Microsoft YaHei"/>
                <w:color w:val="182030"/>
                <w:sz w:val="21"/>
                <w:szCs w:val="21"/>
              </w:rPr>
              <w:t xml:space="preserve">Full Feature Integration</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Commission dashboard + lead pipeline + reports</w:t>
            </w:r>
          </w:p>
        </w:tc>
        <w:tc>
          <w:tcPr>
            <w:shd w:fill="F8F0EB" w:val="clear"/>
            <w:tcMar>
              <w:top w:type="dxa" w:w="60"/>
              <w:left w:type="dxa" w:w="120"/>
              <w:bottom w:type="dxa" w:w="60"/>
              <w:right w:type="dxa" w:w="120"/>
            </w:tcMar>
          </w:tcPr>
          <w:p>
            <w:r>
              <w:rPr>
                <w:rFonts w:ascii="Calibri" w:eastAsia="Microsoft YaHei"/>
                <w:color w:val="182030"/>
                <w:sz w:val="21"/>
                <w:szCs w:val="21"/>
              </w:rPr>
              <w:t xml:space="preserve">Tech Lead</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Week 4</w:t>
            </w:r>
          </w:p>
        </w:tc>
        <w:tc>
          <w:tcPr>
            <w:shd w:fill="FFFFFF" w:val="clear"/>
            <w:tcMar>
              <w:top w:type="dxa" w:w="60"/>
              <w:left w:type="dxa" w:w="120"/>
              <w:bottom w:type="dxa" w:w="60"/>
              <w:right w:type="dxa" w:w="120"/>
            </w:tcMar>
          </w:tcPr>
          <w:p>
            <w:r>
              <w:rPr>
                <w:rFonts w:ascii="Calibri" w:eastAsia="Microsoft YaHei"/>
                <w:color w:val="182030"/>
                <w:sz w:val="21"/>
                <w:szCs w:val="21"/>
              </w:rPr>
              <w:t xml:space="preserve">Beta Live &amp; Feedback Report</w:t>
            </w:r>
          </w:p>
        </w:tc>
        <w:tc>
          <w:tcPr>
            <w:shd w:fill="FFFFFF" w:val="clear"/>
            <w:tcMar>
              <w:top w:type="dxa" w:w="60"/>
              <w:left w:type="dxa" w:w="120"/>
              <w:bottom w:type="dxa" w:w="60"/>
              <w:right w:type="dxa" w:w="120"/>
            </w:tcMar>
          </w:tcPr>
          <w:p>
            <w:r>
              <w:rPr>
                <w:rFonts w:ascii="Calibri" w:eastAsia="Microsoft YaHei"/>
                <w:color w:val="182030"/>
                <w:sz w:val="21"/>
                <w:szCs w:val="21"/>
              </w:rPr>
              <w:t xml:space="preserve">Deployed beta + user feedback summary</w:t>
            </w:r>
          </w:p>
        </w:tc>
        <w:tc>
          <w:tcPr>
            <w:shd w:fill="FFFFFF" w:val="clear"/>
            <w:tcMar>
              <w:top w:type="dxa" w:w="60"/>
              <w:left w:type="dxa" w:w="120"/>
              <w:bottom w:type="dxa" w:w="60"/>
              <w:right w:type="dxa" w:w="120"/>
            </w:tcMar>
          </w:tcPr>
          <w:p>
            <w:r>
              <w:rPr>
                <w:rFonts w:ascii="Calibri" w:eastAsia="Microsoft YaHei"/>
                <w:color w:val="182030"/>
                <w:sz w:val="21"/>
                <w:szCs w:val="21"/>
              </w:rPr>
              <w:t xml:space="preserve">QA Lead</w:t>
            </w:r>
          </w:p>
        </w:tc>
      </w:tr>
    </w:tbl>
    <w:p>
      <w:pPr>
        <w:pStyle w:val="Heading1"/>
        <w:spacing w:after="160" w:before="360" w:line="312"/>
      </w:pPr>
      <w:bookmarkStart w:id="100009" w:name="_Toc100009"/>
      <w:r>
        <w:rPr>
          <w:rFonts w:ascii="Calibri" w:eastAsia="SimHei"/>
          <w:b/>
          <w:bCs/>
          <w:color w:val="1A2330"/>
          <w:sz w:val="32"/>
          <w:szCs w:val="32"/>
        </w:rPr>
        <w:t xml:space="preserve">Task 2: Short Video Content Schedule</w:t>
      </w:r>
      <w:bookmarkEnd w:id="100009"/>
    </w:p>
    <w:p>
      <w:pPr>
        <w:pStyle w:val="Heading2"/>
        <w:spacing w:after="120" w:before="240" w:line="312"/>
      </w:pPr>
      <w:bookmarkStart w:id="100010" w:name="_Toc100010"/>
      <w:r>
        <w:rPr>
          <w:rFonts w:ascii="Calibri" w:eastAsia="SimHei"/>
          <w:b/>
          <w:bCs/>
          <w:color w:val="1A2330"/>
          <w:sz w:val="28"/>
          <w:szCs w:val="28"/>
        </w:rPr>
        <w:t xml:space="preserve">2.1 Strategy Overview</w:t>
      </w:r>
      <w:bookmarkEnd w:id="100010"/>
    </w:p>
    <w:p>
      <w:pPr>
        <w:spacing w:after="80" w:line="312"/>
        <w:ind w:firstLine="480"/>
        <w:jc w:val="both"/>
      </w:pPr>
      <w:r>
        <w:rPr>
          <w:rFonts w:ascii="Calibri" w:eastAsia="Microsoft YaHei"/>
          <w:color w:val="182030"/>
          <w:sz w:val="24"/>
          <w:szCs w:val="24"/>
        </w:rPr>
        <w:t xml:space="preserve">Short video content has emerged as the most effective channel for reaching and engaging high-net-worth individuals and their trusted advisors in the Chinese and global markets. MCLUB’s video strategy is built on a dual-track approach: B2C content that directly educates and attracts potential clients, and B2B2C content that equips intermediaries (insurance brokers, financial advisors, tax consultants) with shareable knowledge assets. The strategy leverages five platforms, each serving a distinct audience segment and content format preference.</w:t>
      </w:r>
    </w:p>
    <w:p>
      <w:pPr>
        <w:spacing w:after="80" w:line="312"/>
        <w:ind w:firstLine="480"/>
        <w:jc w:val="both"/>
      </w:pPr>
      <w:r>
        <w:rPr>
          <w:rFonts w:ascii="Calibri" w:eastAsia="Microsoft YaHei"/>
          <w:color w:val="182030"/>
          <w:sz w:val="24"/>
          <w:szCs w:val="24"/>
        </w:rPr>
        <w:t xml:space="preserve">The content calendar for June is structured around MCLUB’s ten product categories, ensuring that each product receives at least one dedicated video feature during the month. Additionally, cross-product thematic videos (such as “why family office services matter” or “how to diversify wealth internationally”) provide broader brand awareness. Each video is produced in a primary format and then adapted (re-edited, re-captioned, or reformatted) for distribution across all five platforms, maximizing reach while minimizing production overhead.</w:t>
      </w:r>
    </w:p>
    <w:p>
      <w:pPr>
        <w:pStyle w:val="Heading2"/>
        <w:spacing w:after="120" w:before="240" w:line="312"/>
      </w:pPr>
      <w:bookmarkStart w:id="100011" w:name="_Toc100011"/>
      <w:r>
        <w:rPr>
          <w:rFonts w:ascii="Calibri" w:eastAsia="SimHei"/>
          <w:b/>
          <w:bCs/>
          <w:color w:val="1A2330"/>
          <w:sz w:val="28"/>
          <w:szCs w:val="28"/>
        </w:rPr>
        <w:t xml:space="preserve">2.2 Platform Strategy</w:t>
      </w:r>
      <w:bookmarkEnd w:id="10001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Platform</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Target Audience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Content Format</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Posting Frequency</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Best Posting Time</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YouTube</w:t>
            </w:r>
          </w:p>
        </w:tc>
        <w:tc>
          <w:tcPr>
            <w:shd w:fill="F8F0EB" w:val="clear"/>
            <w:tcMar>
              <w:top w:type="dxa" w:w="60"/>
              <w:left w:type="dxa" w:w="120"/>
              <w:bottom w:type="dxa" w:w="60"/>
              <w:right w:type="dxa" w:w="120"/>
            </w:tcMar>
          </w:tcPr>
          <w:p>
            <w:r>
              <w:rPr>
                <w:rFonts w:ascii="Calibri" w:eastAsia="Microsoft YaHei"/>
                <w:color w:val="182030"/>
                <w:sz w:val="21"/>
                <w:szCs w:val="21"/>
              </w:rPr>
              <w:t xml:space="preserve">Global HNWIs, overseas Chinese, institutional partners</w:t>
            </w:r>
          </w:p>
        </w:tc>
        <w:tc>
          <w:tcPr>
            <w:shd w:fill="F8F0EB" w:val="clear"/>
            <w:tcMar>
              <w:top w:type="dxa" w:w="60"/>
              <w:left w:type="dxa" w:w="120"/>
              <w:bottom w:type="dxa" w:w="60"/>
              <w:right w:type="dxa" w:w="120"/>
            </w:tcMar>
          </w:tcPr>
          <w:p>
            <w:r>
              <w:rPr>
                <w:rFonts w:ascii="Calibri" w:eastAsia="Microsoft YaHei"/>
                <w:color w:val="182030"/>
                <w:sz w:val="21"/>
                <w:szCs w:val="21"/>
              </w:rPr>
              <w:t xml:space="preserve">Long-form (8–15 min), product deep-dives, expert interviews</w:t>
            </w:r>
          </w:p>
        </w:tc>
        <w:tc>
          <w:tcPr>
            <w:shd w:fill="F8F0EB" w:val="clear"/>
            <w:tcMar>
              <w:top w:type="dxa" w:w="60"/>
              <w:left w:type="dxa" w:w="120"/>
              <w:bottom w:type="dxa" w:w="60"/>
              <w:right w:type="dxa" w:w="120"/>
            </w:tcMar>
          </w:tcPr>
          <w:p>
            <w:r>
              <w:rPr>
                <w:rFonts w:ascii="Calibri" w:eastAsia="Microsoft YaHei"/>
                <w:color w:val="182030"/>
                <w:sz w:val="21"/>
                <w:szCs w:val="21"/>
              </w:rPr>
              <w:t xml:space="preserve">2 videos/week</w:t>
            </w:r>
          </w:p>
        </w:tc>
        <w:tc>
          <w:tcPr>
            <w:shd w:fill="F8F0EB" w:val="clear"/>
            <w:tcMar>
              <w:top w:type="dxa" w:w="60"/>
              <w:left w:type="dxa" w:w="120"/>
              <w:bottom w:type="dxa" w:w="60"/>
              <w:right w:type="dxa" w:w="120"/>
            </w:tcMar>
          </w:tcPr>
          <w:p>
            <w:r>
              <w:rPr>
                <w:rFonts w:ascii="Calibri" w:eastAsia="Microsoft YaHei"/>
                <w:color w:val="182030"/>
                <w:sz w:val="21"/>
                <w:szCs w:val="21"/>
              </w:rPr>
              <w:t xml:space="preserve">Tue &amp; Thu 6:00 PM HKT</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B站 (Bilibili)</w:t>
            </w:r>
          </w:p>
        </w:tc>
        <w:tc>
          <w:tcPr>
            <w:shd w:fill="FFFFFF" w:val="clear"/>
            <w:tcMar>
              <w:top w:type="dxa" w:w="60"/>
              <w:left w:type="dxa" w:w="120"/>
              <w:bottom w:type="dxa" w:w="60"/>
              <w:right w:type="dxa" w:w="120"/>
            </w:tcMar>
          </w:tcPr>
          <w:p>
            <w:r>
              <w:rPr>
                <w:rFonts w:ascii="Calibri" w:eastAsia="Microsoft YaHei"/>
                <w:color w:val="182030"/>
                <w:sz w:val="21"/>
                <w:szCs w:val="21"/>
              </w:rPr>
              <w:t xml:space="preserve">Young professionals, finance enthusiasts, tech-savvy HNWIs</w:t>
            </w:r>
          </w:p>
        </w:tc>
        <w:tc>
          <w:tcPr>
            <w:shd w:fill="FFFFFF" w:val="clear"/>
            <w:tcMar>
              <w:top w:type="dxa" w:w="60"/>
              <w:left w:type="dxa" w:w="120"/>
              <w:bottom w:type="dxa" w:w="60"/>
              <w:right w:type="dxa" w:w="120"/>
            </w:tcMar>
          </w:tcPr>
          <w:p>
            <w:r>
              <w:rPr>
                <w:rFonts w:ascii="Calibri" w:eastAsia="Microsoft YaHei"/>
                <w:color w:val="182030"/>
                <w:sz w:val="21"/>
                <w:szCs w:val="21"/>
              </w:rPr>
              <w:t xml:space="preserve">Mid-form (5–10 min), educational series, data visualization</w:t>
            </w:r>
          </w:p>
        </w:tc>
        <w:tc>
          <w:tcPr>
            <w:shd w:fill="FFFFFF" w:val="clear"/>
            <w:tcMar>
              <w:top w:type="dxa" w:w="60"/>
              <w:left w:type="dxa" w:w="120"/>
              <w:bottom w:type="dxa" w:w="60"/>
              <w:right w:type="dxa" w:w="120"/>
            </w:tcMar>
          </w:tcPr>
          <w:p>
            <w:r>
              <w:rPr>
                <w:rFonts w:ascii="Calibri" w:eastAsia="Microsoft YaHei"/>
                <w:color w:val="182030"/>
                <w:sz w:val="21"/>
                <w:szCs w:val="21"/>
              </w:rPr>
              <w:t xml:space="preserve">2 videos/week</w:t>
            </w:r>
          </w:p>
        </w:tc>
        <w:tc>
          <w:tcPr>
            <w:shd w:fill="FFFFFF" w:val="clear"/>
            <w:tcMar>
              <w:top w:type="dxa" w:w="60"/>
              <w:left w:type="dxa" w:w="120"/>
              <w:bottom w:type="dxa" w:w="60"/>
              <w:right w:type="dxa" w:w="120"/>
            </w:tcMar>
          </w:tcPr>
          <w:p>
            <w:r>
              <w:rPr>
                <w:rFonts w:ascii="Calibri" w:eastAsia="Microsoft YaHei"/>
                <w:color w:val="182030"/>
                <w:sz w:val="21"/>
                <w:szCs w:val="21"/>
              </w:rPr>
              <w:t xml:space="preserve">Wed &amp; Sat 7:00 PM HKT</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抖音 (Douyin)</w:t>
            </w:r>
          </w:p>
        </w:tc>
        <w:tc>
          <w:tcPr>
            <w:shd w:fill="F8F0EB" w:val="clear"/>
            <w:tcMar>
              <w:top w:type="dxa" w:w="60"/>
              <w:left w:type="dxa" w:w="120"/>
              <w:bottom w:type="dxa" w:w="60"/>
              <w:right w:type="dxa" w:w="120"/>
            </w:tcMar>
          </w:tcPr>
          <w:p>
            <w:r>
              <w:rPr>
                <w:rFonts w:ascii="Calibri" w:eastAsia="Microsoft YaHei"/>
                <w:color w:val="182030"/>
                <w:sz w:val="21"/>
                <w:szCs w:val="21"/>
              </w:rPr>
              <w:t xml:space="preserve">Mass affluent, lifestyle-oriented audience, quick decision-makers</w:t>
            </w:r>
          </w:p>
        </w:tc>
        <w:tc>
          <w:tcPr>
            <w:shd w:fill="F8F0EB" w:val="clear"/>
            <w:tcMar>
              <w:top w:type="dxa" w:w="60"/>
              <w:left w:type="dxa" w:w="120"/>
              <w:bottom w:type="dxa" w:w="60"/>
              <w:right w:type="dxa" w:w="120"/>
            </w:tcMar>
          </w:tcPr>
          <w:p>
            <w:r>
              <w:rPr>
                <w:rFonts w:ascii="Calibri" w:eastAsia="Microsoft YaHei"/>
                <w:color w:val="182030"/>
                <w:sz w:val="21"/>
                <w:szCs w:val="21"/>
              </w:rPr>
              <w:t xml:space="preserve">Short-form (30–90 sec), key messages, testimonials, trending hooks</w:t>
            </w:r>
          </w:p>
        </w:tc>
        <w:tc>
          <w:tcPr>
            <w:shd w:fill="F8F0EB" w:val="clear"/>
            <w:tcMar>
              <w:top w:type="dxa" w:w="60"/>
              <w:left w:type="dxa" w:w="120"/>
              <w:bottom w:type="dxa" w:w="60"/>
              <w:right w:type="dxa" w:w="120"/>
            </w:tcMar>
          </w:tcPr>
          <w:p>
            <w:r>
              <w:rPr>
                <w:rFonts w:ascii="Calibri" w:eastAsia="Microsoft YaHei"/>
                <w:color w:val="182030"/>
                <w:sz w:val="21"/>
                <w:szCs w:val="21"/>
              </w:rPr>
              <w:t xml:space="preserve">5 videos/week</w:t>
            </w:r>
          </w:p>
        </w:tc>
        <w:tc>
          <w:tcPr>
            <w:shd w:fill="F8F0EB" w:val="clear"/>
            <w:tcMar>
              <w:top w:type="dxa" w:w="60"/>
              <w:left w:type="dxa" w:w="120"/>
              <w:bottom w:type="dxa" w:w="60"/>
              <w:right w:type="dxa" w:w="120"/>
            </w:tcMar>
          </w:tcPr>
          <w:p>
            <w:r>
              <w:rPr>
                <w:rFonts w:ascii="Calibri" w:eastAsia="Microsoft YaHei"/>
                <w:color w:val="182030"/>
                <w:sz w:val="21"/>
                <w:szCs w:val="21"/>
              </w:rPr>
              <w:t xml:space="preserve">Daily 12:00 PM &amp; 8:00 PM HKT</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知乎 (Zhihu)</w:t>
            </w:r>
          </w:p>
        </w:tc>
        <w:tc>
          <w:tcPr>
            <w:shd w:fill="FFFFFF" w:val="clear"/>
            <w:tcMar>
              <w:top w:type="dxa" w:w="60"/>
              <w:left w:type="dxa" w:w="120"/>
              <w:bottom w:type="dxa" w:w="60"/>
              <w:right w:type="dxa" w:w="120"/>
            </w:tcMar>
          </w:tcPr>
          <w:p>
            <w:r>
              <w:rPr>
                <w:rFonts w:ascii="Calibri" w:eastAsia="Microsoft YaHei"/>
                <w:color w:val="182030"/>
                <w:sz w:val="21"/>
                <w:szCs w:val="21"/>
              </w:rPr>
              <w:t xml:space="preserve">Analytical professionals, lawyers, accountants, consultants</w:t>
            </w:r>
          </w:p>
        </w:tc>
        <w:tc>
          <w:tcPr>
            <w:shd w:fill="FFFFFF" w:val="clear"/>
            <w:tcMar>
              <w:top w:type="dxa" w:w="60"/>
              <w:left w:type="dxa" w:w="120"/>
              <w:bottom w:type="dxa" w:w="60"/>
              <w:right w:type="dxa" w:w="120"/>
            </w:tcMar>
          </w:tcPr>
          <w:p>
            <w:r>
              <w:rPr>
                <w:rFonts w:ascii="Calibri" w:eastAsia="Microsoft YaHei"/>
                <w:color w:val="182030"/>
                <w:sz w:val="21"/>
                <w:szCs w:val="21"/>
              </w:rPr>
              <w:t xml:space="preserve">Mid-form (3–7 min), thought leadership, regulatory analysis</w:t>
            </w:r>
          </w:p>
        </w:tc>
        <w:tc>
          <w:tcPr>
            <w:shd w:fill="FFFFFF" w:val="clear"/>
            <w:tcMar>
              <w:top w:type="dxa" w:w="60"/>
              <w:left w:type="dxa" w:w="120"/>
              <w:bottom w:type="dxa" w:w="60"/>
              <w:right w:type="dxa" w:w="120"/>
            </w:tcMar>
          </w:tcPr>
          <w:p>
            <w:r>
              <w:rPr>
                <w:rFonts w:ascii="Calibri" w:eastAsia="Microsoft YaHei"/>
                <w:color w:val="182030"/>
                <w:sz w:val="21"/>
                <w:szCs w:val="21"/>
              </w:rPr>
              <w:t xml:space="preserve">1 video/week</w:t>
            </w:r>
          </w:p>
        </w:tc>
        <w:tc>
          <w:tcPr>
            <w:shd w:fill="FFFFFF" w:val="clear"/>
            <w:tcMar>
              <w:top w:type="dxa" w:w="60"/>
              <w:left w:type="dxa" w:w="120"/>
              <w:bottom w:type="dxa" w:w="60"/>
              <w:right w:type="dxa" w:w="120"/>
            </w:tcMar>
          </w:tcPr>
          <w:p>
            <w:r>
              <w:rPr>
                <w:rFonts w:ascii="Calibri" w:eastAsia="Microsoft YaHei"/>
                <w:color w:val="182030"/>
                <w:sz w:val="21"/>
                <w:szCs w:val="21"/>
              </w:rPr>
              <w:t xml:space="preserve">Mon 9:00 AM HKT</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小红书 (Xiaohongshu)</w:t>
            </w:r>
          </w:p>
        </w:tc>
        <w:tc>
          <w:tcPr>
            <w:shd w:fill="F8F0EB" w:val="clear"/>
            <w:tcMar>
              <w:top w:type="dxa" w:w="60"/>
              <w:left w:type="dxa" w:w="120"/>
              <w:bottom w:type="dxa" w:w="60"/>
              <w:right w:type="dxa" w:w="120"/>
            </w:tcMar>
          </w:tcPr>
          <w:p>
            <w:r>
              <w:rPr>
                <w:rFonts w:ascii="Calibri" w:eastAsia="Microsoft YaHei"/>
                <w:color w:val="182030"/>
                <w:sz w:val="21"/>
                <w:szCs w:val="21"/>
              </w:rPr>
              <w:t xml:space="preserve">UHNW lifestyle, family office aspirational, women HNWIs</w:t>
            </w:r>
          </w:p>
        </w:tc>
        <w:tc>
          <w:tcPr>
            <w:shd w:fill="F8F0EB" w:val="clear"/>
            <w:tcMar>
              <w:top w:type="dxa" w:w="60"/>
              <w:left w:type="dxa" w:w="120"/>
              <w:bottom w:type="dxa" w:w="60"/>
              <w:right w:type="dxa" w:w="120"/>
            </w:tcMar>
          </w:tcPr>
          <w:p>
            <w:r>
              <w:rPr>
                <w:rFonts w:ascii="Calibri" w:eastAsia="Microsoft YaHei"/>
                <w:color w:val="182030"/>
                <w:sz w:val="21"/>
                <w:szCs w:val="21"/>
              </w:rPr>
              <w:t xml:space="preserve">Short-form (30–90 sec), lifestyle integration, success stories</w:t>
            </w:r>
          </w:p>
        </w:tc>
        <w:tc>
          <w:tcPr>
            <w:shd w:fill="F8F0EB" w:val="clear"/>
            <w:tcMar>
              <w:top w:type="dxa" w:w="60"/>
              <w:left w:type="dxa" w:w="120"/>
              <w:bottom w:type="dxa" w:w="60"/>
              <w:right w:type="dxa" w:w="120"/>
            </w:tcMar>
          </w:tcPr>
          <w:p>
            <w:r>
              <w:rPr>
                <w:rFonts w:ascii="Calibri" w:eastAsia="Microsoft YaHei"/>
                <w:color w:val="182030"/>
                <w:sz w:val="21"/>
                <w:szCs w:val="21"/>
              </w:rPr>
              <w:t xml:space="preserve">3 videos/week</w:t>
            </w:r>
          </w:p>
        </w:tc>
        <w:tc>
          <w:tcPr>
            <w:shd w:fill="F8F0EB" w:val="clear"/>
            <w:tcMar>
              <w:top w:type="dxa" w:w="60"/>
              <w:left w:type="dxa" w:w="120"/>
              <w:bottom w:type="dxa" w:w="60"/>
              <w:right w:type="dxa" w:w="120"/>
            </w:tcMar>
          </w:tcPr>
          <w:p>
            <w:r>
              <w:rPr>
                <w:rFonts w:ascii="Calibri" w:eastAsia="Microsoft YaHei"/>
                <w:color w:val="182030"/>
                <w:sz w:val="21"/>
                <w:szCs w:val="21"/>
              </w:rPr>
              <w:t xml:space="preserve">Mon/Wed/Fri 10:00 AM HKT</w:t>
            </w:r>
          </w:p>
        </w:tc>
      </w:tr>
    </w:tbl>
    <w:p>
      <w:pPr>
        <w:pStyle w:val="Heading2"/>
        <w:spacing w:after="120" w:before="240" w:line="312"/>
      </w:pPr>
      <w:bookmarkStart w:id="100012" w:name="_Toc100012"/>
      <w:r>
        <w:rPr>
          <w:rFonts w:ascii="Calibri" w:eastAsia="SimHei"/>
          <w:b/>
          <w:bCs/>
          <w:color w:val="1A2330"/>
          <w:sz w:val="28"/>
          <w:szCs w:val="28"/>
        </w:rPr>
        <w:t xml:space="preserve">2.3 June Content Calendar</w:t>
      </w:r>
      <w:bookmarkEnd w:id="100012"/>
    </w:p>
    <w:p>
      <w:pPr>
        <w:pStyle w:val="Heading3"/>
        <w:spacing w:after="100" w:before="200" w:line="312"/>
      </w:pPr>
      <w:bookmarkStart w:id="100013" w:name="_Toc100013"/>
      <w:r>
        <w:rPr>
          <w:rFonts w:ascii="Calibri" w:eastAsia="SimHei"/>
          <w:b/>
          <w:bCs/>
          <w:color w:val="1A2330"/>
          <w:sz w:val="24"/>
          <w:szCs w:val="24"/>
        </w:rPr>
        <w:t xml:space="preserve">Week 1 (June 2–6): Brand Introduction &amp; Core Business</w:t>
      </w:r>
      <w:bookmarkEnd w:id="100013"/>
    </w:p>
    <w:p>
      <w:pPr>
        <w:spacing w:after="80" w:line="312"/>
        <w:ind w:firstLine="480"/>
        <w:jc w:val="both"/>
      </w:pPr>
      <w:r>
        <w:rPr>
          <w:rFonts w:ascii="Calibri" w:eastAsia="Microsoft YaHei"/>
          <w:color w:val="182030"/>
          <w:sz w:val="24"/>
          <w:szCs w:val="24"/>
        </w:rPr>
        <w:t xml:space="preserve">The opening week establishes MCLUB’s brand positioning and introduces the core family office concept. The content focuses on answering the fundamental question: “What is a family office and why do HNWIs need one?” This week also features the first product spotlight on MCLUB’s core business advisory services. The goal is to generate initial awareness and establish credibility across all platforms simultaneously.</w:t>
      </w:r>
    </w:p>
    <w:p>
      <w:pPr>
        <w:pStyle w:val="ListParagraph"/>
        <w:numPr>
          <w:ilvl w:val="0"/>
          <w:numId w:val="1"/>
        </w:numPr>
        <w:spacing w:after="60" w:line="312"/>
      </w:pPr>
      <w:r>
        <w:rPr>
          <w:rFonts w:ascii="Calibri" w:eastAsia="Microsoft YaHei"/>
          <w:color w:val="182030"/>
          <w:sz w:val="24"/>
          <w:szCs w:val="24"/>
        </w:rPr>
        <w:t xml:space="preserve">YouTube: “MCLUB Family Office: Who We Are” (brand intro, 12 min)</w:t>
      </w:r>
    </w:p>
    <w:p>
      <w:pPr>
        <w:pStyle w:val="ListParagraph"/>
        <w:numPr>
          <w:ilvl w:val="0"/>
          <w:numId w:val="1"/>
        </w:numPr>
        <w:spacing w:after="60" w:line="312"/>
      </w:pPr>
      <w:r>
        <w:rPr>
          <w:rFonts w:ascii="Calibri" w:eastAsia="Microsoft YaHei"/>
          <w:color w:val="182030"/>
          <w:sz w:val="24"/>
          <w:szCs w:val="24"/>
        </w:rPr>
        <w:t xml:space="preserve">B站: “5 Things Your Family Office Should Do for You” (educational, 8 min)</w:t>
      </w:r>
    </w:p>
    <w:p>
      <w:pPr>
        <w:pStyle w:val="ListParagraph"/>
        <w:numPr>
          <w:ilvl w:val="0"/>
          <w:numId w:val="1"/>
        </w:numPr>
        <w:spacing w:after="60" w:line="312"/>
      </w:pPr>
      <w:r>
        <w:rPr>
          <w:rFonts w:ascii="Calibri" w:eastAsia="Microsoft YaHei"/>
          <w:color w:val="182030"/>
          <w:sz w:val="24"/>
          <w:szCs w:val="24"/>
        </w:rPr>
        <w:t xml:space="preserve">抖音: 3 short clips — “What is a family office?” / “1 reason you need one” / “MCLUB client story”</w:t>
      </w:r>
    </w:p>
    <w:p>
      <w:pPr>
        <w:pStyle w:val="ListParagraph"/>
        <w:numPr>
          <w:ilvl w:val="0"/>
          <w:numId w:val="1"/>
        </w:numPr>
        <w:spacing w:after="60" w:line="312"/>
      </w:pPr>
      <w:r>
        <w:rPr>
          <w:rFonts w:ascii="Calibri" w:eastAsia="Microsoft YaHei"/>
          <w:color w:val="182030"/>
          <w:sz w:val="24"/>
          <w:szCs w:val="24"/>
        </w:rPr>
        <w:t xml:space="preserve">知乎: “Family Office vs Private Bank: Key Differences” (analysis, 5 min)</w:t>
      </w:r>
    </w:p>
    <w:p>
      <w:pPr>
        <w:pStyle w:val="ListParagraph"/>
        <w:numPr>
          <w:ilvl w:val="0"/>
          <w:numId w:val="1"/>
        </w:numPr>
        <w:spacing w:after="60" w:line="312"/>
      </w:pPr>
      <w:r>
        <w:rPr>
          <w:rFonts w:ascii="Calibri" w:eastAsia="Microsoft YaHei"/>
          <w:color w:val="182030"/>
          <w:sz w:val="24"/>
          <w:szCs w:val="24"/>
        </w:rPr>
        <w:t xml:space="preserve">小红书: “A day in the life of a family office client” (lifestyle, 60 sec)</w:t>
      </w:r>
    </w:p>
    <w:p>
      <w:pPr>
        <w:pStyle w:val="Heading3"/>
        <w:spacing w:after="100" w:before="200" w:line="312"/>
      </w:pPr>
      <w:bookmarkStart w:id="100014" w:name="_Toc100014"/>
      <w:r>
        <w:rPr>
          <w:rFonts w:ascii="Calibri" w:eastAsia="SimHei"/>
          <w:b/>
          <w:bCs/>
          <w:color w:val="1A2330"/>
          <w:sz w:val="24"/>
          <w:szCs w:val="24"/>
        </w:rPr>
        <w:t xml:space="preserve">Week 2 (June 9–13): Investment &amp; Fund Products</w:t>
      </w:r>
      <w:bookmarkEnd w:id="100014"/>
    </w:p>
    <w:p>
      <w:pPr>
        <w:spacing w:after="80" w:line="312"/>
        <w:ind w:firstLine="480"/>
        <w:jc w:val="both"/>
      </w:pPr>
      <w:r>
        <w:rPr>
          <w:rFonts w:ascii="Calibri" w:eastAsia="Microsoft YaHei"/>
          <w:color w:val="182030"/>
          <w:sz w:val="24"/>
          <w:szCs w:val="24"/>
        </w:rPr>
        <w:t xml:space="preserve">Week two shifts focus to MCLUB’s investment and fund products, particularly the NPC Fund. Content is designed to explain the unique value proposition of the NPC Fund’s member funnel strategy (Plan A → Plan B → Plan C) in an accessible format. This week also introduces the company secretary service as a value-add for SME clients who are part of MCLUB’s broader ecosystem. The broker training sessions (Task 3) begin this week, so video content is coordinated to reinforce the training narrative.</w:t>
      </w:r>
    </w:p>
    <w:p>
      <w:pPr>
        <w:pStyle w:val="ListParagraph"/>
        <w:numPr>
          <w:ilvl w:val="0"/>
          <w:numId w:val="1"/>
        </w:numPr>
        <w:spacing w:after="60" w:line="312"/>
      </w:pPr>
      <w:r>
        <w:rPr>
          <w:rFonts w:ascii="Calibri" w:eastAsia="Microsoft YaHei"/>
          <w:color w:val="182030"/>
          <w:sz w:val="24"/>
          <w:szCs w:val="24"/>
        </w:rPr>
        <w:t xml:space="preserve">YouTube: “NPC Fund Explained: From Membership to Investment” (product deep-dive, 10 min)</w:t>
      </w:r>
    </w:p>
    <w:p>
      <w:pPr>
        <w:pStyle w:val="ListParagraph"/>
        <w:numPr>
          <w:ilvl w:val="0"/>
          <w:numId w:val="1"/>
        </w:numPr>
        <w:spacing w:after="60" w:line="312"/>
      </w:pPr>
      <w:r>
        <w:rPr>
          <w:rFonts w:ascii="Calibri" w:eastAsia="Microsoft YaHei"/>
          <w:color w:val="182030"/>
          <w:sz w:val="24"/>
          <w:szCs w:val="24"/>
        </w:rPr>
        <w:t xml:space="preserve">B站: “How to Evaluate a Private Fund: A Practical Guide” (educational, 7 min)</w:t>
      </w:r>
    </w:p>
    <w:p>
      <w:pPr>
        <w:pStyle w:val="ListParagraph"/>
        <w:numPr>
          <w:ilvl w:val="0"/>
          <w:numId w:val="1"/>
        </w:numPr>
        <w:spacing w:after="60" w:line="312"/>
      </w:pPr>
      <w:r>
        <w:rPr>
          <w:rFonts w:ascii="Calibri" w:eastAsia="Microsoft YaHei"/>
          <w:color w:val="182030"/>
          <w:sz w:val="24"/>
          <w:szCs w:val="24"/>
        </w:rPr>
        <w:t xml:space="preserve">抖音: 5 short clips — NPC Fund highlights, investment minimums, returns overview, FAQ, client testimonial</w:t>
      </w:r>
    </w:p>
    <w:p>
      <w:pPr>
        <w:pStyle w:val="ListParagraph"/>
        <w:numPr>
          <w:ilvl w:val="0"/>
          <w:numId w:val="1"/>
        </w:numPr>
        <w:spacing w:after="60" w:line="312"/>
      </w:pPr>
      <w:r>
        <w:rPr>
          <w:rFonts w:ascii="Calibri" w:eastAsia="Microsoft YaHei"/>
          <w:color w:val="182030"/>
          <w:sz w:val="24"/>
          <w:szCs w:val="24"/>
        </w:rPr>
        <w:t xml:space="preserve">知乎: “Regulatory Framework for Private Funds in Hong Kong” (analysis, 6 min)</w:t>
      </w:r>
    </w:p>
    <w:p>
      <w:pPr>
        <w:pStyle w:val="ListParagraph"/>
        <w:numPr>
          <w:ilvl w:val="0"/>
          <w:numId w:val="1"/>
        </w:numPr>
        <w:spacing w:after="60" w:line="312"/>
      </w:pPr>
      <w:r>
        <w:rPr>
          <w:rFonts w:ascii="Calibri" w:eastAsia="Microsoft YaHei"/>
          <w:color w:val="182030"/>
          <w:sz w:val="24"/>
          <w:szCs w:val="24"/>
        </w:rPr>
        <w:t xml:space="preserve">小红书: “Investing in NPC Fund: What to expect” (aspirational, 45 sec)</w:t>
      </w:r>
    </w:p>
    <w:p>
      <w:pPr>
        <w:pStyle w:val="Heading3"/>
        <w:spacing w:after="100" w:before="200" w:line="312"/>
      </w:pPr>
      <w:bookmarkStart w:id="100015" w:name="_Toc100015"/>
      <w:r>
        <w:rPr>
          <w:rFonts w:ascii="Calibri" w:eastAsia="SimHei"/>
          <w:b/>
          <w:bCs/>
          <w:color w:val="1A2330"/>
          <w:sz w:val="24"/>
          <w:szCs w:val="24"/>
        </w:rPr>
        <w:t xml:space="preserve">Week 3 (June 16–20): Insurance &amp; Protection Products</w:t>
      </w:r>
      <w:bookmarkEnd w:id="100015"/>
    </w:p>
    <w:p>
      <w:pPr>
        <w:spacing w:after="80" w:line="312"/>
        <w:ind w:firstLine="480"/>
        <w:jc w:val="both"/>
      </w:pPr>
      <w:r>
        <w:rPr>
          <w:rFonts w:ascii="Calibri" w:eastAsia="Microsoft YaHei"/>
          <w:color w:val="182030"/>
          <w:sz w:val="24"/>
          <w:szCs w:val="24"/>
        </w:rPr>
        <w:t xml:space="preserve">Week three highlights MCLUB’s insurance and protection product suite. This timing is strategically aligned with the broker training Session 2 (team leader engagement), as video content can be shared by team leaders with their networks to prime client interest before Session 3. The content covers offshore insurance structures, tax-efficient protection strategies, and the role of insurance in comprehensive wealth planning. Collaboration with insurance broker partners for co-branded content increases distribution reach.</w:t>
      </w:r>
    </w:p>
    <w:p>
      <w:pPr>
        <w:pStyle w:val="ListParagraph"/>
        <w:numPr>
          <w:ilvl w:val="0"/>
          <w:numId w:val="1"/>
        </w:numPr>
        <w:spacing w:after="60" w:line="312"/>
      </w:pPr>
      <w:r>
        <w:rPr>
          <w:rFonts w:ascii="Calibri" w:eastAsia="Microsoft YaHei"/>
          <w:color w:val="182030"/>
          <w:sz w:val="24"/>
          <w:szCs w:val="24"/>
        </w:rPr>
        <w:t xml:space="preserve">YouTube: “Offshore Insurance: A Complete Guide for HNWIs” (expert interview, 14 min)</w:t>
      </w:r>
    </w:p>
    <w:p>
      <w:pPr>
        <w:pStyle w:val="ListParagraph"/>
        <w:numPr>
          <w:ilvl w:val="0"/>
          <w:numId w:val="1"/>
        </w:numPr>
        <w:spacing w:after="60" w:line="312"/>
      </w:pPr>
      <w:r>
        <w:rPr>
          <w:rFonts w:ascii="Calibri" w:eastAsia="Microsoft YaHei"/>
          <w:color w:val="182030"/>
          <w:sz w:val="24"/>
          <w:szCs w:val="24"/>
        </w:rPr>
        <w:t xml:space="preserve">B站: “3 Insurance Strategies Every Family Office Uses” (educational, 9 min)</w:t>
      </w:r>
    </w:p>
    <w:p>
      <w:pPr>
        <w:pStyle w:val="ListParagraph"/>
        <w:numPr>
          <w:ilvl w:val="0"/>
          <w:numId w:val="1"/>
        </w:numPr>
        <w:spacing w:after="60" w:line="312"/>
      </w:pPr>
      <w:r>
        <w:rPr>
          <w:rFonts w:ascii="Calibri" w:eastAsia="Microsoft YaHei"/>
          <w:color w:val="182030"/>
          <w:sz w:val="24"/>
          <w:szCs w:val="24"/>
        </w:rPr>
        <w:t xml:space="preserve">抖音: 5 short clips — insurance myths, tax benefits, offshore vs onshore, protection planning, real case</w:t>
      </w:r>
    </w:p>
    <w:p>
      <w:pPr>
        <w:pStyle w:val="ListParagraph"/>
        <w:numPr>
          <w:ilvl w:val="0"/>
          <w:numId w:val="1"/>
        </w:numPr>
        <w:spacing w:after="60" w:line="312"/>
      </w:pPr>
      <w:r>
        <w:rPr>
          <w:rFonts w:ascii="Calibri" w:eastAsia="Microsoft YaHei"/>
          <w:color w:val="182030"/>
          <w:sz w:val="24"/>
          <w:szCs w:val="24"/>
        </w:rPr>
        <w:t xml:space="preserve">知乎: “Hong Kong Insurance Regulation: What Advisors Must Know” (analysis, 5 min)</w:t>
      </w:r>
    </w:p>
    <w:p>
      <w:pPr>
        <w:pStyle w:val="ListParagraph"/>
        <w:numPr>
          <w:ilvl w:val="0"/>
          <w:numId w:val="1"/>
        </w:numPr>
        <w:spacing w:after="60" w:line="312"/>
      </w:pPr>
      <w:r>
        <w:rPr>
          <w:rFonts w:ascii="Calibri" w:eastAsia="Microsoft YaHei"/>
          <w:color w:val="182030"/>
          <w:sz w:val="24"/>
          <w:szCs w:val="24"/>
        </w:rPr>
        <w:t xml:space="preserve">小红书: “Protecting generational wealth with insurance” (lifestyle, 50 sec)</w:t>
      </w:r>
    </w:p>
    <w:p>
      <w:pPr>
        <w:pStyle w:val="Heading3"/>
        <w:spacing w:after="100" w:before="200" w:line="312"/>
      </w:pPr>
      <w:bookmarkStart w:id="100016" w:name="_Toc100016"/>
      <w:r>
        <w:rPr>
          <w:rFonts w:ascii="Calibri" w:eastAsia="SimHei"/>
          <w:b/>
          <w:bCs/>
          <w:color w:val="1A2330"/>
          <w:sz w:val="24"/>
          <w:szCs w:val="24"/>
        </w:rPr>
        <w:t xml:space="preserve">Week 4 (June 23–27): Citizenship, Property &amp; Holistic Planning</w:t>
      </w:r>
      <w:bookmarkEnd w:id="100016"/>
    </w:p>
    <w:p>
      <w:pPr>
        <w:spacing w:after="80" w:line="312"/>
        <w:ind w:firstLine="480"/>
        <w:jc w:val="both"/>
      </w:pPr>
      <w:r>
        <w:rPr>
          <w:rFonts w:ascii="Calibri" w:eastAsia="Microsoft YaHei"/>
          <w:color w:val="182030"/>
          <w:sz w:val="24"/>
          <w:szCs w:val="24"/>
        </w:rPr>
        <w:t xml:space="preserve">The final week covers MCLUB’s remaining product lines—citizenship-by-investment programs (São Tomé), overseas property, and company secretary services—before closing with a holistic planning video that ties all products together. This week also serves as the lead-in to the client seminars (Session 3 of the broker training funnel), so content includes calls-to-action directing viewers to register for upcoming seminars. The week concludes with a monthly performance review of all video content metrics.</w:t>
      </w:r>
    </w:p>
    <w:p>
      <w:pPr>
        <w:pStyle w:val="ListParagraph"/>
        <w:numPr>
          <w:ilvl w:val="0"/>
          <w:numId w:val="1"/>
        </w:numPr>
        <w:spacing w:after="60" w:line="312"/>
      </w:pPr>
      <w:r>
        <w:rPr>
          <w:rFonts w:ascii="Calibri" w:eastAsia="Microsoft YaHei"/>
          <w:color w:val="182030"/>
          <w:sz w:val="24"/>
          <w:szCs w:val="24"/>
        </w:rPr>
        <w:t xml:space="preserve">YouTube: “Citizenship by Investment: São Tomé Program Deep-Dive” (product, 11 min)</w:t>
      </w:r>
    </w:p>
    <w:p>
      <w:pPr>
        <w:pStyle w:val="ListParagraph"/>
        <w:numPr>
          <w:ilvl w:val="0"/>
          <w:numId w:val="1"/>
        </w:numPr>
        <w:spacing w:after="60" w:line="312"/>
      </w:pPr>
      <w:r>
        <w:rPr>
          <w:rFonts w:ascii="Calibri" w:eastAsia="Microsoft YaHei"/>
          <w:color w:val="182030"/>
          <w:sz w:val="24"/>
          <w:szCs w:val="24"/>
        </w:rPr>
        <w:t xml:space="preserve">B站: “Building a Global Identity Portfolio” (educational, 8 min)</w:t>
      </w:r>
    </w:p>
    <w:p>
      <w:pPr>
        <w:pStyle w:val="ListParagraph"/>
        <w:numPr>
          <w:ilvl w:val="0"/>
          <w:numId w:val="1"/>
        </w:numPr>
        <w:spacing w:after="60" w:line="312"/>
      </w:pPr>
      <w:r>
        <w:rPr>
          <w:rFonts w:ascii="Calibri" w:eastAsia="Microsoft YaHei"/>
          <w:color w:val="182030"/>
          <w:sz w:val="24"/>
          <w:szCs w:val="24"/>
        </w:rPr>
        <w:t xml:space="preserve">抖音: 5 short clips — citizenship benefits, property hotspot, company secretary FAQ, holistic plan, seminar invitation</w:t>
      </w:r>
    </w:p>
    <w:p>
      <w:pPr>
        <w:pStyle w:val="ListParagraph"/>
        <w:numPr>
          <w:ilvl w:val="0"/>
          <w:numId w:val="1"/>
        </w:numPr>
        <w:spacing w:after="60" w:line="312"/>
      </w:pPr>
      <w:r>
        <w:rPr>
          <w:rFonts w:ascii="Calibri" w:eastAsia="Microsoft YaHei"/>
          <w:color w:val="182030"/>
          <w:sz w:val="24"/>
          <w:szCs w:val="24"/>
        </w:rPr>
        <w:t xml:space="preserve">知乎: “Comparing Citizenship-by-Investment Programs in 2026” (analysis, 6 min)</w:t>
      </w:r>
    </w:p>
    <w:p>
      <w:pPr>
        <w:pStyle w:val="ListParagraph"/>
        <w:numPr>
          <w:ilvl w:val="0"/>
          <w:numId w:val="1"/>
        </w:numPr>
        <w:spacing w:after="60" w:line="312"/>
      </w:pPr>
      <w:r>
        <w:rPr>
          <w:rFonts w:ascii="Calibri" w:eastAsia="Microsoft YaHei"/>
          <w:color w:val="182030"/>
          <w:sz w:val="24"/>
          <w:szCs w:val="24"/>
        </w:rPr>
        <w:t xml:space="preserve">小红书: “Your second passport: Why and How” (aspirational, 55 sec)</w:t>
      </w:r>
    </w:p>
    <w:p>
      <w:pPr>
        <w:pStyle w:val="Heading2"/>
        <w:spacing w:after="120" w:before="240" w:line="312"/>
      </w:pPr>
      <w:bookmarkStart w:id="100017" w:name="_Toc100017"/>
      <w:r>
        <w:rPr>
          <w:rFonts w:ascii="Calibri" w:eastAsia="SimHei"/>
          <w:b/>
          <w:bCs/>
          <w:color w:val="1A2330"/>
          <w:sz w:val="28"/>
          <w:szCs w:val="28"/>
        </w:rPr>
        <w:t xml:space="preserve">2.4 Production &amp; Coordination</w:t>
      </w:r>
      <w:bookmarkEnd w:id="100017"/>
    </w:p>
    <w:p>
      <w:pPr>
        <w:spacing w:after="80" w:line="312"/>
        <w:ind w:firstLine="480"/>
        <w:jc w:val="both"/>
      </w:pPr>
      <w:r>
        <w:rPr>
          <w:rFonts w:ascii="Calibri" w:eastAsia="Microsoft YaHei"/>
          <w:color w:val="182030"/>
          <w:sz w:val="24"/>
          <w:szCs w:val="24"/>
        </w:rPr>
        <w:t xml:space="preserve">Each product/service partner within MCLUB is assigned as the subject matter expert (SME) for their respective video content. The content team conducts a 30-minute briefing with each SME before scripting, reviews scripts for accuracy, and schedules a 2-hour filming session per long-form video. Short-form content is batch-filmed in half-day sessions. All videos are reviewed by compliance before publication. The content coordinator maintains a master spreadsheet tracking script status, filming dates, editing progress, approval status, and publication dates for each piece of content across all platforms.</w:t>
      </w:r>
    </w:p>
    <w:p>
      <w:pPr>
        <w:pStyle w:val="Heading1"/>
        <w:spacing w:after="160" w:before="360" w:line="312"/>
      </w:pPr>
      <w:bookmarkStart w:id="100018" w:name="_Toc100018"/>
      <w:r>
        <w:rPr>
          <w:rFonts w:ascii="Calibri" w:eastAsia="SimHei"/>
          <w:b/>
          <w:bCs/>
          <w:color w:val="1A2330"/>
          <w:sz w:val="32"/>
          <w:szCs w:val="32"/>
        </w:rPr>
        <w:t xml:space="preserve">Task 3: Internal Training Events with Insurance Brokers</w:t>
      </w:r>
      <w:bookmarkEnd w:id="100018"/>
    </w:p>
    <w:p>
      <w:pPr>
        <w:pStyle w:val="Heading2"/>
        <w:spacing w:after="120" w:before="240" w:line="312"/>
      </w:pPr>
      <w:bookmarkStart w:id="100019" w:name="_Toc100019"/>
      <w:r>
        <w:rPr>
          <w:rFonts w:ascii="Calibri" w:eastAsia="SimHei"/>
          <w:b/>
          <w:bCs/>
          <w:color w:val="1A2330"/>
          <w:sz w:val="28"/>
          <w:szCs w:val="28"/>
        </w:rPr>
        <w:t xml:space="preserve">3.1 Training Funnel Overview</w:t>
      </w:r>
      <w:bookmarkEnd w:id="100019"/>
    </w:p>
    <w:p>
      <w:pPr>
        <w:spacing w:after="80" w:line="312"/>
        <w:ind w:firstLine="480"/>
        <w:jc w:val="both"/>
      </w:pPr>
      <w:r>
        <w:rPr>
          <w:rFonts w:ascii="Calibri" w:eastAsia="Microsoft YaHei"/>
          <w:color w:val="182030"/>
          <w:sz w:val="24"/>
          <w:szCs w:val="24"/>
        </w:rPr>
        <w:t xml:space="preserve">The broker training program follows a carefully designed three-session funnel that progressively deepens engagement and expands the audience at each stage. This approach recognizes that insurance broker organizations operate in hierarchical structures—broker firm principals make strategic decisions, team leaders manage day-to-day client relationships, and end clients are the ultimate revenue source. By structuring the training as a funnel, MCLUB builds buy-in at the top first, then leverages that endorsement to gain access to team leaders, and finally converts that access into direct client engagement opportunities.</w:t>
      </w:r>
    </w:p>
    <w:p>
      <w:pPr>
        <w:spacing w:after="80" w:line="312"/>
        <w:ind w:firstLine="480"/>
        <w:jc w:val="both"/>
      </w:pPr>
      <w:r>
        <w:rPr>
          <w:rFonts w:ascii="Calibri" w:eastAsia="Microsoft YaHei"/>
          <w:color w:val="182030"/>
          <w:sz w:val="24"/>
          <w:szCs w:val="24"/>
        </w:rPr>
        <w:t xml:space="preserve">The funnel design is critical because it transforms a one-off presentation into a sustainable business development channel. Session 1 is an investment in relationship-building with decision-makers. Session 2 converts that relationship into operational activation by equipping team leaders with product knowledge and financial incentives. Session 3 is the revenue-generating stage where MCLUB’s value proposition is presented directly to qualified prospects. Each session has specific success criteria that must be met before advancing to the next stage.</w:t>
      </w:r>
    </w:p>
    <w:p>
      <w:pPr>
        <w:pStyle w:val="Heading2"/>
        <w:spacing w:after="120" w:before="240" w:line="312"/>
      </w:pPr>
      <w:bookmarkStart w:id="100020" w:name="_Toc100020"/>
      <w:r>
        <w:rPr>
          <w:rFonts w:ascii="Calibri" w:eastAsia="SimHei"/>
          <w:b/>
          <w:bCs/>
          <w:color w:val="1A2330"/>
          <w:sz w:val="28"/>
          <w:szCs w:val="28"/>
        </w:rPr>
        <w:t xml:space="preserve">3.2 Session 1: Leadership Introduction</w:t>
      </w:r>
      <w:bookmarkEnd w:id="100020"/>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Element</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Details</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Timing</w:t>
            </w:r>
          </w:p>
        </w:tc>
        <w:tc>
          <w:tcPr>
            <w:shd w:fill="F8F0EB" w:val="clear"/>
            <w:tcMar>
              <w:top w:type="dxa" w:w="60"/>
              <w:left w:type="dxa" w:w="120"/>
              <w:bottom w:type="dxa" w:w="60"/>
              <w:right w:type="dxa" w:w="120"/>
            </w:tcMar>
          </w:tcPr>
          <w:p>
            <w:r>
              <w:rPr>
                <w:rFonts w:ascii="Calibri" w:eastAsia="Microsoft YaHei"/>
                <w:color w:val="182030"/>
                <w:sz w:val="21"/>
                <w:szCs w:val="21"/>
              </w:rPr>
              <w:t xml:space="preserve">Week 1–2 (June 2–13)</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Audience</w:t>
            </w:r>
          </w:p>
        </w:tc>
        <w:tc>
          <w:tcPr>
            <w:shd w:fill="FFFFFF" w:val="clear"/>
            <w:tcMar>
              <w:top w:type="dxa" w:w="60"/>
              <w:left w:type="dxa" w:w="120"/>
              <w:bottom w:type="dxa" w:w="60"/>
              <w:right w:type="dxa" w:w="120"/>
            </w:tcMar>
          </w:tcPr>
          <w:p>
            <w:r>
              <w:rPr>
                <w:rFonts w:ascii="Calibri" w:eastAsia="Microsoft YaHei"/>
                <w:color w:val="182030"/>
                <w:sz w:val="21"/>
                <w:szCs w:val="21"/>
              </w:rPr>
              <w:t xml:space="preserve">Heads of broker firms / Senior partners (3–5 firms)</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Duration</w:t>
            </w:r>
          </w:p>
        </w:tc>
        <w:tc>
          <w:tcPr>
            <w:shd w:fill="F8F0EB" w:val="clear"/>
            <w:tcMar>
              <w:top w:type="dxa" w:w="60"/>
              <w:left w:type="dxa" w:w="120"/>
              <w:bottom w:type="dxa" w:w="60"/>
              <w:right w:type="dxa" w:w="120"/>
            </w:tcMar>
          </w:tcPr>
          <w:p>
            <w:r>
              <w:rPr>
                <w:rFonts w:ascii="Calibri" w:eastAsia="Microsoft YaHei"/>
                <w:color w:val="182030"/>
                <w:sz w:val="21"/>
                <w:szCs w:val="21"/>
              </w:rPr>
              <w:t xml:space="preserve">90 minutes (60 min presentation + 30 min Q&amp;A)</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Format</w:t>
            </w:r>
          </w:p>
        </w:tc>
        <w:tc>
          <w:tcPr>
            <w:shd w:fill="FFFFFF" w:val="clear"/>
            <w:tcMar>
              <w:top w:type="dxa" w:w="60"/>
              <w:left w:type="dxa" w:w="120"/>
              <w:bottom w:type="dxa" w:w="60"/>
              <w:right w:type="dxa" w:w="120"/>
            </w:tcMar>
          </w:tcPr>
          <w:p>
            <w:r>
              <w:rPr>
                <w:rFonts w:ascii="Calibri" w:eastAsia="Microsoft YaHei"/>
                <w:color w:val="182030"/>
                <w:sz w:val="21"/>
                <w:szCs w:val="21"/>
              </w:rPr>
              <w:t xml:space="preserve">Private meeting or executive lunch</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Objective</w:t>
            </w:r>
          </w:p>
        </w:tc>
        <w:tc>
          <w:tcPr>
            <w:shd w:fill="F8F0EB" w:val="clear"/>
            <w:tcMar>
              <w:top w:type="dxa" w:w="60"/>
              <w:left w:type="dxa" w:w="120"/>
              <w:bottom w:type="dxa" w:w="60"/>
              <w:right w:type="dxa" w:w="120"/>
            </w:tcMar>
          </w:tcPr>
          <w:p>
            <w:r>
              <w:rPr>
                <w:rFonts w:ascii="Calibri" w:eastAsia="Microsoft YaHei"/>
                <w:color w:val="182030"/>
                <w:sz w:val="21"/>
                <w:szCs w:val="21"/>
              </w:rPr>
              <w:t xml:space="preserve">Secure leadership endorsement and permission for internal team training</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Key Content</w:t>
            </w:r>
          </w:p>
        </w:tc>
        <w:tc>
          <w:tcPr>
            <w:shd w:fill="FFFFFF" w:val="clear"/>
            <w:tcMar>
              <w:top w:type="dxa" w:w="60"/>
              <w:left w:type="dxa" w:w="120"/>
              <w:bottom w:type="dxa" w:w="60"/>
              <w:right w:type="dxa" w:w="120"/>
            </w:tcMar>
          </w:tcPr>
          <w:p>
            <w:r>
              <w:rPr>
                <w:rFonts w:ascii="Calibri" w:eastAsia="Microsoft YaHei"/>
                <w:color w:val="182030"/>
                <w:sz w:val="21"/>
                <w:szCs w:val="21"/>
              </w:rPr>
              <w:t xml:space="preserve">MCLUB overview, product portfolio (10 products), market opportunity, partnership model</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Success Criteria</w:t>
            </w:r>
          </w:p>
        </w:tc>
        <w:tc>
          <w:tcPr>
            <w:shd w:fill="F8F0EB" w:val="clear"/>
            <w:tcMar>
              <w:top w:type="dxa" w:w="60"/>
              <w:left w:type="dxa" w:w="120"/>
              <w:bottom w:type="dxa" w:w="60"/>
              <w:right w:type="dxa" w:w="120"/>
            </w:tcMar>
          </w:tcPr>
          <w:p>
            <w:r>
              <w:rPr>
                <w:rFonts w:ascii="Calibri" w:eastAsia="Microsoft YaHei"/>
                <w:color w:val="182030"/>
                <w:sz w:val="21"/>
                <w:szCs w:val="21"/>
              </w:rPr>
              <w:t xml:space="preserve">At least 2 firms agree to Schedule Session 2 with their team leaders</w:t>
            </w:r>
          </w:p>
        </w:tc>
      </w:tr>
    </w:tbl>
    <w:p>
      <w:pPr>
        <w:spacing w:after="80" w:line="312"/>
        <w:ind w:firstLine="480"/>
        <w:jc w:val="both"/>
      </w:pPr>
      <w:r>
        <w:rPr>
          <w:rFonts w:ascii="Calibri" w:eastAsia="Microsoft YaHei"/>
          <w:color w:val="182030"/>
          <w:sz w:val="24"/>
          <w:szCs w:val="24"/>
        </w:rPr>
        <w:t xml:space="preserve">Session 1 is designed as a high-level strategic briefing that positions MCLUB as a premium partner rather than just another product provider. The presentation emphasizes the breadth of MCLUB’s product portfolio (wealth management, insurance, citizenship, property, company secretary services) and how this diversity creates multiple touchpoints for broker firms to generate revenue. The key ask at the end of the session is permission to conduct a more detailed training session with the firm’s team leaders. This top-down approach ensures that when team leaders attend Session 2, they already have their leadership’s endorsement, which significantly increases engagement and participation quality.</w:t>
      </w:r>
    </w:p>
    <w:p>
      <w:pPr>
        <w:pStyle w:val="Heading2"/>
        <w:spacing w:after="120" w:before="240" w:line="312"/>
      </w:pPr>
      <w:bookmarkStart w:id="100021" w:name="_Toc100021"/>
      <w:r>
        <w:rPr>
          <w:rFonts w:ascii="Calibri" w:eastAsia="SimHei"/>
          <w:b/>
          <w:bCs/>
          <w:color w:val="1A2330"/>
          <w:sz w:val="28"/>
          <w:szCs w:val="28"/>
        </w:rPr>
        <w:t xml:space="preserve">3.3 Session 2: Team Leader Engagement</w:t>
      </w:r>
      <w:bookmarkEnd w:id="100021"/>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Element</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Details</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Timing</w:t>
            </w:r>
          </w:p>
        </w:tc>
        <w:tc>
          <w:tcPr>
            <w:shd w:fill="F8F0EB" w:val="clear"/>
            <w:tcMar>
              <w:top w:type="dxa" w:w="60"/>
              <w:left w:type="dxa" w:w="120"/>
              <w:bottom w:type="dxa" w:w="60"/>
              <w:right w:type="dxa" w:w="120"/>
            </w:tcMar>
          </w:tcPr>
          <w:p>
            <w:r>
              <w:rPr>
                <w:rFonts w:ascii="Calibri" w:eastAsia="Microsoft YaHei"/>
                <w:color w:val="182030"/>
                <w:sz w:val="21"/>
                <w:szCs w:val="21"/>
              </w:rPr>
              <w:t xml:space="preserve">Week 3 (June 16–20) — CRITICAL: After commission rates are confirmed</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Audience</w:t>
            </w:r>
          </w:p>
        </w:tc>
        <w:tc>
          <w:tcPr>
            <w:shd w:fill="FFFFFF" w:val="clear"/>
            <w:tcMar>
              <w:top w:type="dxa" w:w="60"/>
              <w:left w:type="dxa" w:w="120"/>
              <w:bottom w:type="dxa" w:w="60"/>
              <w:right w:type="dxa" w:w="120"/>
            </w:tcMar>
          </w:tcPr>
          <w:p>
            <w:r>
              <w:rPr>
                <w:rFonts w:ascii="Calibri" w:eastAsia="Microsoft YaHei"/>
                <w:color w:val="182030"/>
                <w:sz w:val="21"/>
                <w:szCs w:val="21"/>
              </w:rPr>
              <w:t xml:space="preserve">Team leaders and senior advisors from participating broker firms</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Duration</w:t>
            </w:r>
          </w:p>
        </w:tc>
        <w:tc>
          <w:tcPr>
            <w:shd w:fill="F8F0EB" w:val="clear"/>
            <w:tcMar>
              <w:top w:type="dxa" w:w="60"/>
              <w:left w:type="dxa" w:w="120"/>
              <w:bottom w:type="dxa" w:w="60"/>
              <w:right w:type="dxa" w:w="120"/>
            </w:tcMar>
          </w:tcPr>
          <w:p>
            <w:r>
              <w:rPr>
                <w:rFonts w:ascii="Calibri" w:eastAsia="Microsoft YaHei"/>
                <w:color w:val="182030"/>
                <w:sz w:val="21"/>
                <w:szCs w:val="21"/>
              </w:rPr>
              <w:t xml:space="preserve">120 minutes (90 min training + 30 min workshop)</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Format</w:t>
            </w:r>
          </w:p>
        </w:tc>
        <w:tc>
          <w:tcPr>
            <w:shd w:fill="FFFFFF" w:val="clear"/>
            <w:tcMar>
              <w:top w:type="dxa" w:w="60"/>
              <w:left w:type="dxa" w:w="120"/>
              <w:bottom w:type="dxa" w:w="60"/>
              <w:right w:type="dxa" w:w="120"/>
            </w:tcMar>
          </w:tcPr>
          <w:p>
            <w:r>
              <w:rPr>
                <w:rFonts w:ascii="Calibri" w:eastAsia="Microsoft YaHei"/>
                <w:color w:val="182030"/>
                <w:sz w:val="21"/>
                <w:szCs w:val="21"/>
              </w:rPr>
              <w:t xml:space="preserve">Interactive workshop with product demos and case studies</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Objective</w:t>
            </w:r>
          </w:p>
        </w:tc>
        <w:tc>
          <w:tcPr>
            <w:shd w:fill="F8F0EB" w:val="clear"/>
            <w:tcMar>
              <w:top w:type="dxa" w:w="60"/>
              <w:left w:type="dxa" w:w="120"/>
              <w:bottom w:type="dxa" w:w="60"/>
              <w:right w:type="dxa" w:w="120"/>
            </w:tcMar>
          </w:tcPr>
          <w:p>
            <w:r>
              <w:rPr>
                <w:rFonts w:ascii="Calibri" w:eastAsia="Microsoft YaHei"/>
                <w:color w:val="182030"/>
                <w:sz w:val="21"/>
                <w:szCs w:val="21"/>
              </w:rPr>
              <w:t xml:space="preserve">Equip team leaders to identify suitable clients and present MCLUB products</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Key Content</w:t>
            </w:r>
          </w:p>
        </w:tc>
        <w:tc>
          <w:tcPr>
            <w:shd w:fill="FFFFFF" w:val="clear"/>
            <w:tcMar>
              <w:top w:type="dxa" w:w="60"/>
              <w:left w:type="dxa" w:w="120"/>
              <w:bottom w:type="dxa" w:w="60"/>
              <w:right w:type="dxa" w:w="120"/>
            </w:tcMar>
          </w:tcPr>
          <w:p>
            <w:r>
              <w:rPr>
                <w:rFonts w:ascii="Calibri" w:eastAsia="Microsoft YaHei"/>
                <w:color w:val="182030"/>
                <w:sz w:val="21"/>
                <w:szCs w:val="21"/>
              </w:rPr>
              <w:t xml:space="preserve">Product deep-dive, commission structure, sales scripts, client profiling, objection handling</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Success Criteria</w:t>
            </w:r>
          </w:p>
        </w:tc>
        <w:tc>
          <w:tcPr>
            <w:shd w:fill="F8F0EB" w:val="clear"/>
            <w:tcMar>
              <w:top w:type="dxa" w:w="60"/>
              <w:left w:type="dxa" w:w="120"/>
              <w:bottom w:type="dxa" w:w="60"/>
              <w:right w:type="dxa" w:w="120"/>
            </w:tcMar>
          </w:tcPr>
          <w:p>
            <w:r>
              <w:rPr>
                <w:rFonts w:ascii="Calibri" w:eastAsia="Microsoft YaHei"/>
                <w:color w:val="182030"/>
                <w:sz w:val="21"/>
                <w:szCs w:val="21"/>
              </w:rPr>
              <w:t xml:space="preserve">Team leaders commit to inviting 5–10 clients each to Session 3</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DEPENDENCY</w:t>
            </w:r>
          </w:p>
        </w:tc>
        <w:tc>
          <w:tcPr>
            <w:shd w:fill="FFFFFF" w:val="clear"/>
            <w:tcMar>
              <w:top w:type="dxa" w:w="60"/>
              <w:left w:type="dxa" w:w="120"/>
              <w:bottom w:type="dxa" w:w="60"/>
              <w:right w:type="dxa" w:w="120"/>
            </w:tcMar>
          </w:tcPr>
          <w:p>
            <w:r>
              <w:rPr>
                <w:rFonts w:ascii="Calibri" w:eastAsia="Microsoft YaHei"/>
                <w:color w:val="182030"/>
                <w:sz w:val="21"/>
                <w:szCs w:val="21"/>
              </w:rPr>
              <w:t xml:space="preserve">⚠️ Commission rates MUST be confirmed before this session</w:t>
            </w:r>
          </w:p>
        </w:tc>
      </w:tr>
    </w:tbl>
    <w:p>
      <w:pPr>
        <w:spacing w:after="80" w:line="312"/>
        <w:ind w:firstLine="480"/>
        <w:jc w:val="both"/>
      </w:pPr>
      <w:r>
        <w:rPr>
          <w:rFonts w:ascii="Calibri" w:eastAsia="Microsoft YaHei"/>
          <w:color w:val="182030"/>
          <w:sz w:val="24"/>
          <w:szCs w:val="24"/>
        </w:rPr>
        <w:t xml:space="preserve">Session 2 is the pivotal stage of the funnel because it transitions from awareness to action. Team leaders need two things to become effective advocates for MCLUB: deep product knowledge and clear financial incentives. The product knowledge component covers each of MCLUB’s ten products in detail, including target client profiles, key selling points, common objections, and suggested conversation starters. The commission structure presentation is equally important—team leaders must understand exactly how much they and their agents will earn for each product sold, as this directly impacts their willingness to invest time and social capital in promoting MCLUB to their clients.</w:t>
      </w:r>
    </w:p>
    <w:p>
      <w:pPr>
        <w:spacing w:after="80" w:line="312"/>
        <w:ind w:firstLine="480"/>
        <w:jc w:val="both"/>
      </w:pPr>
      <w:r>
        <w:rPr>
          <w:rFonts w:ascii="Calibri" w:eastAsia="Microsoft YaHei"/>
          <w:color w:val="182030"/>
          <w:sz w:val="24"/>
          <w:szCs w:val="24"/>
        </w:rPr>
        <w:t xml:space="preserve">This is why the commission rate confirmation (Task 4) is a hard prerequisite for Session 2. Presenting tentative or unconfirmed commission rates would undermine MCLUB’s credibility and give team leaders reason to delay their commitment. By ensuring rates are finalized and documented before Session 2, MCLUB demonstrates professionalism and reliability—qualities that resonate strongly in the relationship-driven insurance industry. The session concludes with a workshop where team leaders practice identifying clients from their existing book who would benefit from MCLUB products, and each leader commits to inviting a specific number of clients to Session 3.</w:t>
      </w:r>
    </w:p>
    <w:p>
      <w:pPr>
        <w:pStyle w:val="Heading2"/>
        <w:spacing w:after="120" w:before="240" w:line="312"/>
      </w:pPr>
      <w:bookmarkStart w:id="100022" w:name="_Toc100022"/>
      <w:r>
        <w:rPr>
          <w:rFonts w:ascii="Calibri" w:eastAsia="SimHei"/>
          <w:b/>
          <w:bCs/>
          <w:color w:val="1A2330"/>
          <w:sz w:val="28"/>
          <w:szCs w:val="28"/>
        </w:rPr>
        <w:t xml:space="preserve">3.4 Session 3: Client Seminar</w:t>
      </w:r>
      <w:bookmarkEnd w:id="100022"/>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Element</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Details</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Timing</w:t>
            </w:r>
          </w:p>
        </w:tc>
        <w:tc>
          <w:tcPr>
            <w:shd w:fill="F8F0EB" w:val="clear"/>
            <w:tcMar>
              <w:top w:type="dxa" w:w="60"/>
              <w:left w:type="dxa" w:w="120"/>
              <w:bottom w:type="dxa" w:w="60"/>
              <w:right w:type="dxa" w:w="120"/>
            </w:tcMar>
          </w:tcPr>
          <w:p>
            <w:r>
              <w:rPr>
                <w:rFonts w:ascii="Calibri" w:eastAsia="Microsoft YaHei"/>
                <w:color w:val="182030"/>
                <w:sz w:val="21"/>
                <w:szCs w:val="21"/>
              </w:rPr>
              <w:t xml:space="preserve">Week 4 (June 23–27)</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Audience</w:t>
            </w:r>
          </w:p>
        </w:tc>
        <w:tc>
          <w:tcPr>
            <w:shd w:fill="FFFFFF" w:val="clear"/>
            <w:tcMar>
              <w:top w:type="dxa" w:w="60"/>
              <w:left w:type="dxa" w:w="120"/>
              <w:bottom w:type="dxa" w:w="60"/>
              <w:right w:type="dxa" w:w="120"/>
            </w:tcMar>
          </w:tcPr>
          <w:p>
            <w:r>
              <w:rPr>
                <w:rFonts w:ascii="Calibri" w:eastAsia="Microsoft YaHei"/>
                <w:color w:val="182030"/>
                <w:sz w:val="21"/>
                <w:szCs w:val="21"/>
              </w:rPr>
              <w:t xml:space="preserve">Qualified clients invited by team leaders (HNWIs and UHNWIs)</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Duration</w:t>
            </w:r>
          </w:p>
        </w:tc>
        <w:tc>
          <w:tcPr>
            <w:shd w:fill="F8F0EB" w:val="clear"/>
            <w:tcMar>
              <w:top w:type="dxa" w:w="60"/>
              <w:left w:type="dxa" w:w="120"/>
              <w:bottom w:type="dxa" w:w="60"/>
              <w:right w:type="dxa" w:w="120"/>
            </w:tcMar>
          </w:tcPr>
          <w:p>
            <w:r>
              <w:rPr>
                <w:rFonts w:ascii="Calibri" w:eastAsia="Microsoft YaHei"/>
                <w:color w:val="182030"/>
                <w:sz w:val="21"/>
                <w:szCs w:val="21"/>
              </w:rPr>
              <w:t xml:space="preserve">150 minutes (90 min presentation + 45 min networking + 15 min Q&amp;A)</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Format</w:t>
            </w:r>
          </w:p>
        </w:tc>
        <w:tc>
          <w:tcPr>
            <w:shd w:fill="FFFFFF" w:val="clear"/>
            <w:tcMar>
              <w:top w:type="dxa" w:w="60"/>
              <w:left w:type="dxa" w:w="120"/>
              <w:bottom w:type="dxa" w:w="60"/>
              <w:right w:type="dxa" w:w="120"/>
            </w:tcMar>
          </w:tcPr>
          <w:p>
            <w:r>
              <w:rPr>
                <w:rFonts w:ascii="Calibri" w:eastAsia="Microsoft YaHei"/>
                <w:color w:val="182030"/>
                <w:sz w:val="21"/>
                <w:szCs w:val="21"/>
              </w:rPr>
              <w:t xml:space="preserve">Premium seminar with catering and networking</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Objective</w:t>
            </w:r>
          </w:p>
        </w:tc>
        <w:tc>
          <w:tcPr>
            <w:shd w:fill="F8F0EB" w:val="clear"/>
            <w:tcMar>
              <w:top w:type="dxa" w:w="60"/>
              <w:left w:type="dxa" w:w="120"/>
              <w:bottom w:type="dxa" w:w="60"/>
              <w:right w:type="dxa" w:w="120"/>
            </w:tcMar>
          </w:tcPr>
          <w:p>
            <w:r>
              <w:rPr>
                <w:rFonts w:ascii="Calibri" w:eastAsia="Microsoft YaHei"/>
                <w:color w:val="182030"/>
                <w:sz w:val="21"/>
                <w:szCs w:val="21"/>
              </w:rPr>
              <w:t xml:space="preserve">Generate qualified leads and initiate client onboarding</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Key Content</w:t>
            </w:r>
          </w:p>
        </w:tc>
        <w:tc>
          <w:tcPr>
            <w:shd w:fill="FFFFFF" w:val="clear"/>
            <w:tcMar>
              <w:top w:type="dxa" w:w="60"/>
              <w:left w:type="dxa" w:w="120"/>
              <w:bottom w:type="dxa" w:w="60"/>
              <w:right w:type="dxa" w:w="120"/>
            </w:tcMar>
          </w:tcPr>
          <w:p>
            <w:r>
              <w:rPr>
                <w:rFonts w:ascii="Calibri" w:eastAsia="Microsoft YaHei"/>
                <w:color w:val="182030"/>
                <w:sz w:val="21"/>
                <w:szCs w:val="21"/>
              </w:rPr>
              <w:t xml:space="preserve">Wealth planning overview, product showcase, client testimonials, exclusive offers</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Success Criteria</w:t>
            </w:r>
          </w:p>
        </w:tc>
        <w:tc>
          <w:tcPr>
            <w:shd w:fill="F8F0EB" w:val="clear"/>
            <w:tcMar>
              <w:top w:type="dxa" w:w="60"/>
              <w:left w:type="dxa" w:w="120"/>
              <w:bottom w:type="dxa" w:w="60"/>
              <w:right w:type="dxa" w:w="120"/>
            </w:tcMar>
          </w:tcPr>
          <w:p>
            <w:r>
              <w:rPr>
                <w:rFonts w:ascii="Calibri" w:eastAsia="Microsoft YaHei"/>
                <w:color w:val="182030"/>
                <w:sz w:val="21"/>
                <w:szCs w:val="21"/>
              </w:rPr>
              <w:t xml:space="preserve">Minimum 15 attendees; at least 5 express interest in follow-up consultation</w:t>
            </w:r>
          </w:p>
        </w:tc>
      </w:tr>
    </w:tbl>
    <w:p>
      <w:pPr>
        <w:spacing w:after="80" w:line="312"/>
        <w:ind w:firstLine="480"/>
        <w:jc w:val="both"/>
      </w:pPr>
      <w:r>
        <w:rPr>
          <w:rFonts w:ascii="Calibri" w:eastAsia="Microsoft YaHei"/>
          <w:color w:val="182030"/>
          <w:sz w:val="24"/>
          <w:szCs w:val="24"/>
        </w:rPr>
        <w:t xml:space="preserve">Session 3 is the culmination of the funnel and the primary lead-generation event. The format is designed to reflect MCLUB’s premium positioning—the venue, catering, and presentation quality must convey the same level of exclusivity and sophistication that clients expect from a family office. The presentation is client-facing rather than technical: it focuses on outcomes (wealth preservation, tax efficiency, global mobility, legacy planning) rather than product mechanics. Real client testimonials and case studies provide social proof, while exclusive offers (such as waived setup fees or priority access to NPC Fund) create urgency for immediate action. The networking segment is carefully facilitated—MCLUB advisors and broker team leaders are strategically positioned to engage specific clients identified during Session 2 as high-potential prospects.</w:t>
      </w:r>
    </w:p>
    <w:p>
      <w:pPr>
        <w:pStyle w:val="Heading2"/>
        <w:spacing w:after="120" w:before="240" w:line="312"/>
      </w:pPr>
      <w:bookmarkStart w:id="100023" w:name="_Toc100023"/>
      <w:r>
        <w:rPr>
          <w:rFonts w:ascii="Calibri" w:eastAsia="SimHei"/>
          <w:b/>
          <w:bCs/>
          <w:color w:val="1A2330"/>
          <w:sz w:val="28"/>
          <w:szCs w:val="28"/>
        </w:rPr>
        <w:t xml:space="preserve">3.5 Funnel Timeline &amp; Dependencies</w:t>
      </w:r>
      <w:bookmarkEnd w:id="10002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Week</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Activity</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Dependencies</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Risk Mitigation</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Week 1</w:t>
            </w:r>
          </w:p>
        </w:tc>
        <w:tc>
          <w:tcPr>
            <w:shd w:fill="F8F0EB" w:val="clear"/>
            <w:tcMar>
              <w:top w:type="dxa" w:w="60"/>
              <w:left w:type="dxa" w:w="120"/>
              <w:bottom w:type="dxa" w:w="60"/>
              <w:right w:type="dxa" w:w="120"/>
            </w:tcMar>
          </w:tcPr>
          <w:p>
            <w:r>
              <w:rPr>
                <w:rFonts w:ascii="Calibri" w:eastAsia="Microsoft YaHei"/>
                <w:color w:val="182030"/>
                <w:sz w:val="21"/>
                <w:szCs w:val="21"/>
              </w:rPr>
              <w:t xml:space="preserve">Identify &amp; contact 3–5 broker firm heads</w:t>
            </w:r>
          </w:p>
        </w:tc>
        <w:tc>
          <w:tcPr>
            <w:shd w:fill="F8F0EB" w:val="clear"/>
            <w:tcMar>
              <w:top w:type="dxa" w:w="60"/>
              <w:left w:type="dxa" w:w="120"/>
              <w:bottom w:type="dxa" w:w="60"/>
              <w:right w:type="dxa" w:w="120"/>
            </w:tcMar>
          </w:tcPr>
          <w:p>
            <w:r>
              <w:rPr>
                <w:rFonts w:ascii="Calibri" w:eastAsia="Microsoft YaHei"/>
                <w:color w:val="182030"/>
                <w:sz w:val="21"/>
                <w:szCs w:val="21"/>
              </w:rPr>
              <w:t xml:space="preserve">None</w:t>
            </w:r>
          </w:p>
        </w:tc>
        <w:tc>
          <w:tcPr>
            <w:shd w:fill="F8F0EB" w:val="clear"/>
            <w:tcMar>
              <w:top w:type="dxa" w:w="60"/>
              <w:left w:type="dxa" w:w="120"/>
              <w:bottom w:type="dxa" w:w="60"/>
              <w:right w:type="dxa" w:w="120"/>
            </w:tcMar>
          </w:tcPr>
          <w:p>
            <w:r>
              <w:rPr>
                <w:rFonts w:ascii="Calibri" w:eastAsia="Microsoft YaHei"/>
                <w:color w:val="182030"/>
                <w:sz w:val="21"/>
                <w:szCs w:val="21"/>
              </w:rPr>
              <w:t xml:space="preserve">Prepare backup list of 2 additional firms</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Week 1–2</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Conduct Session 1 (leadership)</w:t>
            </w:r>
          </w:p>
        </w:tc>
        <w:tc>
          <w:tcPr>
            <w:shd w:fill="FFFFFF" w:val="clear"/>
            <w:tcMar>
              <w:top w:type="dxa" w:w="60"/>
              <w:left w:type="dxa" w:w="120"/>
              <w:bottom w:type="dxa" w:w="60"/>
              <w:right w:type="dxa" w:w="120"/>
            </w:tcMar>
          </w:tcPr>
          <w:p>
            <w:r>
              <w:rPr>
                <w:rFonts w:ascii="Calibri" w:eastAsia="Microsoft YaHei"/>
                <w:color w:val="182030"/>
                <w:sz w:val="21"/>
                <w:szCs w:val="21"/>
              </w:rPr>
              <w:t xml:space="preserve">None</w:t>
            </w:r>
          </w:p>
        </w:tc>
        <w:tc>
          <w:tcPr>
            <w:shd w:fill="FFFFFF" w:val="clear"/>
            <w:tcMar>
              <w:top w:type="dxa" w:w="60"/>
              <w:left w:type="dxa" w:w="120"/>
              <w:bottom w:type="dxa" w:w="60"/>
              <w:right w:type="dxa" w:w="120"/>
            </w:tcMar>
          </w:tcPr>
          <w:p>
            <w:r>
              <w:rPr>
                <w:rFonts w:ascii="Calibri" w:eastAsia="Microsoft YaHei"/>
                <w:color w:val="182030"/>
                <w:sz w:val="21"/>
                <w:szCs w:val="21"/>
              </w:rPr>
              <w:t xml:space="preserve">Offer virtual option for busy executives</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Week 2–3</w:t>
            </w:r>
          </w:p>
        </w:tc>
        <w:tc>
          <w:tcPr>
            <w:shd w:fill="F8F0EB" w:val="clear"/>
            <w:tcMar>
              <w:top w:type="dxa" w:w="60"/>
              <w:left w:type="dxa" w:w="120"/>
              <w:bottom w:type="dxa" w:w="60"/>
              <w:right w:type="dxa" w:w="120"/>
            </w:tcMar>
          </w:tcPr>
          <w:p>
            <w:r>
              <w:rPr>
                <w:rFonts w:ascii="Calibri" w:eastAsia="Microsoft YaHei"/>
                <w:color w:val="182030"/>
                <w:sz w:val="21"/>
                <w:szCs w:val="21"/>
              </w:rPr>
              <w:t xml:space="preserve">Schedule Session 2 (team leaders)</w:t>
            </w:r>
          </w:p>
        </w:tc>
        <w:tc>
          <w:tcPr>
            <w:shd w:fill="F8F0EB" w:val="clear"/>
            <w:tcMar>
              <w:top w:type="dxa" w:w="60"/>
              <w:left w:type="dxa" w:w="120"/>
              <w:bottom w:type="dxa" w:w="60"/>
              <w:right w:type="dxa" w:w="120"/>
            </w:tcMar>
          </w:tcPr>
          <w:p>
            <w:r>
              <w:rPr>
                <w:rFonts w:ascii="Calibri" w:eastAsia="Microsoft YaHei"/>
                <w:color w:val="182030"/>
                <w:sz w:val="21"/>
                <w:szCs w:val="21"/>
              </w:rPr>
              <w:t xml:space="preserve">Session 1 approval + Commission rates confirmed</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Confirm rates by June 13 at latest</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Week 3–4</w:t>
            </w:r>
          </w:p>
        </w:tc>
        <w:tc>
          <w:tcPr>
            <w:shd w:fill="FFFFFF" w:val="clear"/>
            <w:tcMar>
              <w:top w:type="dxa" w:w="60"/>
              <w:left w:type="dxa" w:w="120"/>
              <w:bottom w:type="dxa" w:w="60"/>
              <w:right w:type="dxa" w:w="120"/>
            </w:tcMar>
          </w:tcPr>
          <w:p>
            <w:r>
              <w:rPr>
                <w:rFonts w:ascii="Calibri" w:eastAsia="Microsoft YaHei"/>
                <w:color w:val="182030"/>
                <w:sz w:val="21"/>
                <w:szCs w:val="21"/>
              </w:rPr>
              <w:t xml:space="preserve">Schedule Session 3 (client seminar)</w:t>
            </w:r>
          </w:p>
        </w:tc>
        <w:tc>
          <w:tcPr>
            <w:shd w:fill="FFFFFF" w:val="clear"/>
            <w:tcMar>
              <w:top w:type="dxa" w:w="60"/>
              <w:left w:type="dxa" w:w="120"/>
              <w:bottom w:type="dxa" w:w="60"/>
              <w:right w:type="dxa" w:w="120"/>
            </w:tcMar>
          </w:tcPr>
          <w:p>
            <w:r>
              <w:rPr>
                <w:rFonts w:ascii="Calibri" w:eastAsia="Microsoft YaHei"/>
                <w:color w:val="182030"/>
                <w:sz w:val="21"/>
                <w:szCs w:val="21"/>
              </w:rPr>
              <w:t xml:space="preserve">Session 2 commitments from team leaders</w:t>
            </w:r>
          </w:p>
        </w:tc>
        <w:tc>
          <w:tcPr>
            <w:shd w:fill="FFFFFF" w:val="clear"/>
            <w:tcMar>
              <w:top w:type="dxa" w:w="60"/>
              <w:left w:type="dxa" w:w="120"/>
              <w:bottom w:type="dxa" w:w="60"/>
              <w:right w:type="dxa" w:w="120"/>
            </w:tcMar>
          </w:tcPr>
          <w:p>
            <w:r>
              <w:rPr>
                <w:rFonts w:ascii="Calibri" w:eastAsia="Microsoft YaHei"/>
                <w:color w:val="182030"/>
                <w:sz w:val="21"/>
                <w:szCs w:val="21"/>
              </w:rPr>
              <w:t xml:space="preserve">Set minimum 2 firms participating to proceed</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Week 4</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Conduct Session 3 and follow up</w:t>
            </w:r>
          </w:p>
        </w:tc>
        <w:tc>
          <w:tcPr>
            <w:shd w:fill="F8F0EB" w:val="clear"/>
            <w:tcMar>
              <w:top w:type="dxa" w:w="60"/>
              <w:left w:type="dxa" w:w="120"/>
              <w:bottom w:type="dxa" w:w="60"/>
              <w:right w:type="dxa" w:w="120"/>
            </w:tcMar>
          </w:tcPr>
          <w:p>
            <w:r>
              <w:rPr>
                <w:rFonts w:ascii="Calibri" w:eastAsia="Microsoft YaHei"/>
                <w:color w:val="182030"/>
                <w:sz w:val="21"/>
                <w:szCs w:val="21"/>
              </w:rPr>
              <w:t xml:space="preserve">Venue booked, materials printed, catering confirmed</w:t>
            </w:r>
          </w:p>
        </w:tc>
        <w:tc>
          <w:tcPr>
            <w:shd w:fill="F8F0EB" w:val="clear"/>
            <w:tcMar>
              <w:top w:type="dxa" w:w="60"/>
              <w:left w:type="dxa" w:w="120"/>
              <w:bottom w:type="dxa" w:w="60"/>
              <w:right w:type="dxa" w:w="120"/>
            </w:tcMar>
          </w:tcPr>
          <w:p>
            <w:r>
              <w:rPr>
                <w:rFonts w:ascii="Calibri" w:eastAsia="Microsoft YaHei"/>
                <w:color w:val="182030"/>
                <w:sz w:val="21"/>
                <w:szCs w:val="21"/>
              </w:rPr>
              <w:t xml:space="preserve">Prepare virtual backup format</w:t>
            </w:r>
          </w:p>
        </w:tc>
      </w:tr>
    </w:tbl>
    <w:p>
      <w:pPr>
        <w:pStyle w:val="Heading1"/>
        <w:spacing w:after="160" w:before="360" w:line="312"/>
      </w:pPr>
      <w:bookmarkStart w:id="100024" w:name="_Toc100024"/>
      <w:r>
        <w:rPr>
          <w:rFonts w:ascii="Calibri" w:eastAsia="SimHei"/>
          <w:b/>
          <w:bCs/>
          <w:color w:val="1A2330"/>
          <w:sz w:val="32"/>
          <w:szCs w:val="32"/>
        </w:rPr>
        <w:t xml:space="preserve">Task 4: Commission Rate Confirmation</w:t>
      </w:r>
      <w:bookmarkEnd w:id="100024"/>
    </w:p>
    <w:p>
      <w:pPr>
        <w:pStyle w:val="Heading2"/>
        <w:spacing w:after="120" w:before="240" w:line="312"/>
      </w:pPr>
      <w:bookmarkStart w:id="100025" w:name="_Toc100025"/>
      <w:r>
        <w:rPr>
          <w:rFonts w:ascii="Calibri" w:eastAsia="SimHei"/>
          <w:b/>
          <w:bCs/>
          <w:color w:val="1A2330"/>
          <w:sz w:val="28"/>
          <w:szCs w:val="28"/>
        </w:rPr>
        <w:t xml:space="preserve">4.1 Importance &amp; Urgency</w:t>
      </w:r>
      <w:bookmarkEnd w:id="100025"/>
    </w:p>
    <w:p>
      <w:pPr>
        <w:spacing w:after="80" w:line="312"/>
        <w:ind w:firstLine="480"/>
        <w:jc w:val="both"/>
      </w:pPr>
      <w:r>
        <w:rPr>
          <w:rFonts w:ascii="Calibri" w:eastAsia="Microsoft YaHei"/>
          <w:color w:val="182030"/>
          <w:sz w:val="24"/>
          <w:szCs w:val="24"/>
        </w:rPr>
        <w:t xml:space="preserve">Confirming commission rates across all MCLUB products is not merely an administrative task—it is a strategic enabler that directly impacts the success of the broker training funnel (Task 3, Session 2), the agent onboarding process for the CRM system (Task 1), and the overall credibility of MCLUB’s distribution network. Without confirmed commission rates, MCLUB cannot effectively recruit or retain agents and distributors, nor can it provide the financial transparency that insurance broker partners demand before committing their client relationships to MCLUB products.</w:t>
      </w:r>
    </w:p>
    <w:p>
      <w:pPr>
        <w:spacing w:after="80" w:line="312"/>
        <w:ind w:firstLine="480"/>
        <w:jc w:val="both"/>
      </w:pPr>
      <w:r>
        <w:rPr>
          <w:rFonts w:ascii="Calibri" w:eastAsia="Microsoft YaHei"/>
          <w:color w:val="182030"/>
          <w:sz w:val="24"/>
          <w:szCs w:val="24"/>
        </w:rPr>
        <w:t xml:space="preserve">The urgency of this task is underscored by its position as a hard dependency for Session 2 of the broker training program. If commission rates are not confirmed by June 13 (end of Week 2), the entire broker training funnel timeline is at risk. Team leaders cannot be expected to commit to promoting products with undefined compensation structures, and delaying Session 2 would cascade into postponing Session 3, potentially pushing the client seminar into July and losing the momentum built during the first half of the month.</w:t>
      </w:r>
    </w:p>
    <w:p>
      <w:pPr>
        <w:pStyle w:val="Heading2"/>
        <w:spacing w:after="120" w:before="240" w:line="312"/>
      </w:pPr>
      <w:bookmarkStart w:id="100026" w:name="_Toc100026"/>
      <w:r>
        <w:rPr>
          <w:rFonts w:ascii="Calibri" w:eastAsia="SimHei"/>
          <w:b/>
          <w:bCs/>
          <w:color w:val="1A2330"/>
          <w:sz w:val="28"/>
          <w:szCs w:val="28"/>
        </w:rPr>
        <w:t xml:space="preserve">4.2 Product Commission Framework</w:t>
      </w:r>
      <w:bookmarkEnd w:id="100026"/>
    </w:p>
    <w:p>
      <w:pPr>
        <w:spacing w:after="80" w:line="312"/>
        <w:ind w:firstLine="480"/>
        <w:jc w:val="both"/>
      </w:pPr>
      <w:r>
        <w:rPr>
          <w:rFonts w:ascii="Calibri" w:eastAsia="Microsoft YaHei"/>
          <w:color w:val="182030"/>
          <w:sz w:val="24"/>
          <w:szCs w:val="24"/>
        </w:rPr>
        <w:t xml:space="preserve">MCLUB’s commission structure operates across three distribution channels, each with distinct economics reflecting the level of involvement, client relationship ownership, and ongoing service obligations. The “Self” channel refers to MCLUB’s own advisory team selling directly to clients. The “Agent” channel covers independent agents who refer clients to MCLUB but do not manage the ongoing relationship. The “Distributor” channel encompasses larger distribution partners (such as insurance broker firms) who maintain the primary client relationship and deliver ongoing service.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Product #</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Product Name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Self Rate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Agent Rate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Distributor Rate</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Status</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01</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Core Business Advisory</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8F0EB" w:val="clear"/>
            <w:tcMar>
              <w:top w:type="dxa" w:w="60"/>
              <w:left w:type="dxa" w:w="120"/>
              <w:bottom w:type="dxa" w:w="60"/>
              <w:right w:type="dxa" w:w="120"/>
            </w:tcMar>
          </w:tcPr>
          <w:p>
            <w:r>
              <w:rPr>
                <w:rFonts w:ascii="Calibri" w:eastAsia="Microsoft YaHei"/>
                <w:color w:val="182030"/>
                <w:sz w:val="21"/>
                <w:szCs w:val="21"/>
              </w:rPr>
              <w:t xml:space="preserve">Pending</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02</w:t>
            </w:r>
          </w:p>
        </w:tc>
        <w:tc>
          <w:tcPr>
            <w:shd w:fill="FFFFFF" w:val="clear"/>
            <w:tcMar>
              <w:top w:type="dxa" w:w="60"/>
              <w:left w:type="dxa" w:w="120"/>
              <w:bottom w:type="dxa" w:w="60"/>
              <w:right w:type="dxa" w:w="120"/>
            </w:tcMar>
          </w:tcPr>
          <w:p>
            <w:r>
              <w:rPr>
                <w:rFonts w:ascii="Calibri" w:eastAsia="Microsoft YaHei"/>
                <w:color w:val="182030"/>
                <w:sz w:val="21"/>
                <w:szCs w:val="21"/>
              </w:rPr>
              <w:t xml:space="preserve">Offshore Insurance</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FFFFF" w:val="clear"/>
            <w:tcMar>
              <w:top w:type="dxa" w:w="60"/>
              <w:left w:type="dxa" w:w="120"/>
              <w:bottom w:type="dxa" w:w="60"/>
              <w:right w:type="dxa" w:w="120"/>
            </w:tcMar>
          </w:tcPr>
          <w:p>
            <w:r>
              <w:rPr>
                <w:rFonts w:ascii="Calibri" w:eastAsia="Microsoft YaHei"/>
                <w:color w:val="182030"/>
                <w:sz w:val="21"/>
                <w:szCs w:val="21"/>
              </w:rPr>
              <w:t xml:space="preserve">Pending</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03</w:t>
            </w:r>
          </w:p>
        </w:tc>
        <w:tc>
          <w:tcPr>
            <w:shd w:fill="F8F0EB" w:val="clear"/>
            <w:tcMar>
              <w:top w:type="dxa" w:w="60"/>
              <w:left w:type="dxa" w:w="120"/>
              <w:bottom w:type="dxa" w:w="60"/>
              <w:right w:type="dxa" w:w="120"/>
            </w:tcMar>
          </w:tcPr>
          <w:p>
            <w:r>
              <w:rPr>
                <w:rFonts w:ascii="Calibri" w:eastAsia="Microsoft YaHei"/>
                <w:color w:val="182030"/>
                <w:sz w:val="21"/>
                <w:szCs w:val="21"/>
              </w:rPr>
              <w:t xml:space="preserve">Wealth Management</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8F0EB" w:val="clear"/>
            <w:tcMar>
              <w:top w:type="dxa" w:w="60"/>
              <w:left w:type="dxa" w:w="120"/>
              <w:bottom w:type="dxa" w:w="60"/>
              <w:right w:type="dxa" w:w="120"/>
            </w:tcMar>
          </w:tcPr>
          <w:p>
            <w:r>
              <w:rPr>
                <w:rFonts w:ascii="Calibri" w:eastAsia="Microsoft YaHei"/>
                <w:color w:val="182030"/>
                <w:sz w:val="21"/>
                <w:szCs w:val="21"/>
              </w:rPr>
              <w:t xml:space="preserve">Pending</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04</w:t>
            </w:r>
          </w:p>
        </w:tc>
        <w:tc>
          <w:tcPr>
            <w:shd w:fill="FFFFFF" w:val="clear"/>
            <w:tcMar>
              <w:top w:type="dxa" w:w="60"/>
              <w:left w:type="dxa" w:w="120"/>
              <w:bottom w:type="dxa" w:w="60"/>
              <w:right w:type="dxa" w:w="120"/>
            </w:tcMar>
          </w:tcPr>
          <w:p>
            <w:r>
              <w:rPr>
                <w:rFonts w:ascii="Calibri" w:eastAsia="Microsoft YaHei"/>
                <w:color w:val="182030"/>
                <w:sz w:val="21"/>
                <w:szCs w:val="21"/>
              </w:rPr>
              <w:t xml:space="preserve">Tax Planning</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FFFFF" w:val="clear"/>
            <w:tcMar>
              <w:top w:type="dxa" w:w="60"/>
              <w:left w:type="dxa" w:w="120"/>
              <w:bottom w:type="dxa" w:w="60"/>
              <w:right w:type="dxa" w:w="120"/>
            </w:tcMar>
          </w:tcPr>
          <w:p>
            <w:r>
              <w:rPr>
                <w:rFonts w:ascii="Calibri" w:eastAsia="Microsoft YaHei"/>
                <w:color w:val="182030"/>
                <w:sz w:val="21"/>
                <w:szCs w:val="21"/>
              </w:rPr>
              <w:t xml:space="preserve">Pending</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05</w:t>
            </w:r>
          </w:p>
        </w:tc>
        <w:tc>
          <w:tcPr>
            <w:shd w:fill="F8F0EB" w:val="clear"/>
            <w:tcMar>
              <w:top w:type="dxa" w:w="60"/>
              <w:left w:type="dxa" w:w="120"/>
              <w:bottom w:type="dxa" w:w="60"/>
              <w:right w:type="dxa" w:w="120"/>
            </w:tcMar>
          </w:tcPr>
          <w:p>
            <w:r>
              <w:rPr>
                <w:rFonts w:ascii="Calibri" w:eastAsia="Microsoft YaHei"/>
                <w:color w:val="182030"/>
                <w:sz w:val="21"/>
                <w:szCs w:val="21"/>
              </w:rPr>
              <w:t xml:space="preserve">NPC Fund</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8F0EB" w:val="clear"/>
            <w:tcMar>
              <w:top w:type="dxa" w:w="60"/>
              <w:left w:type="dxa" w:w="120"/>
              <w:bottom w:type="dxa" w:w="60"/>
              <w:right w:type="dxa" w:w="120"/>
            </w:tcMar>
          </w:tcPr>
          <w:p>
            <w:r>
              <w:rPr>
                <w:rFonts w:ascii="Calibri" w:eastAsia="Microsoft YaHei"/>
                <w:color w:val="182030"/>
                <w:sz w:val="21"/>
                <w:szCs w:val="21"/>
              </w:rPr>
              <w:t xml:space="preserve">Pending</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06</w:t>
            </w:r>
          </w:p>
        </w:tc>
        <w:tc>
          <w:tcPr>
            <w:shd w:fill="FFFFFF" w:val="clear"/>
            <w:tcMar>
              <w:top w:type="dxa" w:w="60"/>
              <w:left w:type="dxa" w:w="120"/>
              <w:bottom w:type="dxa" w:w="60"/>
              <w:right w:type="dxa" w:w="120"/>
            </w:tcMar>
          </w:tcPr>
          <w:p>
            <w:r>
              <w:rPr>
                <w:rFonts w:ascii="Calibri" w:eastAsia="Microsoft YaHei"/>
                <w:color w:val="182030"/>
                <w:sz w:val="21"/>
                <w:szCs w:val="21"/>
              </w:rPr>
              <w:t xml:space="preserve">Overseas Property</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FFFFF" w:val="clear"/>
            <w:tcMar>
              <w:top w:type="dxa" w:w="60"/>
              <w:left w:type="dxa" w:w="120"/>
              <w:bottom w:type="dxa" w:w="60"/>
              <w:right w:type="dxa" w:w="120"/>
            </w:tcMar>
          </w:tcPr>
          <w:p>
            <w:r>
              <w:rPr>
                <w:rFonts w:ascii="Calibri" w:eastAsia="Microsoft YaHei"/>
                <w:color w:val="182030"/>
                <w:sz w:val="21"/>
                <w:szCs w:val="21"/>
              </w:rPr>
              <w:t xml:space="preserve">Pending</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07</w:t>
            </w:r>
          </w:p>
        </w:tc>
        <w:tc>
          <w:tcPr>
            <w:shd w:fill="F8F0EB" w:val="clear"/>
            <w:tcMar>
              <w:top w:type="dxa" w:w="60"/>
              <w:left w:type="dxa" w:w="120"/>
              <w:bottom w:type="dxa" w:w="60"/>
              <w:right w:type="dxa" w:w="120"/>
            </w:tcMar>
          </w:tcPr>
          <w:p>
            <w:r>
              <w:rPr>
                <w:rFonts w:ascii="Calibri" w:eastAsia="Microsoft YaHei"/>
                <w:color w:val="182030"/>
                <w:sz w:val="21"/>
                <w:szCs w:val="21"/>
              </w:rPr>
              <w:t xml:space="preserve">São Tomé Citizenship</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8F0EB" w:val="clear"/>
            <w:tcMar>
              <w:top w:type="dxa" w:w="60"/>
              <w:left w:type="dxa" w:w="120"/>
              <w:bottom w:type="dxa" w:w="60"/>
              <w:right w:type="dxa" w:w="120"/>
            </w:tcMar>
          </w:tcPr>
          <w:p>
            <w:r>
              <w:rPr>
                <w:rFonts w:ascii="Calibri" w:eastAsia="Microsoft YaHei"/>
                <w:color w:val="182030"/>
                <w:sz w:val="21"/>
                <w:szCs w:val="21"/>
              </w:rPr>
              <w:t xml:space="preserve">Pending</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08</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Company Secretary</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FFFFF" w:val="clear"/>
            <w:tcMar>
              <w:top w:type="dxa" w:w="60"/>
              <w:left w:type="dxa" w:w="120"/>
              <w:bottom w:type="dxa" w:w="60"/>
              <w:right w:type="dxa" w:w="120"/>
            </w:tcMar>
          </w:tcPr>
          <w:p>
            <w:r>
              <w:rPr>
                <w:rFonts w:ascii="Calibri" w:eastAsia="Microsoft YaHei"/>
                <w:color w:val="182030"/>
                <w:sz w:val="21"/>
                <w:szCs w:val="21"/>
              </w:rPr>
              <w:t xml:space="preserve">Pending</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09</w:t>
            </w:r>
          </w:p>
        </w:tc>
        <w:tc>
          <w:tcPr>
            <w:shd w:fill="F8F0EB" w:val="clear"/>
            <w:tcMar>
              <w:top w:type="dxa" w:w="60"/>
              <w:left w:type="dxa" w:w="120"/>
              <w:bottom w:type="dxa" w:w="60"/>
              <w:right w:type="dxa" w:w="120"/>
            </w:tcMar>
          </w:tcPr>
          <w:p>
            <w:r>
              <w:rPr>
                <w:rFonts w:ascii="Calibri" w:eastAsia="Microsoft YaHei"/>
                <w:color w:val="182030"/>
                <w:sz w:val="21"/>
                <w:szCs w:val="21"/>
              </w:rPr>
              <w:t xml:space="preserve">Estate Planning</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8F0EB" w:val="clear"/>
            <w:tcMar>
              <w:top w:type="dxa" w:w="60"/>
              <w:left w:type="dxa" w:w="120"/>
              <w:bottom w:type="dxa" w:w="60"/>
              <w:right w:type="dxa" w:w="120"/>
            </w:tcMar>
          </w:tcPr>
          <w:p>
            <w:r>
              <w:rPr>
                <w:rFonts w:ascii="Calibri" w:eastAsia="Microsoft YaHei"/>
                <w:color w:val="182030"/>
                <w:sz w:val="21"/>
                <w:szCs w:val="21"/>
              </w:rPr>
              <w:t xml:space="preserve">Pending</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10</w:t>
            </w:r>
          </w:p>
        </w:tc>
        <w:tc>
          <w:tcPr>
            <w:shd w:fill="FFFFFF" w:val="clear"/>
            <w:tcMar>
              <w:top w:type="dxa" w:w="60"/>
              <w:left w:type="dxa" w:w="120"/>
              <w:bottom w:type="dxa" w:w="60"/>
              <w:right w:type="dxa" w:w="120"/>
            </w:tcMar>
          </w:tcPr>
          <w:p>
            <w:r>
              <w:rPr>
                <w:rFonts w:ascii="Calibri" w:eastAsia="Microsoft YaHei"/>
                <w:color w:val="182030"/>
                <w:sz w:val="21"/>
                <w:szCs w:val="21"/>
              </w:rPr>
              <w:t xml:space="preserve">Family Trust</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【Confirm】</w:t>
            </w:r>
          </w:p>
        </w:tc>
        <w:tc>
          <w:tcPr>
            <w:shd w:fill="FFFFFF" w:val="clear"/>
            <w:tcMar>
              <w:top w:type="dxa" w:w="60"/>
              <w:left w:type="dxa" w:w="120"/>
              <w:bottom w:type="dxa" w:w="60"/>
              <w:right w:type="dxa" w:w="120"/>
            </w:tcMar>
          </w:tcPr>
          <w:p>
            <w:r>
              <w:rPr>
                <w:rFonts w:ascii="Calibri" w:eastAsia="Microsoft YaHei"/>
                <w:color w:val="182030"/>
                <w:sz w:val="21"/>
                <w:szCs w:val="21"/>
              </w:rPr>
              <w:t xml:space="preserve">Pending</w:t>
            </w:r>
          </w:p>
        </w:tc>
      </w:tr>
    </w:tbl>
    <w:p>
      <w:pPr>
        <w:spacing w:after="80" w:line="312"/>
        <w:ind w:firstLine="480"/>
        <w:jc w:val="both"/>
      </w:pPr>
      <w:r>
        <w:rPr>
          <w:rFonts w:ascii="Calibri" w:eastAsia="Microsoft YaHei"/>
          <w:color w:val="182030"/>
          <w:sz w:val="24"/>
          <w:szCs w:val="24"/>
        </w:rPr>
        <w:t xml:space="preserve">The table above uses standardized placeholders for the commission rate percentages. These must be filled in through internal discussions with MCLUB’s product heads, finance team, and distribution leadership. Each product may have a different commission model (percentage of AUM, flat fee per transaction, trailing commission, or hybrid), and the rates across channels typically follow a tiered structure where distributors receive the highest rate due to their greater service obligations, agents receive an intermediate rate, and the self channel retains the full margin but bears all delivery costs.</w:t>
      </w:r>
    </w:p>
    <w:p>
      <w:pPr>
        <w:pStyle w:val="Heading2"/>
        <w:spacing w:after="120" w:before="240" w:line="312"/>
      </w:pPr>
      <w:bookmarkStart w:id="100027" w:name="_Toc100027"/>
      <w:r>
        <w:rPr>
          <w:rFonts w:ascii="Calibri" w:eastAsia="SimHei"/>
          <w:b/>
          <w:bCs/>
          <w:color w:val="1A2330"/>
          <w:sz w:val="28"/>
          <w:szCs w:val="28"/>
        </w:rPr>
        <w:t xml:space="preserve">4.3 Confirmation Process</w:t>
      </w:r>
      <w:bookmarkEnd w:id="100027"/>
    </w:p>
    <w:p>
      <w:pPr>
        <w:pStyle w:val="Heading3"/>
        <w:spacing w:after="100" w:before="200" w:line="312"/>
      </w:pPr>
      <w:bookmarkStart w:id="100028" w:name="_Toc100028"/>
      <w:r>
        <w:rPr>
          <w:rFonts w:ascii="Calibri" w:eastAsia="SimHei"/>
          <w:b/>
          <w:bCs/>
          <w:color w:val="1A2330"/>
          <w:sz w:val="24"/>
          <w:szCs w:val="24"/>
        </w:rPr>
        <w:t xml:space="preserve">Week 1 (June 2–6): Rate Drafting</w:t>
      </w:r>
      <w:bookmarkEnd w:id="100028"/>
    </w:p>
    <w:p>
      <w:pPr>
        <w:spacing w:after="80" w:line="312"/>
        <w:ind w:firstLine="480"/>
        <w:jc w:val="both"/>
      </w:pPr>
      <w:r>
        <w:rPr>
          <w:rFonts w:ascii="Calibri" w:eastAsia="Microsoft YaHei"/>
          <w:color w:val="182030"/>
          <w:sz w:val="24"/>
          <w:szCs w:val="24"/>
        </w:rPr>
        <w:t xml:space="preserve">The product heads for each of the ten MCLUB products prepare draft commission rate proposals for all three channels. These drafts should include the proposed rate, the rationale (market benchmarking, competitive positioning, margin analysis), and any volume-based tiering or performance bonuses. The finance team provides margin analysis to ensure all proposed rates are financially viable. By end of Week 1, all draft proposals must be compiled into a single commission rate document for executive review.</w:t>
      </w:r>
    </w:p>
    <w:p>
      <w:pPr>
        <w:pStyle w:val="ListParagraph"/>
        <w:numPr>
          <w:ilvl w:val="0"/>
          <w:numId w:val="1"/>
        </w:numPr>
        <w:spacing w:after="60" w:line="312"/>
      </w:pPr>
      <w:r>
        <w:rPr>
          <w:rFonts w:ascii="Calibri" w:eastAsia="Microsoft YaHei"/>
          <w:color w:val="182030"/>
          <w:sz w:val="24"/>
          <w:szCs w:val="24"/>
        </w:rPr>
        <w:t xml:space="preserve">Monday: Distribute commission rate templates to all 10 product heads</w:t>
      </w:r>
    </w:p>
    <w:p>
      <w:pPr>
        <w:pStyle w:val="ListParagraph"/>
        <w:numPr>
          <w:ilvl w:val="0"/>
          <w:numId w:val="1"/>
        </w:numPr>
        <w:spacing w:after="60" w:line="312"/>
      </w:pPr>
      <w:r>
        <w:rPr>
          <w:rFonts w:ascii="Calibri" w:eastAsia="Microsoft YaHei"/>
          <w:color w:val="182030"/>
          <w:sz w:val="24"/>
          <w:szCs w:val="24"/>
        </w:rPr>
        <w:t xml:space="preserve">Tuesday–Wednesday: Product heads prepare draft rates; finance provides margin analysis</w:t>
      </w:r>
    </w:p>
    <w:p>
      <w:pPr>
        <w:pStyle w:val="ListParagraph"/>
        <w:numPr>
          <w:ilvl w:val="0"/>
          <w:numId w:val="1"/>
        </w:numPr>
        <w:spacing w:after="60" w:line="312"/>
      </w:pPr>
      <w:r>
        <w:rPr>
          <w:rFonts w:ascii="Calibri" w:eastAsia="Microsoft YaHei"/>
          <w:color w:val="182030"/>
          <w:sz w:val="24"/>
          <w:szCs w:val="24"/>
        </w:rPr>
        <w:t xml:space="preserve">Thursday: Compile all draft rates into unified commission framework document</w:t>
      </w:r>
    </w:p>
    <w:p>
      <w:pPr>
        <w:pStyle w:val="ListParagraph"/>
        <w:numPr>
          <w:ilvl w:val="0"/>
          <w:numId w:val="1"/>
        </w:numPr>
        <w:spacing w:after="60" w:line="312"/>
      </w:pPr>
      <w:r>
        <w:rPr>
          <w:rFonts w:ascii="Calibri" w:eastAsia="Microsoft YaHei"/>
          <w:color w:val="182030"/>
          <w:sz w:val="24"/>
          <w:szCs w:val="24"/>
        </w:rPr>
        <w:t xml:space="preserve">Friday: Submit to Managing Director for initial review and feedback</w:t>
      </w:r>
    </w:p>
    <w:p>
      <w:pPr>
        <w:pStyle w:val="Heading3"/>
        <w:spacing w:after="100" w:before="200" w:line="312"/>
      </w:pPr>
      <w:bookmarkStart w:id="100029" w:name="_Toc100029"/>
      <w:r>
        <w:rPr>
          <w:rFonts w:ascii="Calibri" w:eastAsia="SimHei"/>
          <w:b/>
          <w:bCs/>
          <w:color w:val="1A2330"/>
          <w:sz w:val="24"/>
          <w:szCs w:val="24"/>
        </w:rPr>
        <w:t xml:space="preserve">Week 2 (June 9–13): Executive Review &amp; Finalization</w:t>
      </w:r>
      <w:bookmarkEnd w:id="100029"/>
    </w:p>
    <w:p>
      <w:pPr>
        <w:spacing w:after="80" w:line="312"/>
        <w:ind w:firstLine="480"/>
        <w:jc w:val="both"/>
      </w:pPr>
      <w:r>
        <w:rPr>
          <w:rFonts w:ascii="Calibri" w:eastAsia="Microsoft YaHei"/>
          <w:color w:val="182030"/>
          <w:sz w:val="24"/>
          <w:szCs w:val="24"/>
        </w:rPr>
        <w:t xml:space="preserve">Week two is dedicated to executive review, negotiation, and final sign-off. The Managing Director reviews each product’s commission rates, comparing them against market benchmarks and MCLUB’s strategic priorities. Any adjustments are discussed with the relevant product head and finance team. The final commission rate schedule is approved and documented by end of Week 2. This deadline is non-negotiable because Session 2 of the broker training funnel requires confirmed rates.</w:t>
      </w:r>
    </w:p>
    <w:p>
      <w:pPr>
        <w:pStyle w:val="ListParagraph"/>
        <w:numPr>
          <w:ilvl w:val="0"/>
          <w:numId w:val="1"/>
        </w:numPr>
        <w:spacing w:after="60" w:line="312"/>
      </w:pPr>
      <w:r>
        <w:rPr>
          <w:rFonts w:ascii="Calibri" w:eastAsia="Microsoft YaHei"/>
          <w:color w:val="182030"/>
          <w:sz w:val="24"/>
          <w:szCs w:val="24"/>
        </w:rPr>
        <w:t xml:space="preserve">Monday–Tuesday: Managing Director reviews draft rates; identifies items requiring adjustment</w:t>
      </w:r>
    </w:p>
    <w:p>
      <w:pPr>
        <w:pStyle w:val="ListParagraph"/>
        <w:numPr>
          <w:ilvl w:val="0"/>
          <w:numId w:val="1"/>
        </w:numPr>
        <w:spacing w:after="60" w:line="312"/>
      </w:pPr>
      <w:r>
        <w:rPr>
          <w:rFonts w:ascii="Calibri" w:eastAsia="Microsoft YaHei"/>
          <w:color w:val="182030"/>
          <w:sz w:val="24"/>
          <w:szCs w:val="24"/>
        </w:rPr>
        <w:t xml:space="preserve">Wednesday: Rate adjustment discussions with product heads and finance</w:t>
      </w:r>
    </w:p>
    <w:p>
      <w:pPr>
        <w:pStyle w:val="ListParagraph"/>
        <w:numPr>
          <w:ilvl w:val="0"/>
          <w:numId w:val="1"/>
        </w:numPr>
        <w:spacing w:after="60" w:line="312"/>
      </w:pPr>
      <w:r>
        <w:rPr>
          <w:rFonts w:ascii="Calibri" w:eastAsia="Microsoft YaHei"/>
          <w:color w:val="182030"/>
          <w:sz w:val="24"/>
          <w:szCs w:val="24"/>
        </w:rPr>
        <w:t xml:space="preserve">Thursday: Final commission rate schedule prepared and circulated for sign-off</w:t>
      </w:r>
    </w:p>
    <w:p>
      <w:pPr>
        <w:pStyle w:val="ListParagraph"/>
        <w:numPr>
          <w:ilvl w:val="0"/>
          <w:numId w:val="1"/>
        </w:numPr>
        <w:spacing w:after="60" w:line="312"/>
      </w:pPr>
      <w:r>
        <w:rPr>
          <w:rFonts w:ascii="Calibri" w:eastAsia="Microsoft YaHei"/>
          <w:color w:val="182030"/>
          <w:sz w:val="24"/>
          <w:szCs w:val="24"/>
        </w:rPr>
        <w:t xml:space="preserve">Friday: Official sign-off; commission rate document distributed to relevant stakeholders</w:t>
      </w:r>
    </w:p>
    <w:p>
      <w:pPr>
        <w:pStyle w:val="Heading2"/>
        <w:spacing w:after="120" w:before="240" w:line="312"/>
      </w:pPr>
      <w:bookmarkStart w:id="100030" w:name="_Toc100030"/>
      <w:r>
        <w:rPr>
          <w:rFonts w:ascii="Calibri" w:eastAsia="SimHei"/>
          <w:b/>
          <w:bCs/>
          <w:color w:val="1A2330"/>
          <w:sz w:val="28"/>
          <w:szCs w:val="28"/>
        </w:rPr>
        <w:t xml:space="preserve">4.4 Commission Rate Principles</w:t>
      </w:r>
      <w:bookmarkEnd w:id="100030"/>
    </w:p>
    <w:p>
      <w:pPr>
        <w:spacing w:after="80" w:line="312"/>
        <w:ind w:firstLine="480"/>
        <w:jc w:val="both"/>
      </w:pPr>
      <w:r>
        <w:rPr>
          <w:rFonts w:ascii="Calibri" w:eastAsia="Microsoft YaHei"/>
          <w:color w:val="182030"/>
          <w:sz w:val="24"/>
          <w:szCs w:val="24"/>
        </w:rPr>
        <w:t xml:space="preserve">To ensure consistency and fairness across the commission framework, the following principles guide rate-setting decisions. First, the Distributor channel should receive the highest commission rate because distributors bear the greatest service obligation and client relationship management costs. Second, Agent rates should be set at a level that is competitive with market benchmarks for similar financial products, ensuring MCLUB can attract quality agents. Third, the Self channel margin should be sufficient to cover MCLUB’s internal delivery costs while maintaining competitive client pricing. Fourth, all rates should include a trailing component where appropriate, aligning the interests of all channels with long-term client retention rather than one-time sales. Fifth, volume-based tiering should reward high-performing channels, creating an incentive for increased production without eroding base-level profitability.</w:t>
      </w:r>
    </w:p>
    <w:p>
      <w:pPr>
        <w:pStyle w:val="Heading1"/>
        <w:spacing w:after="160" w:before="360" w:line="312"/>
      </w:pPr>
      <w:bookmarkStart w:id="100031" w:name="_Toc100031"/>
      <w:r>
        <w:rPr>
          <w:rFonts w:ascii="Calibri" w:eastAsia="SimHei"/>
          <w:b/>
          <w:bCs/>
          <w:color w:val="1A2330"/>
          <w:sz w:val="32"/>
          <w:szCs w:val="32"/>
        </w:rPr>
        <w:t xml:space="preserve">Consolidated Monthly Timeline</w:t>
      </w:r>
      <w:bookmarkEnd w:id="100031"/>
    </w:p>
    <w:p>
      <w:pPr>
        <w:pStyle w:val="Heading2"/>
        <w:spacing w:after="120" w:before="240" w:line="312"/>
      </w:pPr>
      <w:bookmarkStart w:id="100032" w:name="_Toc100032"/>
      <w:r>
        <w:rPr>
          <w:rFonts w:ascii="Calibri" w:eastAsia="SimHei"/>
          <w:b/>
          <w:bCs/>
          <w:color w:val="1A2330"/>
          <w:sz w:val="28"/>
          <w:szCs w:val="28"/>
        </w:rPr>
        <w:t xml:space="preserve">5.1 Week-by-Week Master Schedule</w:t>
      </w:r>
      <w:bookmarkEnd w:id="100032"/>
    </w:p>
    <w:p>
      <w:pPr>
        <w:spacing w:after="80" w:line="312"/>
        <w:ind w:firstLine="480"/>
        <w:jc w:val="both"/>
      </w:pPr>
      <w:r>
        <w:rPr>
          <w:rFonts w:ascii="Calibri" w:eastAsia="Microsoft YaHei"/>
          <w:color w:val="182030"/>
          <w:sz w:val="24"/>
          <w:szCs w:val="24"/>
        </w:rPr>
        <w:t xml:space="preserve">The following master schedule provides a consolidated view of all four workstreams across June 2026, highlighting key dependencies and critical path items. This schedule should be reviewed in the Monday morning coordination meeting each week, with adjustments made based on actual progress and any emerging risks or opportunities.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Week</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CRM System</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Video Content</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Broker Training</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Commission Rates</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Week 1
(Jun 2–6)</w:t>
            </w:r>
          </w:p>
        </w:tc>
        <w:tc>
          <w:tcPr>
            <w:shd w:fill="F8F0EB" w:val="clear"/>
            <w:tcMar>
              <w:top w:type="dxa" w:w="60"/>
              <w:left w:type="dxa" w:w="120"/>
              <w:bottom w:type="dxa" w:w="60"/>
              <w:right w:type="dxa" w:w="120"/>
            </w:tcMar>
          </w:tcPr>
          <w:p>
            <w:r>
              <w:rPr>
                <w:rFonts w:ascii="Calibri" w:eastAsia="Microsoft YaHei"/>
                <w:color w:val="182030"/>
                <w:sz w:val="21"/>
                <w:szCs w:val="21"/>
              </w:rPr>
              <w:t xml:space="preserve">Requirements &amp; design finalization</w:t>
            </w:r>
          </w:p>
        </w:tc>
        <w:tc>
          <w:tcPr>
            <w:shd w:fill="F8F0EB" w:val="clear"/>
            <w:tcMar>
              <w:top w:type="dxa" w:w="60"/>
              <w:left w:type="dxa" w:w="120"/>
              <w:bottom w:type="dxa" w:w="60"/>
              <w:right w:type="dxa" w:w="120"/>
            </w:tcMar>
          </w:tcPr>
          <w:p>
            <w:r>
              <w:rPr>
                <w:rFonts w:ascii="Calibri" w:eastAsia="Microsoft YaHei"/>
                <w:color w:val="182030"/>
                <w:sz w:val="21"/>
                <w:szCs w:val="21"/>
              </w:rPr>
              <w:t xml:space="preserve">Brand intro &amp; core business content</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Contact broker firm heads; schedule Session 1</w:t>
            </w:r>
          </w:p>
        </w:tc>
        <w:tc>
          <w:tcPr>
            <w:shd w:fill="F8F0EB" w:val="clear"/>
            <w:tcMar>
              <w:top w:type="dxa" w:w="60"/>
              <w:left w:type="dxa" w:w="120"/>
              <w:bottom w:type="dxa" w:w="60"/>
              <w:right w:type="dxa" w:w="120"/>
            </w:tcMar>
          </w:tcPr>
          <w:p>
            <w:r>
              <w:rPr>
                <w:rFonts w:ascii="Calibri" w:eastAsia="Microsoft YaHei"/>
                <w:color w:val="182030"/>
                <w:sz w:val="21"/>
                <w:szCs w:val="21"/>
              </w:rPr>
              <w:t xml:space="preserve">Product heads draft commission rates</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Week 2
(Jun 9–13)</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Core development sprint</w:t>
            </w:r>
          </w:p>
        </w:tc>
        <w:tc>
          <w:tcPr>
            <w:shd w:fill="FFFFFF" w:val="clear"/>
            <w:tcMar>
              <w:top w:type="dxa" w:w="60"/>
              <w:left w:type="dxa" w:w="120"/>
              <w:bottom w:type="dxa" w:w="60"/>
              <w:right w:type="dxa" w:w="120"/>
            </w:tcMar>
          </w:tcPr>
          <w:p>
            <w:r>
              <w:rPr>
                <w:rFonts w:ascii="Calibri" w:eastAsia="Microsoft YaHei"/>
                <w:color w:val="182030"/>
                <w:sz w:val="21"/>
                <w:szCs w:val="21"/>
              </w:rPr>
              <w:t xml:space="preserve">Investment &amp; fund product content</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Conduct Session 1 (leadership)</w:t>
            </w:r>
          </w:p>
        </w:tc>
        <w:tc>
          <w:tcPr>
            <w:shd w:fill="FFFFFF" w:val="clear"/>
            <w:tcMar>
              <w:top w:type="dxa" w:w="60"/>
              <w:left w:type="dxa" w:w="120"/>
              <w:bottom w:type="dxa" w:w="60"/>
              <w:right w:type="dxa" w:w="120"/>
            </w:tcMar>
          </w:tcPr>
          <w:p>
            <w:r>
              <w:rPr>
                <w:rFonts w:ascii="Calibri" w:eastAsia="Microsoft YaHei"/>
                <w:color w:val="182030"/>
                <w:sz w:val="21"/>
                <w:szCs w:val="21"/>
              </w:rPr>
              <w:t xml:space="preserve">Executive review &amp; final sign-off</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Week 3
(Jun 16–20)</w:t>
            </w:r>
          </w:p>
        </w:tc>
        <w:tc>
          <w:tcPr>
            <w:shd w:fill="F8F0EB" w:val="clear"/>
            <w:tcMar>
              <w:top w:type="dxa" w:w="60"/>
              <w:left w:type="dxa" w:w="120"/>
              <w:bottom w:type="dxa" w:w="60"/>
              <w:right w:type="dxa" w:w="120"/>
            </w:tcMar>
          </w:tcPr>
          <w:p>
            <w:r>
              <w:rPr>
                <w:rFonts w:ascii="Calibri" w:eastAsia="Microsoft YaHei"/>
                <w:color w:val="182030"/>
                <w:sz w:val="21"/>
                <w:szCs w:val="21"/>
              </w:rPr>
              <w:t xml:space="preserve">Advanced features &amp; integration</w:t>
            </w:r>
          </w:p>
        </w:tc>
        <w:tc>
          <w:tcPr>
            <w:shd w:fill="F8F0EB" w:val="clear"/>
            <w:tcMar>
              <w:top w:type="dxa" w:w="60"/>
              <w:left w:type="dxa" w:w="120"/>
              <w:bottom w:type="dxa" w:w="60"/>
              <w:right w:type="dxa" w:w="120"/>
            </w:tcMar>
          </w:tcPr>
          <w:p>
            <w:r>
              <w:rPr>
                <w:rFonts w:ascii="Calibri" w:eastAsia="Microsoft YaHei"/>
                <w:color w:val="182030"/>
                <w:sz w:val="21"/>
                <w:szCs w:val="21"/>
              </w:rPr>
              <w:t xml:space="preserve">Insurance &amp; protection content</w:t>
            </w:r>
          </w:p>
        </w:tc>
        <w:tc>
          <w:tcPr>
            <w:shd w:fill="F8F0EB" w:val="clear"/>
            <w:tcMar>
              <w:top w:type="dxa" w:w="60"/>
              <w:left w:type="dxa" w:w="120"/>
              <w:bottom w:type="dxa" w:w="60"/>
              <w:right w:type="dxa" w:w="120"/>
            </w:tcMar>
          </w:tcPr>
          <w:p>
            <w:r>
              <w:rPr>
                <w:rFonts w:ascii="Calibri" w:eastAsia="Microsoft YaHei"/>
                <w:color w:val="182030"/>
                <w:sz w:val="21"/>
                <w:szCs w:val="21"/>
              </w:rPr>
              <w:t xml:space="preserve">Conduct Session 2 (team leaders) ⚠ Dependency: rates confirmed</w:t>
            </w:r>
          </w:p>
        </w:tc>
        <w:tc>
          <w:tcPr>
            <w:shd w:fill="F8F0EB" w:val="clear"/>
            <w:tcMar>
              <w:top w:type="dxa" w:w="60"/>
              <w:left w:type="dxa" w:w="120"/>
              <w:bottom w:type="dxa" w:w="60"/>
              <w:right w:type="dxa" w:w="120"/>
            </w:tcMar>
          </w:tcPr>
          <w:p>
            <w:r>
              <w:rPr>
                <w:rFonts w:ascii="Calibri" w:eastAsia="Microsoft YaHei"/>
                <w:color w:val="182030"/>
                <w:sz w:val="21"/>
                <w:szCs w:val="21"/>
              </w:rPr>
              <w:t xml:space="preserve">Rates confirmed &amp; distributed</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Week 4
(Jun 23–27)</w:t>
            </w:r>
          </w:p>
        </w:tc>
        <w:tc>
          <w:tcPr>
            <w:shd w:fill="FFFFFF" w:val="clear"/>
            <w:tcMar>
              <w:top w:type="dxa" w:w="60"/>
              <w:left w:type="dxa" w:w="120"/>
              <w:bottom w:type="dxa" w:w="60"/>
              <w:right w:type="dxa" w:w="120"/>
            </w:tcMar>
          </w:tcPr>
          <w:p>
            <w:r>
              <w:rPr>
                <w:rFonts w:ascii="Calibri" w:eastAsia="Microsoft YaHei"/>
                <w:color w:val="182030"/>
                <w:sz w:val="21"/>
                <w:szCs w:val="21"/>
              </w:rPr>
              <w:t xml:space="preserve">Beta testing &amp; onboarding</w:t>
            </w:r>
          </w:p>
        </w:tc>
        <w:tc>
          <w:tcPr>
            <w:shd w:fill="FFFFFF" w:val="clear"/>
            <w:tcMar>
              <w:top w:type="dxa" w:w="60"/>
              <w:left w:type="dxa" w:w="120"/>
              <w:bottom w:type="dxa" w:w="60"/>
              <w:right w:type="dxa" w:w="120"/>
            </w:tcMar>
          </w:tcPr>
          <w:p>
            <w:r>
              <w:rPr>
                <w:rFonts w:ascii="Calibri" w:eastAsia="Microsoft YaHei"/>
                <w:color w:val="182030"/>
                <w:sz w:val="21"/>
                <w:szCs w:val="21"/>
              </w:rPr>
              <w:t xml:space="preserve">Citizenship, property &amp; holistic content</w:t>
            </w:r>
          </w:p>
        </w:tc>
        <w:tc>
          <w:tcPr>
            <w:shd w:fill="FFFFFF" w:val="clear"/>
            <w:tcMar>
              <w:top w:type="dxa" w:w="60"/>
              <w:left w:type="dxa" w:w="120"/>
              <w:bottom w:type="dxa" w:w="60"/>
              <w:right w:type="dxa" w:w="120"/>
            </w:tcMar>
          </w:tcPr>
          <w:p>
            <w:r>
              <w:rPr>
                <w:rFonts w:ascii="Calibri" w:eastAsia="Microsoft YaHei"/>
                <w:color w:val="182030"/>
                <w:sz w:val="21"/>
                <w:szCs w:val="21"/>
              </w:rPr>
              <w:t xml:space="preserve">Conduct Session 3 (client seminar)</w:t>
            </w:r>
          </w:p>
        </w:tc>
        <w:tc>
          <w:tcPr>
            <w:shd w:fill="FFFFFF" w:val="clear"/>
            <w:tcMar>
              <w:top w:type="dxa" w:w="60"/>
              <w:left w:type="dxa" w:w="120"/>
              <w:bottom w:type="dxa" w:w="60"/>
              <w:right w:type="dxa" w:w="120"/>
            </w:tcMar>
          </w:tcPr>
          <w:p>
            <w:r>
              <w:rPr>
                <w:rFonts w:ascii="Calibri" w:eastAsia="Microsoft YaHei"/>
                <w:color w:val="182030"/>
                <w:sz w:val="21"/>
                <w:szCs w:val="21"/>
              </w:rPr>
              <w:t xml:space="preserve">Rates integrated into CRM &amp; training materials</w:t>
            </w:r>
          </w:p>
        </w:tc>
      </w:tr>
    </w:tbl>
    <w:p>
      <w:pPr>
        <w:pStyle w:val="Heading2"/>
        <w:spacing w:after="120" w:before="240" w:line="312"/>
      </w:pPr>
      <w:bookmarkStart w:id="100033" w:name="_Toc100033"/>
      <w:r>
        <w:rPr>
          <w:rFonts w:ascii="Calibri" w:eastAsia="SimHei"/>
          <w:b/>
          <w:bCs/>
          <w:color w:val="1A2330"/>
          <w:sz w:val="28"/>
          <w:szCs w:val="28"/>
        </w:rPr>
        <w:t xml:space="preserve">5.2 Critical Path &amp; Dependencies</w:t>
      </w:r>
      <w:bookmarkEnd w:id="100033"/>
    </w:p>
    <w:p>
      <w:pPr>
        <w:spacing w:after="80" w:line="312"/>
        <w:ind w:firstLine="480"/>
        <w:jc w:val="both"/>
      </w:pPr>
      <w:r>
        <w:rPr>
          <w:rFonts w:ascii="Calibri" w:eastAsia="Microsoft YaHei"/>
          <w:color w:val="182030"/>
          <w:sz w:val="24"/>
          <w:szCs w:val="24"/>
        </w:rPr>
        <w:t xml:space="preserve">The critical path through June’s action plan runs through the commission rate confirmation (Task 4) into the broker training Session 2 (Task 3). If commission rates are not confirmed by June 13, Session 2 cannot proceed as planned, which delays Session 3 and reduces the overall effectiveness of the broker training funnel. The CRM system development (Task 1) runs on a parallel track but shares a dependency with commission rates in Week 4, when confirmed rates must be integrated into the commission dashboard module.</w:t>
      </w:r>
    </w:p>
    <w:p>
      <w:pPr>
        <w:spacing w:after="80" w:line="312"/>
        <w:ind w:firstLine="480"/>
        <w:jc w:val="both"/>
      </w:pPr>
      <w:r>
        <w:rPr>
          <w:rFonts w:ascii="Calibri" w:eastAsia="Microsoft YaHei"/>
          <w:color w:val="182030"/>
          <w:sz w:val="24"/>
          <w:szCs w:val="24"/>
        </w:rPr>
        <w:t xml:space="preserve">The video content schedule (Task 2) is the most independent workstream, with minimal dependencies on the other three tasks. However, it is coordinated with the broker training schedule to ensure that video content reinforces the training narrative—for example, insurance product videos are published during Week 3 when broker team leaders are being trained on those same products, enabling them to share the videos with their networks as supporting material. This cross-workstream coordination amplifies the impact of both the video content and the broker training.</w:t>
      </w:r>
    </w:p>
    <w:p>
      <w:pPr>
        <w:pStyle w:val="Heading1"/>
        <w:spacing w:after="160" w:before="360" w:line="312"/>
      </w:pPr>
      <w:bookmarkStart w:id="100034" w:name="_Toc100034"/>
      <w:r>
        <w:rPr>
          <w:rFonts w:ascii="Calibri" w:eastAsia="SimHei"/>
          <w:b/>
          <w:bCs/>
          <w:color w:val="1A2330"/>
          <w:sz w:val="32"/>
          <w:szCs w:val="32"/>
        </w:rPr>
        <w:t xml:space="preserve">Risk Analysis &amp; Mitigation</w:t>
      </w:r>
      <w:bookmarkEnd w:id="100034"/>
    </w:p>
    <w:p>
      <w:pPr>
        <w:spacing w:after="80" w:line="312"/>
        <w:ind w:firstLine="480"/>
        <w:jc w:val="both"/>
      </w:pPr>
      <w:r>
        <w:rPr>
          <w:rFonts w:ascii="Calibri" w:eastAsia="Microsoft YaHei"/>
          <w:color w:val="182030"/>
          <w:sz w:val="24"/>
          <w:szCs w:val="24"/>
        </w:rPr>
        <w:t xml:space="preserve">Every initiative in this action plan carries execution risks that must be proactively managed. The following analysis identifies the most significant risks, assesses their potential impact, and outlines specific mitigation strategies. Risk management is an ongoing process—the project lead should review this risk register weekly and escalate any risks that materialize or increase in severity.</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Risk</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Likelihood</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Impact</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Mitigation Strategy</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Commission rate delays beyond Week 2</w:t>
            </w:r>
          </w:p>
        </w:tc>
        <w:tc>
          <w:tcPr>
            <w:shd w:fill="F8F0EB" w:val="clear"/>
            <w:tcMar>
              <w:top w:type="dxa" w:w="60"/>
              <w:left w:type="dxa" w:w="120"/>
              <w:bottom w:type="dxa" w:w="60"/>
              <w:right w:type="dxa" w:w="120"/>
            </w:tcMar>
          </w:tcPr>
          <w:p>
            <w:r>
              <w:rPr>
                <w:rFonts w:ascii="Calibri" w:eastAsia="Microsoft YaHei"/>
                <w:color w:val="182030"/>
                <w:sz w:val="21"/>
                <w:szCs w:val="21"/>
              </w:rPr>
              <w:t xml:space="preserve">Medium</w:t>
            </w:r>
          </w:p>
        </w:tc>
        <w:tc>
          <w:tcPr>
            <w:shd w:fill="F8F0EB" w:val="clear"/>
            <w:tcMar>
              <w:top w:type="dxa" w:w="60"/>
              <w:left w:type="dxa" w:w="120"/>
              <w:bottom w:type="dxa" w:w="60"/>
              <w:right w:type="dxa" w:w="120"/>
            </w:tcMar>
          </w:tcPr>
          <w:p>
            <w:r>
              <w:rPr>
                <w:rFonts w:ascii="Calibri" w:eastAsia="Microsoft YaHei"/>
                <w:color w:val="182030"/>
                <w:sz w:val="21"/>
                <w:szCs w:val="21"/>
              </w:rPr>
              <w:t xml:space="preserve">High — blocks Session 2</w:t>
            </w:r>
          </w:p>
        </w:tc>
        <w:tc>
          <w:tcPr>
            <w:shd w:fill="F8F0EB" w:val="clear"/>
            <w:tcMar>
              <w:top w:type="dxa" w:w="60"/>
              <w:left w:type="dxa" w:w="120"/>
              <w:bottom w:type="dxa" w:w="60"/>
              <w:right w:type="dxa" w:w="120"/>
            </w:tcMar>
          </w:tcPr>
          <w:p>
            <w:r>
              <w:rPr>
                <w:rFonts w:ascii="Calibri" w:eastAsia="Microsoft YaHei"/>
                <w:color w:val="182030"/>
                <w:sz w:val="21"/>
                <w:szCs w:val="21"/>
              </w:rPr>
              <w:t xml:space="preserve">Set hard deadline June 13; escalate to MD if not signed by June 11</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CRM beta critical bugs delay deployment</w:t>
            </w:r>
          </w:p>
        </w:tc>
        <w:tc>
          <w:tcPr>
            <w:shd w:fill="FFFFFF" w:val="clear"/>
            <w:tcMar>
              <w:top w:type="dxa" w:w="60"/>
              <w:left w:type="dxa" w:w="120"/>
              <w:bottom w:type="dxa" w:w="60"/>
              <w:right w:type="dxa" w:w="120"/>
            </w:tcMar>
          </w:tcPr>
          <w:p>
            <w:r>
              <w:rPr>
                <w:rFonts w:ascii="Calibri" w:eastAsia="Microsoft YaHei"/>
                <w:color w:val="182030"/>
                <w:sz w:val="21"/>
                <w:szCs w:val="21"/>
              </w:rPr>
              <w:t xml:space="preserve">Medium</w:t>
            </w:r>
          </w:p>
        </w:tc>
        <w:tc>
          <w:tcPr>
            <w:shd w:fill="FFFFFF" w:val="clear"/>
            <w:tcMar>
              <w:top w:type="dxa" w:w="60"/>
              <w:left w:type="dxa" w:w="120"/>
              <w:bottom w:type="dxa" w:w="60"/>
              <w:right w:type="dxa" w:w="120"/>
            </w:tcMar>
          </w:tcPr>
          <w:p>
            <w:r>
              <w:rPr>
                <w:rFonts w:ascii="Calibri" w:eastAsia="Microsoft YaHei"/>
                <w:color w:val="182030"/>
                <w:sz w:val="21"/>
                <w:szCs w:val="21"/>
              </w:rPr>
              <w:t xml:space="preserve">Medium — delays agent onboarding</w:t>
            </w:r>
          </w:p>
        </w:tc>
        <w:tc>
          <w:tcPr>
            <w:shd w:fill="FFFFFF" w:val="clear"/>
            <w:tcMar>
              <w:top w:type="dxa" w:w="60"/>
              <w:left w:type="dxa" w:w="120"/>
              <w:bottom w:type="dxa" w:w="60"/>
              <w:right w:type="dxa" w:w="120"/>
            </w:tcMar>
          </w:tcPr>
          <w:p>
            <w:r>
              <w:rPr>
                <w:rFonts w:ascii="Calibri" w:eastAsia="Microsoft YaHei"/>
                <w:color w:val="182030"/>
                <w:sz w:val="21"/>
                <w:szCs w:val="21"/>
              </w:rPr>
              <w:t xml:space="preserve">Allocate 2 dedicated QA resources in Week 3; maintain bug triage daily</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Low broker firm attendance at Session 1</w:t>
            </w:r>
          </w:p>
        </w:tc>
        <w:tc>
          <w:tcPr>
            <w:shd w:fill="F8F0EB" w:val="clear"/>
            <w:tcMar>
              <w:top w:type="dxa" w:w="60"/>
              <w:left w:type="dxa" w:w="120"/>
              <w:bottom w:type="dxa" w:w="60"/>
              <w:right w:type="dxa" w:w="120"/>
            </w:tcMar>
          </w:tcPr>
          <w:p>
            <w:r>
              <w:rPr>
                <w:rFonts w:ascii="Calibri" w:eastAsia="Microsoft YaHei"/>
                <w:color w:val="182030"/>
                <w:sz w:val="21"/>
                <w:szCs w:val="21"/>
              </w:rPr>
              <w:t xml:space="preserve">Low–Medium</w:t>
            </w:r>
          </w:p>
        </w:tc>
        <w:tc>
          <w:tcPr>
            <w:shd w:fill="F8F0EB" w:val="clear"/>
            <w:tcMar>
              <w:top w:type="dxa" w:w="60"/>
              <w:left w:type="dxa" w:w="120"/>
              <w:bottom w:type="dxa" w:w="60"/>
              <w:right w:type="dxa" w:w="120"/>
            </w:tcMar>
          </w:tcPr>
          <w:p>
            <w:r>
              <w:rPr>
                <w:rFonts w:ascii="Calibri" w:eastAsia="Microsoft YaHei"/>
                <w:color w:val="182030"/>
                <w:sz w:val="21"/>
                <w:szCs w:val="21"/>
              </w:rPr>
              <w:t xml:space="preserve">High — reduces funnel pipeline</w:t>
            </w:r>
          </w:p>
        </w:tc>
        <w:tc>
          <w:tcPr>
            <w:shd w:fill="F8F0EB" w:val="clear"/>
            <w:tcMar>
              <w:top w:type="dxa" w:w="60"/>
              <w:left w:type="dxa" w:w="120"/>
              <w:bottom w:type="dxa" w:w="60"/>
              <w:right w:type="dxa" w:w="120"/>
            </w:tcMar>
          </w:tcPr>
          <w:p>
            <w:r>
              <w:rPr>
                <w:rFonts w:ascii="Calibri" w:eastAsia="Microsoft YaHei"/>
                <w:color w:val="182030"/>
                <w:sz w:val="21"/>
                <w:szCs w:val="21"/>
              </w:rPr>
              <w:t xml:space="preserve">Prepare backup list of 2 additional firms; offer virtual attendance option</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Video content production delays</w:t>
            </w:r>
          </w:p>
        </w:tc>
        <w:tc>
          <w:tcPr>
            <w:shd w:fill="FFFFFF" w:val="clear"/>
            <w:tcMar>
              <w:top w:type="dxa" w:w="60"/>
              <w:left w:type="dxa" w:w="120"/>
              <w:bottom w:type="dxa" w:w="60"/>
              <w:right w:type="dxa" w:w="120"/>
            </w:tcMar>
          </w:tcPr>
          <w:p>
            <w:r>
              <w:rPr>
                <w:rFonts w:ascii="Calibri" w:eastAsia="Microsoft YaHei"/>
                <w:color w:val="182030"/>
                <w:sz w:val="21"/>
                <w:szCs w:val="21"/>
              </w:rPr>
              <w:t xml:space="preserve">Medium</w:t>
            </w:r>
          </w:p>
        </w:tc>
        <w:tc>
          <w:tcPr>
            <w:shd w:fill="FFFFFF" w:val="clear"/>
            <w:tcMar>
              <w:top w:type="dxa" w:w="60"/>
              <w:left w:type="dxa" w:w="120"/>
              <w:bottom w:type="dxa" w:w="60"/>
              <w:right w:type="dxa" w:w="120"/>
            </w:tcMar>
          </w:tcPr>
          <w:p>
            <w:r>
              <w:rPr>
                <w:rFonts w:ascii="Calibri" w:eastAsia="Microsoft YaHei"/>
                <w:color w:val="182030"/>
                <w:sz w:val="21"/>
                <w:szCs w:val="21"/>
              </w:rPr>
              <w:t xml:space="preserve">Low –Medium — reduces content volume</w:t>
            </w:r>
          </w:p>
        </w:tc>
        <w:tc>
          <w:tcPr>
            <w:shd w:fill="FFFFFF" w:val="clear"/>
            <w:tcMar>
              <w:top w:type="dxa" w:w="60"/>
              <w:left w:type="dxa" w:w="120"/>
              <w:bottom w:type="dxa" w:w="60"/>
              <w:right w:type="dxa" w:w="120"/>
            </w:tcMar>
          </w:tcPr>
          <w:p>
            <w:r>
              <w:rPr>
                <w:rFonts w:ascii="Calibri" w:eastAsia="Microsoft YaHei"/>
                <w:color w:val="182030"/>
                <w:sz w:val="21"/>
                <w:szCs w:val="21"/>
              </w:rPr>
              <w:t xml:space="preserve">Batch-film content; maintain 1-week buffer in production schedule</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Team leaders fail to invite sufficient clients</w:t>
            </w:r>
          </w:p>
        </w:tc>
        <w:tc>
          <w:tcPr>
            <w:shd w:fill="F8F0EB" w:val="clear"/>
            <w:tcMar>
              <w:top w:type="dxa" w:w="60"/>
              <w:left w:type="dxa" w:w="120"/>
              <w:bottom w:type="dxa" w:w="60"/>
              <w:right w:type="dxa" w:w="120"/>
            </w:tcMar>
          </w:tcPr>
          <w:p>
            <w:r>
              <w:rPr>
                <w:rFonts w:ascii="Calibri" w:eastAsia="Microsoft YaHei"/>
                <w:color w:val="182030"/>
                <w:sz w:val="21"/>
                <w:szCs w:val="21"/>
              </w:rPr>
              <w:t xml:space="preserve">Medium</w:t>
            </w:r>
          </w:p>
        </w:tc>
        <w:tc>
          <w:tcPr>
            <w:shd w:fill="F8F0EB" w:val="clear"/>
            <w:tcMar>
              <w:top w:type="dxa" w:w="60"/>
              <w:left w:type="dxa" w:w="120"/>
              <w:bottom w:type="dxa" w:w="60"/>
              <w:right w:type="dxa" w:w="120"/>
            </w:tcMar>
          </w:tcPr>
          <w:p>
            <w:r>
              <w:rPr>
                <w:rFonts w:ascii="Calibri" w:eastAsia="Microsoft YaHei"/>
                <w:color w:val="182030"/>
                <w:sz w:val="21"/>
                <w:szCs w:val="21"/>
              </w:rPr>
              <w:t xml:space="preserve">High — undermines Session 3</w:t>
            </w:r>
          </w:p>
        </w:tc>
        <w:tc>
          <w:tcPr>
            <w:shd w:fill="F8F0EB" w:val="clear"/>
            <w:tcMar>
              <w:top w:type="dxa" w:w="60"/>
              <w:left w:type="dxa" w:w="120"/>
              <w:bottom w:type="dxa" w:w="60"/>
              <w:right w:type="dxa" w:w="120"/>
            </w:tcMar>
          </w:tcPr>
          <w:p>
            <w:r>
              <w:rPr>
                <w:rFonts w:ascii="Calibri" w:eastAsia="Microsoft YaHei"/>
                <w:color w:val="182030"/>
                <w:sz w:val="21"/>
                <w:szCs w:val="21"/>
              </w:rPr>
              <w:t xml:space="preserve">Provide pre-written invitation templates; offer incentive for client attendance</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Platform algorithm changes reduce video reach</w:t>
            </w:r>
          </w:p>
        </w:tc>
        <w:tc>
          <w:tcPr>
            <w:shd w:fill="FFFFFF" w:val="clear"/>
            <w:tcMar>
              <w:top w:type="dxa" w:w="60"/>
              <w:left w:type="dxa" w:w="120"/>
              <w:bottom w:type="dxa" w:w="60"/>
              <w:right w:type="dxa" w:w="120"/>
            </w:tcMar>
          </w:tcPr>
          <w:p>
            <w:r>
              <w:rPr>
                <w:rFonts w:ascii="Calibri" w:eastAsia="Microsoft YaHei"/>
                <w:color w:val="182030"/>
                <w:sz w:val="21"/>
                <w:szCs w:val="21"/>
              </w:rPr>
              <w:t xml:space="preserve">Low</w:t>
            </w:r>
          </w:p>
        </w:tc>
        <w:tc>
          <w:tcPr>
            <w:shd w:fill="FFFFFF" w:val="clear"/>
            <w:tcMar>
              <w:top w:type="dxa" w:w="60"/>
              <w:left w:type="dxa" w:w="120"/>
              <w:bottom w:type="dxa" w:w="60"/>
              <w:right w:type="dxa" w:w="120"/>
            </w:tcMar>
          </w:tcPr>
          <w:p>
            <w:r>
              <w:rPr>
                <w:rFonts w:ascii="Calibri" w:eastAsia="Microsoft YaHei"/>
                <w:color w:val="182030"/>
                <w:sz w:val="21"/>
                <w:szCs w:val="21"/>
              </w:rPr>
              <w:t xml:space="preserve">Medium — reduces content ROI</w:t>
            </w:r>
          </w:p>
        </w:tc>
        <w:tc>
          <w:tcPr>
            <w:shd w:fill="FFFFFF" w:val="clear"/>
            <w:tcMar>
              <w:top w:type="dxa" w:w="60"/>
              <w:left w:type="dxa" w:w="120"/>
              <w:bottom w:type="dxa" w:w="60"/>
              <w:right w:type="dxa" w:w="120"/>
            </w:tcMar>
          </w:tcPr>
          <w:p>
            <w:r>
              <w:rPr>
                <w:rFonts w:ascii="Calibri" w:eastAsia="Microsoft YaHei"/>
                <w:color w:val="182030"/>
                <w:sz w:val="21"/>
                <w:szCs w:val="21"/>
              </w:rPr>
              <w:t xml:space="preserve">Diversify across 5 platforms; monitor analytics daily and adjust strategy</w:t>
            </w:r>
          </w:p>
        </w:tc>
      </w:tr>
    </w:tbl>
    <w:p>
      <w:pPr>
        <w:pStyle w:val="Heading1"/>
        <w:spacing w:after="160" w:before="360" w:line="312"/>
      </w:pPr>
      <w:bookmarkStart w:id="100035" w:name="_Toc100035"/>
      <w:r>
        <w:rPr>
          <w:rFonts w:ascii="Calibri" w:eastAsia="SimHei"/>
          <w:b/>
          <w:bCs/>
          <w:color w:val="1A2330"/>
          <w:sz w:val="32"/>
          <w:szCs w:val="32"/>
        </w:rPr>
        <w:t xml:space="preserve">Success Metrics &amp; KPIs</w:t>
      </w:r>
      <w:bookmarkEnd w:id="100035"/>
    </w:p>
    <w:p>
      <w:pPr>
        <w:spacing w:after="80" w:line="312"/>
        <w:ind w:firstLine="480"/>
        <w:jc w:val="both"/>
      </w:pPr>
      <w:r>
        <w:rPr>
          <w:rFonts w:ascii="Calibri" w:eastAsia="Microsoft YaHei"/>
          <w:color w:val="182030"/>
          <w:sz w:val="24"/>
          <w:szCs w:val="24"/>
        </w:rPr>
        <w:t xml:space="preserve">Measuring the success of June’s action plan requires clear, quantifiable KPIs for each workstream. These metrics serve two purposes: they provide early warning signals if a workstream is falling behind, and they enable objective evaluation of the month’s overall performance at the end of June. Each KPI has a target (the minimum acceptable outcome) and a stretch goal (the aspirational outcome that would indicate exceptional performance).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Workstream</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KPI</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Target</w:t>
            </w:r>
          </w:p>
        </w:tc>
        <w:tc>
          <w:tcPr>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Stretch Goal</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CRM System</w:t>
            </w:r>
          </w:p>
        </w:tc>
        <w:tc>
          <w:tcPr>
            <w:shd w:fill="F8F0EB" w:val="clear"/>
            <w:tcMar>
              <w:top w:type="dxa" w:w="60"/>
              <w:left w:type="dxa" w:w="120"/>
              <w:bottom w:type="dxa" w:w="60"/>
              <w:right w:type="dxa" w:w="120"/>
            </w:tcMar>
          </w:tcPr>
          <w:p>
            <w:r>
              <w:rPr>
                <w:rFonts w:ascii="Calibri" w:eastAsia="Microsoft YaHei"/>
                <w:color w:val="182030"/>
                <w:sz w:val="21"/>
                <w:szCs w:val="21"/>
              </w:rPr>
              <w:t xml:space="preserve">Beta deployed on schedule</w:t>
            </w:r>
          </w:p>
        </w:tc>
        <w:tc>
          <w:tcPr>
            <w:shd w:fill="F8F0EB" w:val="clear"/>
            <w:tcMar>
              <w:top w:type="dxa" w:w="60"/>
              <w:left w:type="dxa" w:w="120"/>
              <w:bottom w:type="dxa" w:w="60"/>
              <w:right w:type="dxa" w:w="120"/>
            </w:tcMar>
          </w:tcPr>
          <w:p>
            <w:r>
              <w:rPr>
                <w:rFonts w:ascii="Calibri" w:eastAsia="Microsoft YaHei"/>
                <w:color w:val="182030"/>
                <w:sz w:val="21"/>
                <w:szCs w:val="21"/>
              </w:rPr>
              <w:t xml:space="preserve">June 23 deployment</w:t>
            </w:r>
          </w:p>
        </w:tc>
        <w:tc>
          <w:tcPr>
            <w:shd w:fill="F8F0EB" w:val="clear"/>
            <w:tcMar>
              <w:top w:type="dxa" w:w="60"/>
              <w:left w:type="dxa" w:w="120"/>
              <w:bottom w:type="dxa" w:w="60"/>
              <w:right w:type="dxa" w:w="120"/>
            </w:tcMar>
          </w:tcPr>
          <w:p>
            <w:r>
              <w:rPr>
                <w:rFonts w:ascii="Calibri" w:eastAsia="Microsoft YaHei"/>
                <w:color w:val="182030"/>
                <w:sz w:val="21"/>
                <w:szCs w:val="21"/>
              </w:rPr>
              <w:t xml:space="preserve">June 20 deployment</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CRM System</w:t>
            </w:r>
          </w:p>
        </w:tc>
        <w:tc>
          <w:tcPr>
            <w:shd w:fill="FFFFFF" w:val="clear"/>
            <w:tcMar>
              <w:top w:type="dxa" w:w="60"/>
              <w:left w:type="dxa" w:w="120"/>
              <w:bottom w:type="dxa" w:w="60"/>
              <w:right w:type="dxa" w:w="120"/>
            </w:tcMar>
          </w:tcPr>
          <w:p>
            <w:r>
              <w:rPr>
                <w:rFonts w:ascii="Calibri" w:eastAsia="Microsoft YaHei"/>
                <w:color w:val="182030"/>
                <w:sz w:val="21"/>
                <w:szCs w:val="21"/>
              </w:rPr>
              <w:t xml:space="preserve">Beta user activation rate</w:t>
            </w:r>
          </w:p>
        </w:tc>
        <w:tc>
          <w:tcPr>
            <w:shd w:fill="FFFFFF" w:val="clear"/>
            <w:tcMar>
              <w:top w:type="dxa" w:w="60"/>
              <w:left w:type="dxa" w:w="120"/>
              <w:bottom w:type="dxa" w:w="60"/>
              <w:right w:type="dxa" w:w="120"/>
            </w:tcMar>
          </w:tcPr>
          <w:p>
            <w:r>
              <w:rPr>
                <w:rFonts w:ascii="Calibri" w:eastAsia="Microsoft YaHei"/>
                <w:color w:val="182030"/>
                <w:sz w:val="21"/>
                <w:szCs w:val="21"/>
              </w:rPr>
              <w:t xml:space="preserve">70% of invited users</w:t>
            </w:r>
          </w:p>
        </w:tc>
        <w:tc>
          <w:tcPr>
            <w:shd w:fill="FFFFFF" w:val="clear"/>
            <w:tcMar>
              <w:top w:type="dxa" w:w="60"/>
              <w:left w:type="dxa" w:w="120"/>
              <w:bottom w:type="dxa" w:w="60"/>
              <w:right w:type="dxa" w:w="120"/>
            </w:tcMar>
          </w:tcPr>
          <w:p>
            <w:r>
              <w:rPr>
                <w:rFonts w:ascii="Calibri" w:eastAsia="Microsoft YaHei"/>
                <w:color w:val="182030"/>
                <w:sz w:val="21"/>
                <w:szCs w:val="21"/>
              </w:rPr>
              <w:t xml:space="preserve">85% of invited users</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CRM System</w:t>
            </w:r>
          </w:p>
        </w:tc>
        <w:tc>
          <w:tcPr>
            <w:shd w:fill="F8F0EB" w:val="clear"/>
            <w:tcMar>
              <w:top w:type="dxa" w:w="60"/>
              <w:left w:type="dxa" w:w="120"/>
              <w:bottom w:type="dxa" w:w="60"/>
              <w:right w:type="dxa" w:w="120"/>
            </w:tcMar>
          </w:tcPr>
          <w:p>
            <w:r>
              <w:rPr>
                <w:rFonts w:ascii="Calibri" w:eastAsia="Microsoft YaHei"/>
                <w:color w:val="182030"/>
                <w:sz w:val="21"/>
                <w:szCs w:val="21"/>
              </w:rPr>
              <w:t xml:space="preserve">Critical bug resolution time</w:t>
            </w:r>
          </w:p>
        </w:tc>
        <w:tc>
          <w:tcPr>
            <w:shd w:fill="F8F0EB" w:val="clear"/>
            <w:tcMar>
              <w:top w:type="dxa" w:w="60"/>
              <w:left w:type="dxa" w:w="120"/>
              <w:bottom w:type="dxa" w:w="60"/>
              <w:right w:type="dxa" w:w="120"/>
            </w:tcMar>
          </w:tcPr>
          <w:p>
            <w:r>
              <w:rPr>
                <w:rFonts w:ascii="Calibri" w:eastAsia="Microsoft YaHei"/>
                <w:color w:val="182030"/>
                <w:sz w:val="21"/>
                <w:szCs w:val="21"/>
              </w:rPr>
              <w:t xml:space="preserve">&lt; 48 hours</w:t>
            </w:r>
          </w:p>
        </w:tc>
        <w:tc>
          <w:tcPr>
            <w:shd w:fill="F8F0EB" w:val="clear"/>
            <w:tcMar>
              <w:top w:type="dxa" w:w="60"/>
              <w:left w:type="dxa" w:w="120"/>
              <w:bottom w:type="dxa" w:w="60"/>
              <w:right w:type="dxa" w:w="120"/>
            </w:tcMar>
          </w:tcPr>
          <w:p>
            <w:r>
              <w:rPr>
                <w:rFonts w:ascii="Calibri" w:eastAsia="Microsoft YaHei"/>
                <w:color w:val="182030"/>
                <w:sz w:val="21"/>
                <w:szCs w:val="21"/>
              </w:rPr>
              <w:t xml:space="preserve">&lt; 24 hours</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Video Content</w:t>
            </w:r>
          </w:p>
        </w:tc>
        <w:tc>
          <w:tcPr>
            <w:shd w:fill="FFFFFF" w:val="clear"/>
            <w:tcMar>
              <w:top w:type="dxa" w:w="60"/>
              <w:left w:type="dxa" w:w="120"/>
              <w:bottom w:type="dxa" w:w="60"/>
              <w:right w:type="dxa" w:w="120"/>
            </w:tcMar>
          </w:tcPr>
          <w:p>
            <w:r>
              <w:rPr>
                <w:rFonts w:ascii="Calibri" w:eastAsia="Microsoft YaHei"/>
                <w:color w:val="182030"/>
                <w:sz w:val="21"/>
                <w:szCs w:val="21"/>
              </w:rPr>
              <w:t xml:space="preserve">Total video views across platforms</w:t>
            </w:r>
          </w:p>
        </w:tc>
        <w:tc>
          <w:tcPr>
            <w:shd w:fill="FFFFFF" w:val="clear"/>
            <w:tcMar>
              <w:top w:type="dxa" w:w="60"/>
              <w:left w:type="dxa" w:w="120"/>
              <w:bottom w:type="dxa" w:w="60"/>
              <w:right w:type="dxa" w:w="120"/>
            </w:tcMar>
          </w:tcPr>
          <w:p>
            <w:r>
              <w:rPr>
                <w:rFonts w:ascii="Calibri" w:eastAsia="Microsoft YaHei"/>
                <w:color w:val="182030"/>
                <w:sz w:val="21"/>
                <w:szCs w:val="21"/>
              </w:rPr>
              <w:t xml:space="preserve">50,000 views</w:t>
            </w:r>
          </w:p>
        </w:tc>
        <w:tc>
          <w:tcPr>
            <w:shd w:fill="FFFFFF" w:val="clear"/>
            <w:tcMar>
              <w:top w:type="dxa" w:w="60"/>
              <w:left w:type="dxa" w:w="120"/>
              <w:bottom w:type="dxa" w:w="60"/>
              <w:right w:type="dxa" w:w="120"/>
            </w:tcMar>
          </w:tcPr>
          <w:p>
            <w:r>
              <w:rPr>
                <w:rFonts w:ascii="Calibri" w:eastAsia="Microsoft YaHei"/>
                <w:color w:val="182030"/>
                <w:sz w:val="21"/>
                <w:szCs w:val="21"/>
              </w:rPr>
              <w:t xml:space="preserve">100,000 views</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Video Content</w:t>
            </w:r>
          </w:p>
        </w:tc>
        <w:tc>
          <w:tcPr>
            <w:shd w:fill="F8F0EB" w:val="clear"/>
            <w:tcMar>
              <w:top w:type="dxa" w:w="60"/>
              <w:left w:type="dxa" w:w="120"/>
              <w:bottom w:type="dxa" w:w="60"/>
              <w:right w:type="dxa" w:w="120"/>
            </w:tcMar>
          </w:tcPr>
          <w:p>
            <w:r>
              <w:rPr>
                <w:rFonts w:ascii="Calibri" w:eastAsia="Microsoft YaHei"/>
                <w:color w:val="182030"/>
                <w:sz w:val="21"/>
                <w:szCs w:val="21"/>
              </w:rPr>
              <w:t xml:space="preserve">New follower/subscriber growth</w:t>
            </w:r>
          </w:p>
        </w:tc>
        <w:tc>
          <w:tcPr>
            <w:shd w:fill="F8F0EB" w:val="clear"/>
            <w:tcMar>
              <w:top w:type="dxa" w:w="60"/>
              <w:left w:type="dxa" w:w="120"/>
              <w:bottom w:type="dxa" w:w="60"/>
              <w:right w:type="dxa" w:w="120"/>
            </w:tcMar>
          </w:tcPr>
          <w:p>
            <w:r>
              <w:rPr>
                <w:rFonts w:ascii="Calibri" w:eastAsia="Microsoft YaHei"/>
                <w:color w:val="182030"/>
                <w:sz w:val="21"/>
                <w:szCs w:val="21"/>
              </w:rPr>
              <w:t xml:space="preserve">500 new followers</w:t>
            </w:r>
          </w:p>
        </w:tc>
        <w:tc>
          <w:tcPr>
            <w:shd w:fill="F8F0EB" w:val="clear"/>
            <w:tcMar>
              <w:top w:type="dxa" w:w="60"/>
              <w:left w:type="dxa" w:w="120"/>
              <w:bottom w:type="dxa" w:w="60"/>
              <w:right w:type="dxa" w:w="120"/>
            </w:tcMar>
          </w:tcPr>
          <w:p>
            <w:r>
              <w:rPr>
                <w:rFonts w:ascii="Calibri" w:eastAsia="Microsoft YaHei"/>
                <w:color w:val="182030"/>
                <w:sz w:val="21"/>
                <w:szCs w:val="21"/>
              </w:rPr>
              <w:t xml:space="preserve">1,000 new followers</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Video Content</w:t>
            </w:r>
          </w:p>
        </w:tc>
        <w:tc>
          <w:tcPr>
            <w:shd w:fill="FFFFFF" w:val="clear"/>
            <w:tcMar>
              <w:top w:type="dxa" w:w="60"/>
              <w:left w:type="dxa" w:w="120"/>
              <w:bottom w:type="dxa" w:w="60"/>
              <w:right w:type="dxa" w:w="120"/>
            </w:tcMar>
          </w:tcPr>
          <w:p>
            <w:r>
              <w:rPr>
                <w:rFonts w:ascii="Calibri" w:eastAsia="Microsoft YaHei"/>
                <w:color w:val="182030"/>
                <w:sz w:val="21"/>
                <w:szCs w:val="21"/>
              </w:rPr>
              <w:t xml:space="preserve">Engagement rate (likes + comments / views)</w:t>
            </w:r>
          </w:p>
        </w:tc>
        <w:tc>
          <w:tcPr>
            <w:shd w:fill="FFFFFF" w:val="clear"/>
            <w:tcMar>
              <w:top w:type="dxa" w:w="60"/>
              <w:left w:type="dxa" w:w="120"/>
              <w:bottom w:type="dxa" w:w="60"/>
              <w:right w:type="dxa" w:w="120"/>
            </w:tcMar>
          </w:tcPr>
          <w:p>
            <w:r>
              <w:rPr>
                <w:rFonts w:ascii="Calibri" w:eastAsia="Microsoft YaHei"/>
                <w:color w:val="182030"/>
                <w:sz w:val="21"/>
                <w:szCs w:val="21"/>
              </w:rPr>
              <w:t xml:space="preserve">&gt; 3%</w:t>
            </w:r>
          </w:p>
        </w:tc>
        <w:tc>
          <w:tcPr>
            <w:shd w:fill="FFFFFF" w:val="clear"/>
            <w:tcMar>
              <w:top w:type="dxa" w:w="60"/>
              <w:left w:type="dxa" w:w="120"/>
              <w:bottom w:type="dxa" w:w="60"/>
              <w:right w:type="dxa" w:w="120"/>
            </w:tcMar>
          </w:tcPr>
          <w:p>
            <w:r>
              <w:rPr>
                <w:rFonts w:ascii="Calibri" w:eastAsia="Microsoft YaHei"/>
                <w:color w:val="182030"/>
                <w:sz w:val="21"/>
                <w:szCs w:val="21"/>
              </w:rPr>
              <w:t xml:space="preserve">&gt; 5%</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Broker Training</w:t>
            </w:r>
          </w:p>
        </w:tc>
        <w:tc>
          <w:tcPr>
            <w:shd w:fill="F8F0EB" w:val="clear"/>
            <w:tcMar>
              <w:top w:type="dxa" w:w="60"/>
              <w:left w:type="dxa" w:w="120"/>
              <w:bottom w:type="dxa" w:w="60"/>
              <w:right w:type="dxa" w:w="120"/>
            </w:tcMar>
          </w:tcPr>
          <w:p>
            <w:r>
              <w:rPr>
                <w:rFonts w:ascii="Calibri" w:eastAsia="Microsoft YaHei"/>
                <w:color w:val="182030"/>
                <w:sz w:val="21"/>
                <w:szCs w:val="21"/>
              </w:rPr>
              <w:t xml:space="preserve">Broker firms engaged in Session 1</w:t>
            </w:r>
          </w:p>
        </w:tc>
        <w:tc>
          <w:tcPr>
            <w:shd w:fill="F8F0EB" w:val="clear"/>
            <w:tcMar>
              <w:top w:type="dxa" w:w="60"/>
              <w:left w:type="dxa" w:w="120"/>
              <w:bottom w:type="dxa" w:w="60"/>
              <w:right w:type="dxa" w:w="120"/>
            </w:tcMar>
          </w:tcPr>
          <w:p>
            <w:r>
              <w:rPr>
                <w:rFonts w:ascii="Calibri" w:eastAsia="Microsoft YaHei"/>
                <w:color w:val="182030"/>
                <w:sz w:val="21"/>
                <w:szCs w:val="21"/>
              </w:rPr>
              <w:t xml:space="preserve">3 firms</w:t>
            </w:r>
          </w:p>
        </w:tc>
        <w:tc>
          <w:tcPr>
            <w:shd w:fill="F8F0EB" w:val="clear"/>
            <w:tcMar>
              <w:top w:type="dxa" w:w="60"/>
              <w:left w:type="dxa" w:w="120"/>
              <w:bottom w:type="dxa" w:w="60"/>
              <w:right w:type="dxa" w:w="120"/>
            </w:tcMar>
          </w:tcPr>
          <w:p>
            <w:r>
              <w:rPr>
                <w:rFonts w:ascii="Calibri" w:eastAsia="Microsoft YaHei"/>
                <w:color w:val="182030"/>
                <w:sz w:val="21"/>
                <w:szCs w:val="21"/>
              </w:rPr>
              <w:t xml:space="preserve">5 firms</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Broker Training</w:t>
            </w:r>
          </w:p>
        </w:tc>
        <w:tc>
          <w:tcPr>
            <w:shd w:fill="FFFFFF" w:val="clear"/>
            <w:tcMar>
              <w:top w:type="dxa" w:w="60"/>
              <w:left w:type="dxa" w:w="120"/>
              <w:bottom w:type="dxa" w:w="60"/>
              <w:right w:type="dxa" w:w="120"/>
            </w:tcMar>
          </w:tcPr>
          <w:p>
            <w:r>
              <w:rPr>
                <w:rFonts w:ascii="Calibri" w:eastAsia="Microsoft YaHei"/>
                <w:color w:val="182030"/>
                <w:sz w:val="21"/>
                <w:szCs w:val="21"/>
              </w:rPr>
              <w:t xml:space="preserve">Team leaders attending Session 2</w:t>
            </w:r>
          </w:p>
        </w:tc>
        <w:tc>
          <w:tcPr>
            <w:shd w:fill="FFFFFF" w:val="clear"/>
            <w:tcMar>
              <w:top w:type="dxa" w:w="60"/>
              <w:left w:type="dxa" w:w="120"/>
              <w:bottom w:type="dxa" w:w="60"/>
              <w:right w:type="dxa" w:w="120"/>
            </w:tcMar>
          </w:tcPr>
          <w:p>
            <w:r>
              <w:rPr>
                <w:rFonts w:ascii="Calibri" w:eastAsia="Microsoft YaHei"/>
                <w:color w:val="182030"/>
                <w:sz w:val="21"/>
                <w:szCs w:val="21"/>
              </w:rPr>
              <w:t xml:space="preserve">10 leaders</w:t>
            </w:r>
          </w:p>
        </w:tc>
        <w:tc>
          <w:tcPr>
            <w:shd w:fill="FFFFFF" w:val="clear"/>
            <w:tcMar>
              <w:top w:type="dxa" w:w="60"/>
              <w:left w:type="dxa" w:w="120"/>
              <w:bottom w:type="dxa" w:w="60"/>
              <w:right w:type="dxa" w:w="120"/>
            </w:tcMar>
          </w:tcPr>
          <w:p>
            <w:r>
              <w:rPr>
                <w:rFonts w:ascii="Calibri" w:eastAsia="Microsoft YaHei"/>
                <w:color w:val="182030"/>
                <w:sz w:val="21"/>
                <w:szCs w:val="21"/>
              </w:rPr>
              <w:t xml:space="preserve">15 leaders</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Broker Training</w:t>
            </w:r>
          </w:p>
        </w:tc>
        <w:tc>
          <w:tcPr>
            <w:shd w:fill="F8F0EB" w:val="clear"/>
            <w:tcMar>
              <w:top w:type="dxa" w:w="60"/>
              <w:left w:type="dxa" w:w="120"/>
              <w:bottom w:type="dxa" w:w="60"/>
              <w:right w:type="dxa" w:w="120"/>
            </w:tcMar>
          </w:tcPr>
          <w:p>
            <w:r>
              <w:rPr>
                <w:rFonts w:ascii="Calibri" w:eastAsia="Microsoft YaHei"/>
                <w:color w:val="182030"/>
                <w:sz w:val="21"/>
                <w:szCs w:val="21"/>
              </w:rPr>
              <w:t xml:space="preserve">Client seminar attendance (Session 3)</w:t>
            </w:r>
          </w:p>
        </w:tc>
        <w:tc>
          <w:tcPr>
            <w:shd w:fill="F8F0EB" w:val="clear"/>
            <w:tcMar>
              <w:top w:type="dxa" w:w="60"/>
              <w:left w:type="dxa" w:w="120"/>
              <w:bottom w:type="dxa" w:w="60"/>
              <w:right w:type="dxa" w:w="120"/>
            </w:tcMar>
          </w:tcPr>
          <w:p>
            <w:r>
              <w:rPr>
                <w:rFonts w:ascii="Calibri" w:eastAsia="Microsoft YaHei"/>
                <w:color w:val="182030"/>
                <w:sz w:val="21"/>
                <w:szCs w:val="21"/>
              </w:rPr>
              <w:t xml:space="preserve">15 attendees</w:t>
            </w:r>
          </w:p>
        </w:tc>
        <w:tc>
          <w:tcPr>
            <w:shd w:fill="F8F0EB" w:val="clear"/>
            <w:tcMar>
              <w:top w:type="dxa" w:w="60"/>
              <w:left w:type="dxa" w:w="120"/>
              <w:bottom w:type="dxa" w:w="60"/>
              <w:right w:type="dxa" w:w="120"/>
            </w:tcMar>
          </w:tcPr>
          <w:p>
            <w:r>
              <w:rPr>
                <w:rFonts w:ascii="Calibri" w:eastAsia="Microsoft YaHei"/>
                <w:color w:val="182030"/>
                <w:sz w:val="21"/>
                <w:szCs w:val="21"/>
              </w:rPr>
              <w:t xml:space="preserve">25 attendees</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Broker Training</w:t>
            </w:r>
          </w:p>
        </w:tc>
        <w:tc>
          <w:tcPr>
            <w:shd w:fill="FFFFFF" w:val="clear"/>
            <w:tcMar>
              <w:top w:type="dxa" w:w="60"/>
              <w:left w:type="dxa" w:w="120"/>
              <w:bottom w:type="dxa" w:w="60"/>
              <w:right w:type="dxa" w:w="120"/>
            </w:tcMar>
          </w:tcPr>
          <w:p>
            <w:r>
              <w:rPr>
                <w:rFonts w:ascii="Calibri" w:eastAsia="Microsoft YaHei"/>
                <w:color w:val="182030"/>
                <w:sz w:val="21"/>
                <w:szCs w:val="21"/>
              </w:rPr>
              <w:t xml:space="preserve">Qualified leads from Session 3</w:t>
            </w:r>
          </w:p>
        </w:tc>
        <w:tc>
          <w:tcPr>
            <w:shd w:fill="FFFFFF" w:val="clear"/>
            <w:tcMar>
              <w:top w:type="dxa" w:w="60"/>
              <w:left w:type="dxa" w:w="120"/>
              <w:bottom w:type="dxa" w:w="60"/>
              <w:right w:type="dxa" w:w="120"/>
            </w:tcMar>
          </w:tcPr>
          <w:p>
            <w:r>
              <w:rPr>
                <w:rFonts w:ascii="Calibri" w:eastAsia="Microsoft YaHei"/>
                <w:color w:val="182030"/>
                <w:sz w:val="21"/>
                <w:szCs w:val="21"/>
              </w:rPr>
              <w:t xml:space="preserve">5 leads</w:t>
            </w:r>
          </w:p>
        </w:tc>
        <w:tc>
          <w:tcPr>
            <w:shd w:fill="FFFFFF" w:val="clear"/>
            <w:tcMar>
              <w:top w:type="dxa" w:w="60"/>
              <w:left w:type="dxa" w:w="120"/>
              <w:bottom w:type="dxa" w:w="60"/>
              <w:right w:type="dxa" w:w="120"/>
            </w:tcMar>
          </w:tcPr>
          <w:p>
            <w:r>
              <w:rPr>
                <w:rFonts w:ascii="Calibri" w:eastAsia="Microsoft YaHei"/>
                <w:color w:val="182030"/>
                <w:sz w:val="21"/>
                <w:szCs w:val="21"/>
              </w:rPr>
              <w:t xml:space="preserve">10 leads</w:t>
            </w:r>
          </w:p>
        </w:tc>
      </w:tr>
      <w:tr>
        <w:trPr>
          <w:cantSplit/>
        </w:trPr>
        <w:tc>
          <w:tcPr>
            <w:shd w:fill="F8F0EB" w:val="clear"/>
            <w:tcMar>
              <w:top w:type="dxa" w:w="60"/>
              <w:left w:type="dxa" w:w="120"/>
              <w:bottom w:type="dxa" w:w="60"/>
              <w:right w:type="dxa" w:w="120"/>
            </w:tcMar>
          </w:tcPr>
          <w:p>
            <w:r>
              <w:rPr>
                <w:rFonts w:ascii="Calibri" w:eastAsia="Microsoft YaHei"/>
                <w:color w:val="182030"/>
                <w:sz w:val="21"/>
                <w:szCs w:val="21"/>
              </w:rPr>
              <w:t xml:space="preserve">Commission Rates</w:t>
            </w:r>
          </w:p>
        </w:tc>
        <w:tc>
          <w:tcPr>
            <w:shd w:fill="F8F0EB" w:val="clear"/>
            <w:tcMar>
              <w:top w:type="dxa" w:w="60"/>
              <w:left w:type="dxa" w:w="120"/>
              <w:bottom w:type="dxa" w:w="60"/>
              <w:right w:type="dxa" w:w="120"/>
            </w:tcMar>
          </w:tcPr>
          <w:p>
            <w:r>
              <w:rPr>
                <w:rFonts w:ascii="Calibri" w:eastAsia="Microsoft YaHei"/>
                <w:color w:val="182030"/>
                <w:sz w:val="21"/>
                <w:szCs w:val="21"/>
              </w:rPr>
              <w:t xml:space="preserve">All 10 product rates confirmed</w:t>
            </w:r>
          </w:p>
        </w:tc>
        <w:tc>
          <w:tcPr>
            <w:shd w:fill="F8F0EB" w:val="clear"/>
            <w:tcMar>
              <w:top w:type="dxa" w:w="60"/>
              <w:left w:type="dxa" w:w="120"/>
              <w:bottom w:type="dxa" w:w="60"/>
              <w:right w:type="dxa" w:w="120"/>
            </w:tcMar>
          </w:tcPr>
          <w:p>
            <w:r>
              <w:rPr>
                <w:rFonts w:ascii="Calibri" w:eastAsia="Microsoft YaHei"/>
                <w:color w:val="182030"/>
                <w:sz w:val="21"/>
                <w:szCs w:val="21"/>
              </w:rPr>
              <w:t xml:space="preserve">By June 13</w:t>
            </w:r>
          </w:p>
        </w:tc>
        <w:tc>
          <w:tcPr>
            <w:shd w:fill="F8F0EB" w:val="clear"/>
            <w:tcMar>
              <w:top w:type="dxa" w:w="60"/>
              <w:left w:type="dxa" w:w="120"/>
              <w:bottom w:type="dxa" w:w="60"/>
              <w:right w:type="dxa" w:w="120"/>
            </w:tcMar>
          </w:tcPr>
          <w:p>
            <w:r>
              <w:rPr>
                <w:rFonts w:ascii="Calibri" w:eastAsia="Microsoft YaHei"/>
                <w:color w:val="182030"/>
                <w:sz w:val="21"/>
                <w:szCs w:val="21"/>
              </w:rPr>
              <w:t xml:space="preserve">By June 11</w:t>
            </w:r>
          </w:p>
        </w:tc>
      </w:tr>
      <w:tr>
        <w:trPr>
          <w:cantSplit/>
        </w:trPr>
        <w:tc>
          <w:tcPr>
            <w:shd w:fill="FFFFFF" w:val="clear"/>
            <w:tcMar>
              <w:top w:type="dxa" w:w="60"/>
              <w:left w:type="dxa" w:w="120"/>
              <w:bottom w:type="dxa" w:w="60"/>
              <w:right w:type="dxa" w:w="120"/>
            </w:tcMar>
          </w:tcPr>
          <w:p>
            <w:r>
              <w:rPr>
                <w:rFonts w:ascii="Calibri" w:eastAsia="Microsoft YaHei"/>
                <w:color w:val="182030"/>
                <w:sz w:val="21"/>
                <w:szCs w:val="21"/>
              </w:rPr>
              <w:t xml:space="preserve">Commission Rates</w:t>
            </w:r>
          </w:p>
        </w:tc>
        <w:tc>
          <w:tcPr>
            <w:shd w:fill="FFFFFF" w:val="clear"/>
            <w:tcMar>
              <w:top w:type="dxa" w:w="60"/>
              <w:left w:type="dxa" w:w="120"/>
              <w:bottom w:type="dxa" w:w="60"/>
              <w:right w:type="dxa" w:w="120"/>
            </w:tcMar>
          </w:tcPr>
          <w:p>
            <w:r>
              <w:rPr>
                <w:rFonts w:ascii="Calibri" w:eastAsia="Microsoft YaHei"/>
                <w:color w:val="182030"/>
                <w:sz w:val="21"/>
                <w:szCs w:val="21"/>
              </w:rPr>
              <w:t xml:space="preserve">Rates integrated into CRM</w:t>
            </w:r>
          </w:p>
        </w:tc>
        <w:tc>
          <w:tcPr>
            <w:shd w:fill="FFFFFF" w:val="clear"/>
            <w:tcMar>
              <w:top w:type="dxa" w:w="60"/>
              <w:left w:type="dxa" w:w="120"/>
              <w:bottom w:type="dxa" w:w="60"/>
              <w:right w:type="dxa" w:w="120"/>
            </w:tcMar>
          </w:tcPr>
          <w:p>
            <w:r>
              <w:rPr>
                <w:rFonts w:ascii="Calibri" w:eastAsia="Microsoft YaHei"/>
                <w:color w:val="182030"/>
                <w:sz w:val="21"/>
                <w:szCs w:val="21"/>
              </w:rPr>
              <w:t xml:space="preserve">By June 27</w:t>
            </w:r>
          </w:p>
        </w:tc>
        <w:tc>
          <w:tcPr>
            <w:shd w:fill="FFFFFF" w:val="clear"/>
            <w:tcMar>
              <w:top w:type="dxa" w:w="60"/>
              <w:left w:type="dxa" w:w="120"/>
              <w:bottom w:type="dxa" w:w="60"/>
              <w:right w:type="dxa" w:w="120"/>
            </w:tcMar>
          </w:tcPr>
          <w:p>
            <w:r>
              <w:rPr>
                <w:rFonts w:ascii="Calibri" w:eastAsia="Microsoft YaHei"/>
                <w:color w:val="182030"/>
                <w:sz w:val="21"/>
                <w:szCs w:val="21"/>
              </w:rPr>
              <w:t xml:space="preserve">By June 25</w:t>
            </w:r>
          </w:p>
        </w:tc>
      </w:tr>
    </w:tbl>
    <w:p>
      <w:pPr>
        <w:spacing w:after="80" w:line="312"/>
        <w:ind w:firstLine="480"/>
        <w:jc w:val="both"/>
      </w:pPr>
      <w:r>
        <w:rPr>
          <w:rFonts w:ascii="Calibri" w:eastAsia="Microsoft YaHei"/>
          <w:color w:val="182030"/>
          <w:sz w:val="24"/>
          <w:szCs w:val="24"/>
        </w:rPr>
        <w:t xml:space="preserve">These KPIs will be tracked in a shared dashboard accessible to all project leads. Weekly progress reports are due every Friday by 5:00 PM HKT, summarizing actual results against targets, highlighting any deviations, and proposing corrective actions. A formal month-end review will be conducted on June 30 to assess overall performance, capture lessons learned, and inform the July 2026 action plan.</w:t>
      </w:r>
    </w:p>
    <w:p>
      <w:pPr>
        <w:pStyle w:val="Heading1"/>
        <w:spacing w:after="160" w:before="360" w:line="312"/>
      </w:pPr>
      <w:bookmarkStart w:id="100036" w:name="_Toc100036"/>
      <w:r>
        <w:rPr>
          <w:rFonts w:ascii="Calibri" w:eastAsia="SimHei"/>
          <w:b/>
          <w:bCs/>
          <w:color w:val="1A2330"/>
          <w:sz w:val="32"/>
          <w:szCs w:val="32"/>
        </w:rPr>
        <w:t xml:space="preserve">Next Steps &amp; Recommendations</w:t>
      </w:r>
      <w:bookmarkEnd w:id="100036"/>
    </w:p>
    <w:p>
      <w:pPr>
        <w:spacing w:after="80" w:line="312"/>
        <w:ind w:firstLine="480"/>
        <w:jc w:val="both"/>
      </w:pPr>
      <w:r>
        <w:rPr>
          <w:rFonts w:ascii="Calibri" w:eastAsia="Microsoft YaHei"/>
          <w:color w:val="182030"/>
          <w:sz w:val="24"/>
          <w:szCs w:val="24"/>
        </w:rPr>
        <w:t xml:space="preserve">Upon approval of this action plan, the following immediate actions should be taken to ensure a smooth start on June 2. First, the project manager should schedule a kick-off meeting for all workstream leads on Monday morning, June 2, to align on priorities, confirm resource availability, and establish communication protocols. Second, the commission rate templates should be distributed to all product heads by end of day June 2, with a clear deadline of June 5 for draft submissions. Third, the video production team should confirm the filming schedule for Week 1 content and ensure all subject matter experts are available for their briefings. Fourth, the broker firm outreach should commence immediately, with personalized invitations sent to at least five firm heads by June 3.</w:t>
      </w:r>
    </w:p>
    <w:p>
      <w:pPr>
        <w:spacing w:after="80" w:line="312"/>
        <w:ind w:firstLine="480"/>
        <w:jc w:val="both"/>
      </w:pPr>
      <w:r>
        <w:rPr>
          <w:rFonts w:ascii="Calibri" w:eastAsia="Microsoft YaHei"/>
          <w:color w:val="182030"/>
          <w:sz w:val="24"/>
          <w:szCs w:val="24"/>
        </w:rPr>
        <w:t xml:space="preserve">Looking beyond June, the successful execution of this plan creates a strong foundation for MCLUB’s growth trajectory in Q3 and Q4 2026. The CRM system will scale from beta to full production, the video content engine will have established a consistent publishing rhythm, the broker training funnel will have generated a pipeline of qualified leads, and the commission framework will provide the financial clarity needed to attract and retain top-performing distribution partners. Each of these outcomes compounds over time—the earlier they are established, the greater their cumulative impact on MCLUB’s market position and revenue growth.</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808080"/>
        <w:sz w:val="18"/>
        <w:szCs w:val="18"/>
      </w:rPr>
      <w:t xml:space="preserve">MCLUB June 2026 Action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1A2330"/>
      <w:sz w:val="32"/>
      <w:szCs w:val="32"/>
    </w:rPr>
  </w:style>
  <w:style w:type="paragraph" w:styleId="Heading2">
    <w:name w:val="Heading 2"/>
    <w:basedOn w:val="Normal"/>
    <w:next w:val="Normal"/>
    <w:qFormat/>
    <w:pPr>
      <w:spacing w:after="120" w:before="240" w:line="312"/>
      <w:outlineLvl w:val="1"/>
    </w:pPr>
    <w:rPr>
      <w:rFonts w:ascii="Calibri" w:eastAsia="SimHei"/>
      <w:b/>
      <w:bCs/>
      <w:color w:val="1A2330"/>
      <w:sz w:val="28"/>
      <w:szCs w:val="28"/>
    </w:rPr>
  </w:style>
  <w:style w:type="paragraph" w:styleId="Heading3">
    <w:name w:val="Heading 3"/>
    <w:basedOn w:val="Normal"/>
    <w:next w:val="Normal"/>
    <w:qFormat/>
    <w:pPr>
      <w:spacing w:after="100" w:before="200" w:line="312"/>
      <w:outlineLvl w:val="2"/>
    </w:pPr>
    <w:rPr>
      <w:rFonts w:ascii="Calibri"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2026-06-02T09:05:03.003Z</dcterms:created>
  <dcterms:modified xsi:type="dcterms:W3CDTF">2026-06-02T09:05:03.004Z</dcterms:modified>
</cp:coreProperties>
</file>

<file path=docProps/custom.xml><?xml version="1.0" encoding="utf-8"?>
<Properties xmlns="http://schemas.openxmlformats.org/officeDocument/2006/custom-properties" xmlns:vt="http://schemas.openxmlformats.org/officeDocument/2006/docPropsVTypes"/>
</file>