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4" w:space="10"/>
        </w:pBdr>
        <w:spacing w:after="200"/>
        <w:jc w:val="center"/>
      </w:pPr>
      <w:r>
        <w:rPr>
          <w:rFonts w:ascii="Calibri" w:eastAsia="SimHei"/>
          <w:b/>
          <w:bCs/>
          <w:color w:val="1A1A1A"/>
          <w:sz w:val="32"/>
          <w:szCs w:val="32"/>
        </w:rPr>
        <w:t xml:space="preserve">PZC Group 核心業勑管理照</w:t>
      </w:r>
    </w:p>
    <w:p>
      <w:pPr>
        <w:spacing w:after="60"/>
        <w:jc w:val="center"/>
      </w:pPr>
      <w:r>
        <w:rPr>
          <w:rFonts w:ascii="Calibri" w:eastAsia="Microsoft YaHei"/>
          <w:color w:val="666666"/>
          <w:sz w:val="20"/>
          <w:szCs w:val="20"/>
        </w:rPr>
        <w:t xml:space="preserve">從健康入門到家族辦公室 — 一步一步建立專業基礎</w:t>
      </w:r>
    </w:p>
    <w:p>
      <w:pPr>
        <w:spacing w:after="300"/>
        <w:jc w:val="center"/>
      </w:pPr>
      <w:r>
        <w:rPr>
          <w:rFonts w:eastAsia="Microsoft YaHei"/>
          <w:b/>
          <w:bCs/>
          <w:color w:val="C9A84C"/>
          <w:sz w:val="20"/>
          <w:szCs w:val="20"/>
        </w:rPr>
        <w:t xml:space="preserve">VFK 健康產品</w:t>
      </w:r>
      <w:r>
        <w:rPr>
          <w:color w:val="999999"/>
          <w:sz w:val="20"/>
          <w:szCs w:val="20"/>
        </w:rPr>
        <w:t xml:space="preserve">  →  </w:t>
      </w:r>
      <w:r>
        <w:rPr>
          <w:rFonts w:eastAsia="Microsoft YaHei"/>
          <w:b/>
          <w:bCs/>
          <w:color w:val="C9A84C"/>
          <w:sz w:val="20"/>
          <w:szCs w:val="20"/>
        </w:rPr>
        <w:t xml:space="preserve">MCLUB 團隊運營</w:t>
      </w:r>
      <w:r>
        <w:rPr>
          <w:color w:val="999999"/>
          <w:sz w:val="20"/>
          <w:szCs w:val="20"/>
        </w:rPr>
        <w:t xml:space="preserve">  →  </w:t>
      </w:r>
      <w:r>
        <w:rPr>
          <w:rFonts w:eastAsia="Microsoft YaHei"/>
          <w:b/>
          <w:bCs/>
          <w:color w:val="C9A84C"/>
          <w:sz w:val="20"/>
          <w:szCs w:val="20"/>
        </w:rPr>
        <w:t xml:space="preserve">FX Risk 專業服務</w:t>
      </w:r>
      <w:r>
        <w:rPr>
          <w:color w:val="999999"/>
          <w:sz w:val="20"/>
          <w:szCs w:val="20"/>
        </w:rPr>
        <w:t xml:space="preserve">  →  </w:t>
      </w:r>
      <w:r>
        <w:rPr>
          <w:rFonts w:eastAsia="Microsoft YaHei"/>
          <w:b/>
          <w:bCs/>
          <w:color w:val="C9A84C"/>
          <w:sz w:val="20"/>
          <w:szCs w:val="20"/>
        </w:rPr>
        <w:t xml:space="preserve">家族辦公室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產品</w:t>
            </w:r>
          </w:p>
        </w:tc>
        <w:tc>
          <w:tcPr>
            <w:tcW w:type="pct" w:w="12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定位</w:t>
            </w:r>
          </w:p>
        </w:tc>
        <w:tc>
          <w:tcPr>
            <w:tcW w:type="pct" w:w="45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什麼是它？</w:t>
            </w:r>
          </w:p>
        </w:tc>
        <w:tc>
          <w:tcPr>
            <w:tcW w:type="pct" w:w="25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服務對象</w:t>
            </w:r>
          </w:p>
        </w:tc>
      </w:tr>
      <w:tr>
        <w:tc>
          <w:tcPr>
            <w:tcW w:type="pct" w:w="18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VFK 健康食品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入門產品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健康食品促進方案，涵蓋 4 套方案（A/B/B+/C），收費 HK$1,980 - $33,800。共 7 級促進機制、BV 點數制度，讓團隊通過健康產品入門並實現收入。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希望通過健康產品創業的客戶</w:t>
            </w:r>
          </w:p>
        </w:tc>
      </w:tr>
      <w:tr>
        <w:tc>
          <w:tcPr>
            <w:tcW w:type="pct" w:w="18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MCLUB 會員管理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運營工具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數字化會員管理系統，功能包括客戶管理、訂單追蹤、團隊績效分析、多幣種儀表板。支援下線推廣裂變，用數據驗動團隊運營。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團隊管理人員及全體團隊成員</w:t>
            </w:r>
          </w:p>
        </w:tc>
      </w:tr>
      <w:tr>
        <w:tc>
          <w:tcPr>
            <w:tcW w:type="pct" w:w="18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FX Risk Modelling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專業服務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外圆風險建模服務，提供壓力測試、多幣種對衡分析、幣值波動影響評估及基本對涖策略。幫助客戶管理圃率風險，提升負債管理能力。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有外圆風險需求的家族客戶</w:t>
            </w:r>
          </w:p>
        </w:tc>
      </w:tr>
      <w:tr>
        <w:tc>
          <w:tcPr>
            <w:tcW w:type="pct" w:w="18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家族辦公室財富管理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終極目標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紉合全部服務的最高層次解決方案，包括家族財富規劃、跨國資產配置、內地企業香港 IPO 輔導、反洗錢合規等全方位家族辦公室服務。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高淨值家族及企業家客戶</w:t>
            </w:r>
          </w:p>
        </w:tc>
      </w:tr>
    </w:tbl>
    <w:p>
      <w:pPr>
        <w:pBdr>
          <w:top w:val="single" w:color="E0E0E0" w:sz="2" w:space="10"/>
        </w:pBdr>
        <w:spacing w:before="300"/>
        <w:jc w:val="center"/>
      </w:pPr>
      <w:r>
        <w:rPr>
          <w:rFonts w:ascii="Calibri" w:eastAsia="Microsoft YaHei"/>
          <w:color w:val="999999"/>
          <w:sz w:val="18"/>
          <w:szCs w:val="18"/>
        </w:rPr>
        <w:t xml:space="preserve">全球業勑管理集團  |  健康・財富・專業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999999"/>
        <w:sz w:val="16"/>
        <w:szCs w:val="16"/>
      </w:rPr>
      <w:t xml:space="preserve">PZC Group </w:t>
    </w:r>
    <w:r>
      <w:rPr>
        <w:rFonts w:ascii="Calibri" w:eastAsia="Microsoft YaHei"/>
        <w:color w:val="999999"/>
        <w:sz w:val="16"/>
        <w:szCs w:val="16"/>
      </w:rPr>
      <w:t xml:space="preserve">|  业务管理照</w:t>
    </w:r>
    <w:r>
      <w:rPr>
        <w:sz w:val="16"/>
        <w:szCs w:val="16"/>
      </w:rPr>
      <w:t xml:space="preserve">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2026-06-09T10:47:49.518Z</dcterms:created>
  <dcterms:modified xsi:type="dcterms:W3CDTF">2026-06-09T10:47:49.518Z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