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792"/>
            </w:pPr>
          </w:p>
          <w:p>
            <w:pPr>
              <w:pBdr>
                <w:bottom w:val="single" w:sz="6" w:space="8"/>
              </w:pBdr>
              <w:spacing w:after="500"/>
              <w:ind w:left="1200" w:right="800"/>
            </w:pPr>
            <w:r>
              <w:rPr>
                <w:rFonts w:ascii="Calibri" w:eastAsia="SimHei"/>
                <w:spacing w:val="40"/>
                <w:sz w:val="18"/>
                <w:szCs w:val="18"/>
              </w:rPr>
              <w:t xml:space="preserve">P R O F E S S I O N A L   C E R T I F I C A T E</w:t>
            </w:r>
          </w:p>
          <w:p>
            <w:pPr>
              <w:spacing w:after="100" w:line="920" w:lineRule="atLeast"/>
              <w:ind w:left="1200"/>
            </w:pPr>
            <w:r>
              <w:rPr>
                <w:rFonts w:ascii="Arial" w:eastAsia="SimHei"/>
                <w:b/>
                <w:bCs/>
                <w:color w:val="FFFFFF"/>
                <w:sz w:val="80"/>
                <w:szCs w:val="80"/>
              </w:rPr>
              <w:t xml:space="preserve">PZC Group 家族</w:t>
            </w:r>
          </w:p>
          <w:p>
            <w:pPr>
              <w:spacing w:after="300" w:line="920" w:lineRule="atLeast"/>
              <w:ind w:left="1200"/>
            </w:pPr>
            <w:r>
              <w:rPr>
                <w:rFonts w:ascii="Arial" w:eastAsia="SimHei"/>
                <w:b/>
                <w:bCs/>
                <w:color w:val="FFFFFF"/>
                <w:sz w:val="80"/>
                <w:szCs w:val="80"/>
              </w:rPr>
              <w:t xml:space="preserve">辦公室專業認可證書</w:t>
            </w:r>
          </w:p>
          <w:p>
            <w:pPr>
              <w:spacing w:after="800"/>
              <w:ind w:left="1200"/>
            </w:pPr>
            <w:r>
              <w:rPr>
                <w:rFonts w:ascii="Arial" w:eastAsia="Microsoft YaHei"/>
                <w:color w:val="B0B8C0"/>
                <w:sz w:val="24"/>
                <w:szCs w:val="24"/>
              </w:rPr>
              <w:t xml:space="preserve">課程方案（初稿）</w:t>
            </w:r>
          </w:p>
          <w:p>
            <w:pPr>
              <w:pBdr>
                <w:left w:val="single" w:sz="8" w:space="12"/>
              </w:pBdr>
              <w:spacing w:after="80"/>
              <w:ind w:left="1400"/>
            </w:pPr>
            <w:r>
              <w:rPr>
                <w:rFonts w:ascii="Arial" w:eastAsia="Microsoft YaHei"/>
                <w:color w:val="90989F"/>
                <w:sz w:val="24"/>
                <w:szCs w:val="24"/>
              </w:rPr>
              <w:t xml:space="preserve">收費：HK$1,680 / 兩天課程（每天 4 小時）</w:t>
            </w:r>
          </w:p>
          <w:p>
            <w:pPr>
              <w:pBdr>
                <w:left w:val="single" w:sz="8" w:space="12"/>
              </w:pBdr>
              <w:spacing w:after="80"/>
              <w:ind w:left="1400"/>
            </w:pPr>
            <w:r>
              <w:rPr>
                <w:rFonts w:ascii="Arial" w:eastAsia="Microsoft YaHei"/>
                <w:color w:val="90989F"/>
                <w:sz w:val="24"/>
                <w:szCs w:val="24"/>
              </w:rPr>
              <w:t xml:space="preserve">完成課程獲發專業認可證書</w:t>
            </w:r>
          </w:p>
          <w:p>
            <w:pPr>
              <w:pBdr>
                <w:left w:val="single" w:sz="8" w:space="12"/>
              </w:pBdr>
              <w:spacing w:after="80"/>
              <w:ind w:left="1400"/>
            </w:pPr>
            <w:r>
              <w:rPr>
                <w:rFonts w:ascii="Arial" w:eastAsia="Microsoft YaHei"/>
                <w:color w:val="90989F"/>
                <w:sz w:val="24"/>
                <w:szCs w:val="24"/>
              </w:rPr>
              <w:t xml:space="preserve">日期：2026年6月</w:t>
            </w:r>
          </w:p>
          <w:p>
            <w:pPr>
              <w:spacing w:before="4792"/>
            </w:pPr>
          </w:p>
          <w:p>
            <w:pPr>
              <w:pBdr>
                <w:top w:val="single" w:sz="2" w:space="8"/>
              </w:pBdr>
              <w:spacing w:before="200"/>
              <w:ind w:left="1200" w:right="800"/>
            </w:pPr>
            <w:r>
              <w:rPr>
                <w:rFonts w:ascii="Arial"/>
                <w:color w:val="687078"/>
                <w:sz w:val="16"/>
                <w:szCs w:val="16"/>
              </w:rPr>
              <w:t xml:space="preserve">PZC Group</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pStyle w:val="Heading1"/>
        <w:spacing w:after="200" w:before="360" w:line="312"/>
      </w:pPr>
      <w:r>
        <w:rPr>
          <w:rFonts w:ascii="Calibri" w:eastAsia="SimHei"/>
          <w:b/>
          <w:bCs/>
          <w:color w:val="1A1A1A"/>
          <w:sz w:val="32"/>
          <w:szCs w:val="32"/>
        </w:rPr>
        <w:t xml:space="preserve">一、課程概覽</w:t>
      </w:r>
    </w:p>
    <w:p>
      <w:pPr>
        <w:spacing w:after="120" w:line="312"/>
        <w:ind w:firstLine="480"/>
        <w:jc w:val="both"/>
      </w:pPr>
      <w:r>
        <w:rPr>
          <w:rFonts w:ascii="Calibri" w:eastAsia="Microsoft YaHei"/>
          <w:color w:val="000000"/>
          <w:sz w:val="24"/>
          <w:szCs w:val="24"/>
        </w:rPr>
        <w:t xml:space="preserve">PZC Group 家族辦公室專業認可證書課程，旨在為有志投身家族辦公室行業的從業員提供系統性的專業培訓。課程涵蓋家族辦公室基礎知識、財務會計、中港資本市場 IPO 實務、反洗錢合規以及客戶關係管理系統五大核心範疇，幫助學員在短時間內建立家族辦公室行業的基本專業能力。課程完成後，學員將獲得由 PZC Group 預發的「家族辦公室專業認可證書」，作為其專業能力的正式認可。</w:t>
      </w:r>
    </w:p>
    <w:p>
      <w:pPr>
        <w:pStyle w:val="Heading2"/>
        <w:spacing w:after="120" w:before="240" w:line="312"/>
      </w:pPr>
      <w:r>
        <w:rPr>
          <w:rFonts w:ascii="Calibri" w:eastAsia="SimHei"/>
          <w:b/>
          <w:bCs/>
          <w:color w:val="1A1A1A"/>
          <w:sz w:val="28"/>
          <w:szCs w:val="28"/>
        </w:rPr>
        <w:t xml:space="preserve">課程資訊</w:t>
      </w:r>
    </w:p>
    <w:tbl>
      <w:tblPr>
        <w:tblW w:type="pct" w:w="100%"/>
        <w:tblBorders>
          <w:top w:val="single" w:color="C9A84C" w:sz="2"/>
          <w:left w:val="none"/>
          <w:bottom w:val="single" w:color="C9A84C" w:sz="2"/>
          <w:right w:val="none"/>
          <w:insideH w:val="single" w:color="DDD5C0" w:sz="1"/>
          <w:insideV w:val="none"/>
        </w:tblBorders>
      </w:tblPr>
      <w:tblGrid>
        <w:gridCol w:w="100"/>
        <w:gridCol w:w="100"/>
      </w:tblGrid>
      <w:tr>
        <w:trPr>
          <w:cantSplit/>
          <w:tblHeader/>
        </w:trPr>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項目</w:t>
            </w:r>
          </w:p>
        </w:tc>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詳情</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課程名稱</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PZC 家族辦公室專業認可證書課程</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課程時長</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共 2 天，每天 4 小時（總計 8 小時）</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收費</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HK$1,680</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認證資格</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完成全部課程後獲發專業認可證書</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授課語言</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粤語（主要）</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適合對象</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有意投身家族辦公室行業的從業員</w:t>
            </w:r>
          </w:p>
        </w:tc>
      </w:tr>
    </w:tbl>
    <w:p>
      <w:pPr>
        <w:spacing w:after="60" w:before="60"/>
      </w:pPr>
    </w:p>
    <w:p>
      <w:pPr>
        <w:pStyle w:val="Heading1"/>
        <w:spacing w:after="200" w:before="360" w:line="312"/>
      </w:pPr>
      <w:r>
        <w:rPr>
          <w:rFonts w:ascii="Calibri" w:eastAsia="SimHei"/>
          <w:b/>
          <w:bCs/>
          <w:color w:val="1A1A1A"/>
          <w:sz w:val="32"/>
          <w:szCs w:val="32"/>
        </w:rPr>
        <w:t xml:space="preserve">二、課程大綱</w:t>
      </w:r>
    </w:p>
    <w:p>
      <w:pPr>
        <w:pStyle w:val="Heading2"/>
        <w:spacing w:after="120" w:before="240" w:line="312"/>
      </w:pPr>
      <w:r>
        <w:rPr>
          <w:rFonts w:ascii="Calibri" w:eastAsia="SimHei"/>
          <w:b/>
          <w:bCs/>
          <w:color w:val="1A1A1A"/>
          <w:sz w:val="28"/>
          <w:szCs w:val="28"/>
        </w:rPr>
        <w:t xml:space="preserve">第一天（4 小時）</w:t>
      </w:r>
    </w:p>
    <w:p>
      <w:pPr>
        <w:pStyle w:val="Heading2"/>
        <w:spacing w:after="120" w:before="240" w:line="312"/>
      </w:pPr>
      <w:r>
        <w:rPr>
          <w:rFonts w:ascii="Calibri" w:eastAsia="SimHei"/>
          <w:b/>
          <w:bCs/>
          <w:color w:val="1A1A1A"/>
          <w:sz w:val="28"/>
          <w:szCs w:val="28"/>
        </w:rPr>
        <w:t xml:space="preserve">模組一：基本家辦知識（1.5 小時）</w:t>
      </w:r>
    </w:p>
    <w:p>
      <w:pPr>
        <w:spacing w:after="120" w:line="312"/>
        <w:ind w:firstLine="480"/>
        <w:jc w:val="both"/>
      </w:pPr>
      <w:r>
        <w:rPr>
          <w:rFonts w:ascii="Calibri" w:eastAsia="Microsoft YaHei"/>
          <w:color w:val="000000"/>
          <w:sz w:val="24"/>
          <w:szCs w:val="24"/>
        </w:rPr>
        <w:t xml:space="preserve">本模組向學員介紹家族辦公室的基本概念、運作模式及行業生態。學員將了解家族辦公室的定義、卓越家族辦公室與單一家族辦公室的区別、全球家族辦公室的發展趣勢，以及香港在其中的角色和優勢。此外，模組也會涵蓋家族財富保全、遺產規劃、税務策略等基本要素，讓學員對家族辦公室服務內容有全面的認識。</w:t>
      </w:r>
    </w:p>
    <w:p>
      <w:pPr>
        <w:spacing w:after="120" w:line="312"/>
        <w:ind w:firstLine="480"/>
        <w:jc w:val="both"/>
      </w:pPr>
      <w:r>
        <w:rPr>
          <w:rFonts w:ascii="Calibri" w:eastAsia="Microsoft YaHei"/>
          <w:color w:val="000000"/>
          <w:sz w:val="24"/>
          <w:szCs w:val="24"/>
        </w:rPr>
        <w:t xml:space="preserve">主要內容包括：家族辦公室的定義與分類、全球行業發展概況、香港家族辦公室生態、家族財富管理核心服務範疇、家族治理基礎概念、信託與卓越服務介紹。</w:t>
      </w:r>
    </w:p>
    <w:p>
      <w:pPr>
        <w:pStyle w:val="Heading2"/>
        <w:spacing w:after="120" w:before="240" w:line="312"/>
      </w:pPr>
      <w:r>
        <w:rPr>
          <w:rFonts w:ascii="Calibri" w:eastAsia="SimHei"/>
          <w:b/>
          <w:bCs/>
          <w:color w:val="1A1A1A"/>
          <w:sz w:val="28"/>
          <w:szCs w:val="28"/>
        </w:rPr>
        <w:t xml:space="preserve">模組二：財務會計基礎（1 小時）</w:t>
      </w:r>
    </w:p>
    <w:p>
      <w:pPr>
        <w:spacing w:after="120" w:line="312"/>
        <w:ind w:firstLine="480"/>
        <w:jc w:val="both"/>
      </w:pPr>
      <w:r>
        <w:rPr>
          <w:rFonts w:ascii="Calibri" w:eastAsia="Microsoft YaHei"/>
          <w:color w:val="000000"/>
          <w:sz w:val="24"/>
          <w:szCs w:val="24"/>
        </w:rPr>
        <w:t xml:space="preserve">本模組幫助學員掌握家族辦公室行業中必備的財務會計知識。學員將學習財務報表的基本結構、如何讀懂資產負債表、損益表及現金流量表。此外，模組也涵蓋家族負債管理、負債與權益比例的基本概念，以及如何利用財務數據進行家族負債評估和投資決策。這些知識對於家族辦公室從業員而言，是服務高淨值客戶時必须具備的基本功。</w:t>
      </w:r>
    </w:p>
    <w:p>
      <w:pPr>
        <w:spacing w:after="120" w:line="312"/>
        <w:ind w:firstLine="480"/>
        <w:jc w:val="both"/>
      </w:pPr>
      <w:r>
        <w:rPr>
          <w:rFonts w:ascii="Calibri" w:eastAsia="Microsoft YaHei"/>
          <w:color w:val="000000"/>
          <w:sz w:val="24"/>
          <w:szCs w:val="24"/>
        </w:rPr>
        <w:t xml:space="preserve">主要內容包括：財務報表基礎讀取、資產負債表、損益表與現金流量表解析、家族負債管理概念、基本財務比率分析、税務基礎與家族税務考量。</w:t>
      </w:r>
    </w:p>
    <w:p>
      <w:pPr>
        <w:pStyle w:val="Heading2"/>
        <w:spacing w:after="120" w:before="240" w:line="312"/>
      </w:pPr>
      <w:r>
        <w:rPr>
          <w:rFonts w:ascii="Calibri" w:eastAsia="SimHei"/>
          <w:b/>
          <w:bCs/>
          <w:color w:val="1A1A1A"/>
          <w:sz w:val="28"/>
          <w:szCs w:val="28"/>
        </w:rPr>
        <w:t xml:space="preserve">模組三：內地企業香港主板 IPO（1.5 小時）</w:t>
      </w:r>
    </w:p>
    <w:p>
      <w:pPr>
        <w:spacing w:after="120" w:line="312"/>
        <w:ind w:firstLine="480"/>
        <w:jc w:val="both"/>
      </w:pPr>
      <w:r>
        <w:rPr>
          <w:rFonts w:ascii="Calibri" w:eastAsia="Microsoft YaHei"/>
          <w:color w:val="000000"/>
          <w:sz w:val="24"/>
          <w:szCs w:val="24"/>
        </w:rPr>
        <w:t xml:space="preserve">本模組聚焦內地企業在香港主板上市的完整流程，是課程中最具市場價值的部分。學員將全面了解內地企業赴港上市的動機、主板上市条件、审核流程及关鍵時間節點。內容涵蓋主板上市要求（盈利、營業記錄、市值等）、保薦人與合格對象的角色、IPO 前後的重組流程，以及近年中國企業赴港上市的常見模式與注意事項。學員完成後將能夠協助內地家族企業客戶理解香港資本市場的上市路徑。</w:t>
      </w:r>
    </w:p>
    <w:p>
      <w:pPr>
        <w:spacing w:after="120" w:line="312"/>
        <w:ind w:firstLine="480"/>
        <w:jc w:val="both"/>
      </w:pPr>
      <w:r>
        <w:rPr>
          <w:rFonts w:ascii="Calibri" w:eastAsia="Microsoft YaHei"/>
          <w:color w:val="000000"/>
          <w:sz w:val="24"/>
          <w:szCs w:val="24"/>
        </w:rPr>
        <w:t xml:space="preserve">主要內容包括：香港主板上市條件概覽、內地企業赴港 IPO 常見流程、主板上市审核要求、保薦人與合格對象制度、IPO 前後重組流程、近年常見案例分析。</w:t>
      </w:r>
    </w:p>
    <w:p>
      <w:pPr>
        <w:pStyle w:val="Heading2"/>
        <w:spacing w:after="120" w:before="240" w:line="312"/>
      </w:pPr>
      <w:r>
        <w:rPr>
          <w:rFonts w:ascii="Calibri" w:eastAsia="SimHei"/>
          <w:b/>
          <w:bCs/>
          <w:color w:val="1A1A1A"/>
          <w:sz w:val="28"/>
          <w:szCs w:val="28"/>
        </w:rPr>
        <w:t xml:space="preserve">第二天（4 小時）</w:t>
      </w:r>
    </w:p>
    <w:p>
      <w:pPr>
        <w:pStyle w:val="Heading2"/>
        <w:spacing w:after="120" w:before="240" w:line="312"/>
      </w:pPr>
      <w:r>
        <w:rPr>
          <w:rFonts w:ascii="Calibri" w:eastAsia="SimHei"/>
          <w:b/>
          <w:bCs/>
          <w:color w:val="1A1A1A"/>
          <w:sz w:val="28"/>
          <w:szCs w:val="28"/>
        </w:rPr>
        <w:t xml:space="preserve">模組四：AML 反洗錢合規（2 小時）</w:t>
      </w:r>
    </w:p>
    <w:p>
      <w:pPr>
        <w:spacing w:after="120" w:line="312"/>
        <w:ind w:firstLine="480"/>
        <w:jc w:val="both"/>
      </w:pPr>
      <w:r>
        <w:rPr>
          <w:rFonts w:ascii="Calibri" w:eastAsia="Microsoft YaHei"/>
          <w:color w:val="000000"/>
          <w:sz w:val="24"/>
          <w:szCs w:val="24"/>
        </w:rPr>
        <w:t xml:space="preserve">反洗錢合規是家族辦公室行業中不可或缺的合規知識。本模組全面介紹香港《反洗錢及反恐怪資金緊化條例》（AMLO）的核心要求，包括客戶盡護程序（KYC）、客戶盡護審查（CDD）、增強盡護審查（EDD）的實務操作。學員將學習如何識別可疑交易、可疑客戶特徵，以及遇到可疑情況時的可报告處理流程。此模組也涵蓋國際反洗錢标準、 FATF 建議及全球反洗錢合規趣勢，幫助學員建立全球合規視野。</w:t>
      </w:r>
    </w:p>
    <w:p>
      <w:pPr>
        <w:spacing w:after="120" w:line="312"/>
        <w:ind w:firstLine="480"/>
        <w:jc w:val="both"/>
      </w:pPr>
      <w:r>
        <w:rPr>
          <w:rFonts w:ascii="Calibri" w:eastAsia="Microsoft YaHei"/>
          <w:color w:val="000000"/>
          <w:sz w:val="24"/>
          <w:szCs w:val="24"/>
        </w:rPr>
        <w:t xml:space="preserve">主要內容包括：AMLO 條例核心要求、KYC/CDD/EDD 實務操作流程、可疑交易識別與報告義務、可疑客戶特徵分析、記錄保存要求、國際反洗錢标準與 FATF 建議、實際案例分析。</w:t>
      </w:r>
    </w:p>
    <w:p>
      <w:pPr>
        <w:pStyle w:val="Heading2"/>
        <w:spacing w:after="120" w:before="240" w:line="312"/>
      </w:pPr>
      <w:r>
        <w:rPr>
          <w:rFonts w:ascii="Calibri" w:eastAsia="SimHei"/>
          <w:b/>
          <w:bCs/>
          <w:color w:val="1A1A1A"/>
          <w:sz w:val="28"/>
          <w:szCs w:val="28"/>
        </w:rPr>
        <w:t xml:space="preserve">模組五：CRM 客戶關係管理系統（2 小時）</w:t>
      </w:r>
    </w:p>
    <w:p>
      <w:pPr>
        <w:spacing w:after="120" w:line="312"/>
        <w:ind w:firstLine="480"/>
        <w:jc w:val="both"/>
      </w:pPr>
      <w:r>
        <w:rPr>
          <w:rFonts w:ascii="Calibri" w:eastAsia="Microsoft YaHei"/>
          <w:color w:val="000000"/>
          <w:sz w:val="24"/>
          <w:szCs w:val="24"/>
        </w:rPr>
        <w:t xml:space="preserve">本模組以 PZC Group 現有的 MCLUB CRM 系統為基礎，教導學員如何運用數字化工具管理家族辦公室客戶關係。學員將學習 CRM 系統的基本運作、客戶資料管理、服務記錄追蹤、交易流程管理，以及如何利用數據分析提升服務質量。這套系統是 PZC Group 的核心運營工具，學員掌握後將能夠即時上手實際工作，高效地管理客戶關係和服務流程。</w:t>
      </w:r>
    </w:p>
    <w:p>
      <w:pPr>
        <w:spacing w:after="120" w:line="312"/>
        <w:ind w:firstLine="480"/>
        <w:jc w:val="both"/>
      </w:pPr>
      <w:r>
        <w:rPr>
          <w:rFonts w:ascii="Calibri" w:eastAsia="Microsoft YaHei"/>
          <w:color w:val="000000"/>
          <w:sz w:val="24"/>
          <w:szCs w:val="24"/>
        </w:rPr>
        <w:t xml:space="preserve">主要內容包括：CRM 系統基礎概念與 MCLUB 實操、客戶資料建立與管理、服務訂單與流程追蹤、客戶溝通與定期回訪策略、數據分析與報表產生、實戴演練。</w:t>
      </w:r>
    </w:p>
    <w:p>
      <w:pPr>
        <w:spacing w:after="60" w:before="60"/>
      </w:pPr>
    </w:p>
    <w:p>
      <w:pPr>
        <w:pStyle w:val="Heading1"/>
        <w:spacing w:after="200" w:before="360" w:line="312"/>
      </w:pPr>
      <w:r>
        <w:rPr>
          <w:rFonts w:ascii="Calibri" w:eastAsia="SimHei"/>
          <w:b/>
          <w:bCs/>
          <w:color w:val="1A1A1A"/>
          <w:sz w:val="32"/>
          <w:szCs w:val="32"/>
        </w:rPr>
        <w:t xml:space="preserve">三、課程時間表</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日期</w:t>
            </w:r>
          </w:p>
        </w:tc>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時間</w:t>
            </w:r>
          </w:p>
        </w:tc>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模組</w:t>
            </w:r>
          </w:p>
        </w:tc>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內容</w:t>
            </w:r>
          </w:p>
        </w:tc>
        <w:tc>
          <w:tcPr>
            <w:tcW w:type="pct" w:w="20%"/>
            <w:shd w:fill="C9A84C" w:val="clear"/>
            <w:tcMar>
              <w:top w:type="dxa" w:w="60"/>
              <w:left w:type="dxa" w:w="120"/>
              <w:bottom w:type="dxa" w:w="60"/>
              <w:right w:type="dxa" w:w="120"/>
            </w:tcMar>
          </w:tcPr>
          <w:p>
            <w:r>
              <w:rPr>
                <w:rFonts w:ascii="Calibri" w:eastAsia="SimHei"/>
                <w:b/>
                <w:bCs/>
                <w:color w:val="1A1A1A"/>
                <w:sz w:val="21"/>
                <w:szCs w:val="21"/>
              </w:rPr>
              <w:t xml:space="preserve">時長</w:t>
            </w:r>
          </w:p>
        </w:tc>
      </w:tr>
      <w:tr>
        <w:trPr>
          <w:cantSplit/>
        </w:trPr>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第 1 天</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上午</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基本家辦知識</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家族辦公室概念、行業生態、服務範疇</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1.5 小時</w:t>
            </w:r>
          </w:p>
        </w:tc>
      </w:tr>
      <w:tr>
        <w:trPr>
          <w:cantSplit/>
        </w:trPr>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第 1 天</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下午（前）</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財務會計基礎</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負債管理、報表解讀、財務比率</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1 小時</w:t>
            </w:r>
          </w:p>
        </w:tc>
      </w:tr>
      <w:tr>
        <w:trPr>
          <w:cantSplit/>
        </w:trPr>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第 1 天</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下午（後）</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內地企業香港主板 IPO</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上市條件、審核流程、案例分析</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1.5 小時</w:t>
            </w:r>
          </w:p>
        </w:tc>
      </w:tr>
      <w:tr>
        <w:trPr>
          <w:cantSplit/>
        </w:trPr>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第 2 天</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上午</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AML 反洗錢合規</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KYC/CDD/EDD、可疑交易、實際案例</w:t>
            </w:r>
          </w:p>
        </w:tc>
        <w:tc>
          <w:tcPr>
            <w:tcW w:type="pct" w:w="20%"/>
            <w:shd w:fill="FFFFFF" w:val="clear"/>
            <w:tcMar>
              <w:top w:type="dxa" w:w="60"/>
              <w:left w:type="dxa" w:w="120"/>
              <w:bottom w:type="dxa" w:w="60"/>
              <w:right w:type="dxa" w:w="120"/>
            </w:tcMar>
          </w:tcPr>
          <w:p>
            <w:r>
              <w:rPr>
                <w:rFonts w:ascii="Calibri" w:eastAsia="Microsoft YaHei"/>
                <w:color w:val="000000"/>
                <w:sz w:val="21"/>
                <w:szCs w:val="21"/>
              </w:rPr>
              <w:t xml:space="preserve">2 小時</w:t>
            </w:r>
          </w:p>
        </w:tc>
      </w:tr>
      <w:tr>
        <w:trPr>
          <w:cantSplit/>
        </w:trPr>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第 2 天</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下午</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CRM 客戶關係管理</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MCLUB 系統、客戶管理、數據分析</w:t>
            </w:r>
          </w:p>
        </w:tc>
        <w:tc>
          <w:tcPr>
            <w:tcW w:type="pct" w:w="20%"/>
            <w:shd w:fill="F5F2E8" w:val="clear"/>
            <w:tcMar>
              <w:top w:type="dxa" w:w="60"/>
              <w:left w:type="dxa" w:w="120"/>
              <w:bottom w:type="dxa" w:w="60"/>
              <w:right w:type="dxa" w:w="120"/>
            </w:tcMar>
          </w:tcPr>
          <w:p>
            <w:r>
              <w:rPr>
                <w:rFonts w:ascii="Calibri" w:eastAsia="Microsoft YaHei"/>
                <w:color w:val="000000"/>
                <w:sz w:val="21"/>
                <w:szCs w:val="21"/>
              </w:rPr>
              <w:t xml:space="preserve">2 小時</w:t>
            </w:r>
          </w:p>
        </w:tc>
      </w:tr>
    </w:tbl>
    <w:p>
      <w:pPr>
        <w:spacing w:after="60" w:before="60"/>
      </w:pPr>
    </w:p>
    <w:p>
      <w:pPr>
        <w:pStyle w:val="Heading1"/>
        <w:spacing w:after="200" w:before="360" w:line="312"/>
      </w:pPr>
      <w:r>
        <w:rPr>
          <w:rFonts w:ascii="Calibri" w:eastAsia="SimHei"/>
          <w:b/>
          <w:bCs/>
          <w:color w:val="1A1A1A"/>
          <w:sz w:val="32"/>
          <w:szCs w:val="32"/>
        </w:rPr>
        <w:t xml:space="preserve">四、證書預發</w:t>
      </w:r>
    </w:p>
    <w:p>
      <w:pPr>
        <w:spacing w:after="120" w:line="312"/>
        <w:ind w:firstLine="480"/>
        <w:jc w:val="both"/>
      </w:pPr>
      <w:r>
        <w:rPr>
          <w:rFonts w:ascii="Calibri" w:eastAsia="Microsoft YaHei"/>
          <w:color w:val="000000"/>
          <w:sz w:val="24"/>
          <w:szCs w:val="24"/>
        </w:rPr>
        <w:t xml:space="preserve">學員完成全部兩天課程後，將獲得由 PZC Group 預發的「家族辦公室專業認可證書」。證書將在 MCLUB CRM 系統中進行數位化管理和存檔記錄，確保每張證書皆可追溯。證書的發出代表學員已經掌握家族辦公室行業的基本專業知識，包括家辦概念、財務會計、IPO 實務、反洗錢合規及客戶管理等五大範疇，可以即時应用於實際工作中。</w:t>
      </w:r>
    </w:p>
    <w:tbl>
      <w:tblPr>
        <w:tblW w:type="pct" w:w="100%"/>
        <w:tblBorders>
          <w:top w:val="single" w:color="C9A84C" w:sz="2"/>
          <w:left w:val="none"/>
          <w:bottom w:val="single" w:color="C9A84C" w:sz="2"/>
          <w:right w:val="none"/>
          <w:insideH w:val="single" w:color="DDD5C0" w:sz="1"/>
          <w:insideV w:val="none"/>
        </w:tblBorders>
      </w:tblPr>
      <w:tblGrid>
        <w:gridCol w:w="100"/>
        <w:gridCol w:w="100"/>
      </w:tblGrid>
      <w:tr>
        <w:trPr>
          <w:cantSplit/>
          <w:tblHeader/>
        </w:trPr>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項目</w:t>
            </w:r>
          </w:p>
        </w:tc>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說明</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證書名稱</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PZC Family Office Professional Certificate</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預發機構</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PZC Group</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預發條件</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完成全部 8 小時課程</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記錄平台</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MCLUB CRM 系統</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證書樣式</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紙質證書 + 數位版本</w:t>
            </w:r>
          </w:p>
        </w:tc>
      </w:tr>
    </w:tbl>
    <w:p>
      <w:pPr>
        <w:spacing w:after="60" w:before="60"/>
      </w:pPr>
    </w:p>
    <w:p>
      <w:pPr>
        <w:pStyle w:val="Heading1"/>
        <w:spacing w:after="200" w:before="360" w:line="312"/>
      </w:pPr>
      <w:r>
        <w:rPr>
          <w:rFonts w:ascii="Calibri" w:eastAsia="SimHei"/>
          <w:b/>
          <w:bCs/>
          <w:color w:val="1A1A1A"/>
          <w:sz w:val="32"/>
          <w:szCs w:val="32"/>
        </w:rPr>
        <w:t xml:space="preserve">五、報名資訊</w:t>
      </w:r>
    </w:p>
    <w:p>
      <w:pPr>
        <w:spacing w:after="120" w:line="312"/>
        <w:ind w:firstLine="480"/>
        <w:jc w:val="both"/>
      </w:pPr>
      <w:r>
        <w:rPr>
          <w:rFonts w:ascii="Calibri" w:eastAsia="Microsoft YaHei"/>
          <w:color w:val="000000"/>
          <w:sz w:val="24"/>
          <w:szCs w:val="24"/>
        </w:rPr>
        <w:t xml:space="preserve">本課程正在籌備階段，正式開課日期將另行公佈。此方案為初步構思，課程內容及安排可能根據實際情況作出調整。如有任何疑問，歡迎通過 PZC Group 客戶服務專員查詢。</w:t>
      </w:r>
    </w:p>
    <w:tbl>
      <w:tblPr>
        <w:tblW w:type="pct" w:w="100%"/>
        <w:tblBorders>
          <w:top w:val="single" w:color="C9A84C" w:sz="2"/>
          <w:left w:val="none"/>
          <w:bottom w:val="single" w:color="C9A84C" w:sz="2"/>
          <w:right w:val="none"/>
          <w:insideH w:val="single" w:color="DDD5C0" w:sz="1"/>
          <w:insideV w:val="none"/>
        </w:tblBorders>
      </w:tblPr>
      <w:tblGrid>
        <w:gridCol w:w="100"/>
        <w:gridCol w:w="100"/>
      </w:tblGrid>
      <w:tr>
        <w:trPr>
          <w:cantSplit/>
          <w:tblHeader/>
        </w:trPr>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項目</w:t>
            </w:r>
          </w:p>
        </w:tc>
        <w:tc>
          <w:tcPr>
            <w:tcW w:type="pct" w:w="50%"/>
            <w:shd w:fill="C9A84C" w:val="clear"/>
            <w:tcMar>
              <w:top w:type="dxa" w:w="60"/>
              <w:left w:type="dxa" w:w="120"/>
              <w:bottom w:type="dxa" w:w="60"/>
              <w:right w:type="dxa" w:w="120"/>
            </w:tcMar>
          </w:tcPr>
          <w:p>
            <w:r>
              <w:rPr>
                <w:rFonts w:ascii="Calibri" w:eastAsia="SimHei"/>
                <w:b/>
                <w:bCs/>
                <w:color w:val="1A1A1A"/>
                <w:sz w:val="21"/>
                <w:szCs w:val="21"/>
              </w:rPr>
              <w:t xml:space="preserve">詳情</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報名方式</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通過 PZC Group 客戶服務專員</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課程費用</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HK$1,680</w:t>
            </w:r>
          </w:p>
        </w:tc>
      </w:tr>
      <w:tr>
        <w:trPr>
          <w:cantSplit/>
        </w:trPr>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上課形式</w:t>
            </w:r>
          </w:p>
        </w:tc>
        <w:tc>
          <w:tcPr>
            <w:tcW w:type="pct" w:w="50%"/>
            <w:shd w:fill="F5F2E8" w:val="clear"/>
            <w:tcMar>
              <w:top w:type="dxa" w:w="60"/>
              <w:left w:type="dxa" w:w="120"/>
              <w:bottom w:type="dxa" w:w="60"/>
              <w:right w:type="dxa" w:w="120"/>
            </w:tcMar>
          </w:tcPr>
          <w:p>
            <w:r>
              <w:rPr>
                <w:rFonts w:ascii="Calibri" w:eastAsia="Microsoft YaHei"/>
                <w:color w:val="000000"/>
                <w:sz w:val="21"/>
                <w:szCs w:val="21"/>
              </w:rPr>
              <w:t xml:space="preserve">小組實體課（少數導師帶领）</w:t>
            </w:r>
          </w:p>
        </w:tc>
      </w:tr>
      <w:tr>
        <w:trPr>
          <w:cantSplit/>
        </w:trPr>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詳情查詢</w:t>
            </w:r>
          </w:p>
        </w:tc>
        <w:tc>
          <w:tcPr>
            <w:tcW w:type="pct" w:w="50%"/>
            <w:shd w:fill="FFFFFF" w:val="clear"/>
            <w:tcMar>
              <w:top w:type="dxa" w:w="60"/>
              <w:left w:type="dxa" w:w="120"/>
              <w:bottom w:type="dxa" w:w="60"/>
              <w:right w:type="dxa" w:w="120"/>
            </w:tcMar>
          </w:tcPr>
          <w:p>
            <w:r>
              <w:rPr>
                <w:rFonts w:ascii="Calibri" w:eastAsia="Microsoft YaHei"/>
                <w:color w:val="000000"/>
                <w:sz w:val="21"/>
                <w:szCs w:val="21"/>
              </w:rPr>
              <w:t xml:space="preserve">PZC Group 客戶服務</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pPr>
    <w:rPr>
      <w:rFonts w:ascii="Calibri" w:eastAsia="SimHei"/>
      <w:b/>
      <w:bCs/>
      <w:color w:val="1A1A1A"/>
      <w:sz w:val="32"/>
      <w:szCs w:val="32"/>
    </w:rPr>
  </w:style>
  <w:style w:type="paragraph" w:styleId="Heading2">
    <w:name w:val="Heading 2"/>
    <w:basedOn w:val="Normal"/>
    <w:next w:val="Normal"/>
    <w:qFormat/>
    <w:pPr>
      <w:spacing w:after="120" w:before="240" w:line="312"/>
    </w:pPr>
    <w:rPr>
      <w:rFonts w:ascii="Calibri" w:eastAsia="SimHei"/>
      <w:b/>
      <w:bCs/>
      <w:color w:val="1A1A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2026-06-09T10:00:40.554Z</dcterms:created>
  <dcterms:modified xsi:type="dcterms:W3CDTF">2026-06-09T10:00:40.554Z</dcterms:modified>
</cp:coreProperties>
</file>

<file path=docProps/custom.xml><?xml version="1.0" encoding="utf-8"?>
<Properties xmlns="http://schemas.openxmlformats.org/officeDocument/2006/custom-properties" xmlns:vt="http://schemas.openxmlformats.org/officeDocument/2006/docPropsVTypes"/>
</file>