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4" w:space="10"/>
        </w:pBdr>
        <w:spacing w:after="100"/>
        <w:jc w:val="center"/>
      </w:pPr>
      <w:r>
        <w:rPr>
          <w:rFonts w:ascii="Calibri" w:eastAsia="SimHei"/>
          <w:b/>
          <w:bCs/>
          <w:color w:val="1A1A1A"/>
          <w:sz w:val="32"/>
          <w:szCs w:val="32"/>
        </w:rPr>
        <w:t xml:space="preserve">FX Risk Modelling 服务简介</w:t>
      </w:r>
    </w:p>
    <w:p>
      <w:pPr>
        <w:spacing w:after="300"/>
        <w:jc w:val="center"/>
      </w:pPr>
      <w:r>
        <w:rPr>
          <w:rFonts w:ascii="Calibri" w:eastAsia="Microsoft YaHei"/>
          <w:color w:val="666666"/>
          <w:sz w:val="20"/>
          <w:szCs w:val="20"/>
        </w:rPr>
        <w:t xml:space="preserve">全面外汇风险管理解决方案  |  服务家族客户外汇资产保值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服务项目</w:t>
            </w:r>
          </w:p>
        </w:tc>
        <w:tc>
          <w:tcPr>
            <w:tcW w:type="pct" w:w="38%"/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简介</w:t>
            </w:r>
          </w:p>
        </w:tc>
        <w:tc>
          <w:tcPr>
            <w:tcW w:type="pct" w:w="22%"/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服务对象</w:t>
            </w:r>
          </w:p>
        </w:tc>
        <w:tc>
          <w:tcPr>
            <w:tcW w:type="pct" w:w="25%"/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交付成果</w:t>
            </w:r>
          </w:p>
        </w:tc>
      </w:tr>
      <w:tr>
        <w:tc>
          <w:tcPr>
            <w:tcW w:type="pct" w:w="15%"/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Stress Testing
压力测试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模拟极端市场情况（如币值急跌 10%-20%、利率剧变、地缘政治事件），测试客户的外汇资产组合在各种情境下的损失风险。帮助客户提前知晓最坏情况下的潜在影响，并制定应对方案。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有大量外汇负债的家族客户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压力测试报告（包含情景分析、损失估算、建议）</w:t>
            </w:r>
          </w:p>
        </w:tc>
      </w:tr>
      <w:tr>
        <w:tc>
          <w:tcPr>
            <w:tcW w:type="pct" w:w="15%"/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Multi-Currency
Dashboard
多币种仪表板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实时多币种分析平台，整合威利指定价、币值走势、外汇敢口数据。客户可一网盯控全球币种走势和自己的外汇风险敏感度，即时追踪币值波动对负债的实际影响。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会经常要进行多币种交易的客户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实时仪表板（币值走势、敢口分析、风险指标）</w:t>
            </w:r>
          </w:p>
        </w:tc>
      </w:tr>
      <w:tr>
        <w:tc>
          <w:tcPr>
            <w:tcW w:type="pct" w:w="15%"/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Hedging
Strategies
对冲策略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根据客户的外汇敢口和风险实际度，设计个性化的对冲方案。包括起远期合约、期权策略、天然对冲等多种工具组合，最大限度降低汇率波动对家族资产的侵蚀。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希望主动管理汇率风险的客户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对冲方案建议书（包含成本效益分析）</w:t>
            </w:r>
          </w:p>
        </w:tc>
      </w:tr>
      <w:tr>
        <w:tc>
          <w:tcPr>
            <w:tcW w:type="pct" w:w="15%"/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Value at Risk
(VaR)
风险估值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利用统计模型计算客户外汇组合在特定置信水平下的最大预期损失。例如「95% VaR 为 HK$500万」意味在正常市场条件下，有 95% 机会单日损失不会超过 HK$500万。为客户提供简洁明了的风险量化指标。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需要定期报告外汇风险敢口的客户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VaR 报告（包含置信度、风险值、走势图）</w:t>
            </w:r>
          </w:p>
        </w:tc>
      </w:tr>
    </w:tbl>
    <w:p>
      <w:pPr>
        <w:pBdr>
          <w:top w:val="single" w:color="E0E0E0" w:sz="2" w:space="10"/>
        </w:pBdr>
        <w:spacing w:before="250"/>
        <w:jc w:val="center"/>
      </w:pPr>
      <w:r>
        <w:rPr>
          <w:rFonts w:ascii="Calibri" w:eastAsia="Microsoft YaHei"/>
          <w:color w:val="999999"/>
          <w:sz w:val="18"/>
          <w:szCs w:val="18"/>
        </w:rPr>
        <w:t xml:space="preserve">PZC Group  |  FX Risk Modelling  |  专业外汇风险管理服务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999999"/>
        <w:sz w:val="16"/>
        <w:szCs w:val="16"/>
      </w:rPr>
      <w:t xml:space="preserve">PZC Group </w:t>
    </w:r>
    <w:r>
      <w:rPr>
        <w:rFonts w:ascii="Calibri" w:eastAsia="Microsoft YaHei"/>
        <w:color w:val="999999"/>
        <w:sz w:val="16"/>
        <w:szCs w:val="16"/>
      </w:rPr>
      <w:t xml:space="preserve">|  FX Risk Modelling 服务简介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2026-06-09T11:02:02.013Z</dcterms:created>
  <dcterms:modified xsi:type="dcterms:W3CDTF">2026-06-09T11:02:02.013Z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