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9A84C" w:sz="4" w:space="10"/>
        </w:pBdr>
        <w:spacing w:after="100"/>
        <w:jc w:val="center"/>
      </w:pPr>
      <w:r>
        <w:rPr>
          <w:rFonts w:ascii="Calibri" w:eastAsia="SimHei"/>
          <w:b/>
          <w:bCs/>
          <w:color w:val="1A1A1A"/>
          <w:sz w:val="32"/>
          <w:szCs w:val="32"/>
        </w:rPr>
        <w:t xml:space="preserve">FX Risk Modelling 服務簡介</w:t>
      </w:r>
    </w:p>
    <w:p>
      <w:pPr>
        <w:spacing w:after="300"/>
        <w:jc w:val="center"/>
      </w:pPr>
      <w:r>
        <w:rPr>
          <w:rFonts w:ascii="Calibri" w:eastAsia="Microsoft YaHei"/>
          <w:color w:val="666666"/>
          <w:sz w:val="20"/>
          <w:szCs w:val="20"/>
        </w:rPr>
        <w:t xml:space="preserve">全面外圆風險管理解決方案  |  服務家族客戶外圆資產保值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C9A84C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1A1A1A"/>
                <w:sz w:val="22"/>
                <w:szCs w:val="22"/>
              </w:rPr>
              <w:t xml:space="preserve">服務項目</w:t>
            </w:r>
          </w:p>
        </w:tc>
        <w:tc>
          <w:tcPr>
            <w:tcW w:type="pct" w:w="38%"/>
            <w:shd w:fill="C9A84C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1A1A1A"/>
                <w:sz w:val="22"/>
                <w:szCs w:val="22"/>
              </w:rPr>
              <w:t xml:space="preserve">簡介</w:t>
            </w:r>
          </w:p>
        </w:tc>
        <w:tc>
          <w:tcPr>
            <w:tcW w:type="pct" w:w="22%"/>
            <w:shd w:fill="C9A84C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1A1A1A"/>
                <w:sz w:val="22"/>
                <w:szCs w:val="22"/>
              </w:rPr>
              <w:t xml:space="preserve">服務對象</w:t>
            </w:r>
          </w:p>
        </w:tc>
        <w:tc>
          <w:tcPr>
            <w:tcW w:type="pct" w:w="25%"/>
            <w:shd w:fill="C9A84C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1A1A1A"/>
                <w:sz w:val="22"/>
                <w:szCs w:val="22"/>
              </w:rPr>
              <w:t xml:space="preserve">交付成果</w:t>
            </w:r>
          </w:p>
        </w:tc>
      </w:tr>
      <w:tr>
        <w:tc>
          <w:tcPr>
            <w:tcW w:type="pct" w:w="15%"/>
            <w:shd w:fill="C9A84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eastAsia="Microsoft YaHei"/>
                <w:b/>
                <w:bCs/>
                <w:color w:val="1A1A1A"/>
                <w:sz w:val="20"/>
                <w:szCs w:val="20"/>
              </w:rPr>
              <w:t xml:space="preserve">Stress Testing
壓力測試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模擬極端市場情況（如幣值急跌 10%-20%、利率劇變、地緣政治事件），測試客戶的外圆資產組合在各種情境下的損失風險。幫助客戶提前知晓最壞情況下的潜在影響，並制定應對方案。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有大量外圆負債的家族客戶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壓力測試報告（包含情景分析、損失估算、建議）</w:t>
            </w:r>
          </w:p>
        </w:tc>
      </w:tr>
      <w:tr>
        <w:tc>
          <w:tcPr>
            <w:tcW w:type="pct" w:w="15%"/>
            <w:shd w:fill="C9A84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eastAsia="Microsoft YaHei"/>
                <w:b/>
                <w:bCs/>
                <w:color w:val="1A1A1A"/>
                <w:sz w:val="20"/>
                <w:szCs w:val="20"/>
              </w:rPr>
              <w:t xml:space="preserve">Multi-Currency
Dashboard
多幣種儀表板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實時多幣種分析平台，整合威利指定價、幣值走勢、外圆敞口數據。客戶可一網盯控全球幣種走勢和自己的外圆風險敏感度，即時追蹤幣值波動對負債的實際影響。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會經常要進行多幣種交易的客戶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實時儀表板（幣值走勢、敞口分析、風險指標）</w:t>
            </w:r>
          </w:p>
        </w:tc>
      </w:tr>
      <w:tr>
        <w:tc>
          <w:tcPr>
            <w:tcW w:type="pct" w:w="15%"/>
            <w:shd w:fill="C9A84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eastAsia="Microsoft YaHei"/>
                <w:b/>
                <w:bCs/>
                <w:color w:val="1A1A1A"/>
                <w:sz w:val="20"/>
                <w:szCs w:val="20"/>
              </w:rPr>
              <w:t xml:space="preserve">Hedging
Strategies
對涖策略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根據客戶的外圆敞口和風險實妠度，設計個性化的對涖方案。包括起遠期合約、期權策略、天然對涖等多種工具組合，最大限度降低圃率波動對家族資產的侵蝕。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希望主動管理圃率風險的客戶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對涖方案建議書（包含成本效益分析）</w:t>
            </w:r>
          </w:p>
        </w:tc>
      </w:tr>
      <w:tr>
        <w:tc>
          <w:tcPr>
            <w:tcW w:type="pct" w:w="15%"/>
            <w:shd w:fill="C9A84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eastAsia="Microsoft YaHei"/>
                <w:b/>
                <w:bCs/>
                <w:color w:val="1A1A1A"/>
                <w:sz w:val="20"/>
                <w:szCs w:val="20"/>
              </w:rPr>
              <w:t xml:space="preserve">Value at Risk
(VaR)
風險估值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利用統計模型計算客戶外圆組合在特定置信水平下的最大預期損失。例如「95% VaR 為 HK$500萬」意味在正常市場條件下，有 95% 機會単日損失不會超過 HK$500萬。為客戶提供簡潔明了的風險量化指標。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需要定期報告外圆風險敞口的客戶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VaR 報告（包含置信度、風險值、走勢圖）</w:t>
            </w:r>
          </w:p>
        </w:tc>
      </w:tr>
    </w:tbl>
    <w:p>
      <w:pPr>
        <w:pBdr>
          <w:top w:val="single" w:color="E0E0E0" w:sz="2" w:space="10"/>
        </w:pBdr>
        <w:spacing w:before="250"/>
        <w:jc w:val="center"/>
      </w:pPr>
      <w:r>
        <w:rPr>
          <w:rFonts w:ascii="Calibri" w:eastAsia="Microsoft YaHei"/>
          <w:color w:val="999999"/>
          <w:sz w:val="18"/>
          <w:szCs w:val="18"/>
        </w:rPr>
        <w:t xml:space="preserve">PZC Group  |  FX Risk Modelling  |  專業外圆風險管理服務</w:t>
      </w: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/>
        <w:color w:val="999999"/>
        <w:sz w:val="16"/>
        <w:szCs w:val="16"/>
      </w:rPr>
      <w:t xml:space="preserve">PZC Group </w:t>
    </w:r>
    <w:r>
      <w:rPr>
        <w:rFonts w:ascii="Calibri" w:eastAsia="Microsoft YaHei"/>
        <w:color w:val="999999"/>
        <w:sz w:val="16"/>
        <w:szCs w:val="16"/>
      </w:rPr>
      <w:t xml:space="preserve">|  FX Risk Modelling 服務簡介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000000"/>
        <w:sz w:val="20"/>
        <w:szCs w:val="20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2026-06-09T11:00:34.570Z</dcterms:created>
  <dcterms:modified xsi:type="dcterms:W3CDTF">2026-06-09T11:00:34.570Z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