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vAlign w:val="top"/>
          </w:tcPr>
          <w:p>
            <w:pPr>
              <w:spacing w:before="4103"/>
            </w:pPr>
          </w:p>
          <w:p>
            <w:pPr>
              <w:pBdr>
                <w:top w:val="single" w:color="C9A84C" w:sz="18" w:space="20"/>
              </w:pBdr>
              <w:ind w:left="1701" w:right="1417"/>
            </w:pPr>
          </w:p>
          <w:p>
            <w:pPr>
              <w:spacing w:after="100" w:line="920" w:lineRule="atLeast"/>
              <w:ind w:left="1701" w:right="1417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FX Risk</w:t>
            </w:r>
          </w:p>
          <w:p>
            <w:pPr>
              <w:spacing w:after="100" w:line="920" w:lineRule="atLeast"/>
              <w:ind w:left="1701" w:right="1417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Modelling</w:t>
            </w:r>
          </w:p>
          <w:p>
            <w:pPr>
              <w:spacing w:after="100" w:line="920" w:lineRule="atLeast"/>
              <w:ind w:left="1701" w:right="1417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Service</w:t>
            </w:r>
          </w:p>
          <w:p>
            <w:pPr>
              <w:spacing w:before="200" w:line="480" w:lineRule="atLeast"/>
              <w:ind w:left="1701" w:right="1417"/>
            </w:pPr>
            <w:r>
              <w:rPr>
                <w:rFonts w:ascii="Calibri" w:eastAsia="Microsoft YaHei"/>
                <w:color w:val="B0B8C0"/>
                <w:sz w:val="24"/>
                <w:szCs w:val="24"/>
              </w:rPr>
              <w:t xml:space="preserve">家族辦公室新增服務項目：外匯風險建模服務</w:t>
            </w:r>
          </w:p>
          <w:p>
            <w:pPr>
              <w:spacing w:before="100" w:line="360" w:lineRule="atLeast"/>
              <w:ind w:left="1701" w:right="1417"/>
            </w:pPr>
            <w:r>
              <w:rPr>
                <w:rFonts w:ascii="Calibri"/>
                <w:color w:val="90989F"/>
                <w:sz w:val="20"/>
                <w:szCs w:val="20"/>
              </w:rPr>
              <w:t xml:space="preserve">Product Concept &amp; Strategic Planning</w:t>
            </w:r>
          </w:p>
          <w:p>
            <w:pPr>
              <w:spacing w:before="4103"/>
            </w:pPr>
          </w:p>
          <w:p>
            <w:pPr>
              <w:pBdr>
                <w:top w:val="single" w:color="C9A84C" w:sz="4" w:space="10"/>
              </w:pBdr>
              <w:ind w:left="1701" w:right="6000"/>
            </w:pPr>
          </w:p>
          <w:p>
            <w:pPr>
              <w:spacing w:after="40" w:line="280" w:lineRule="atLeast"/>
              <w:ind w:left="1701" w:right="1417"/>
            </w:pPr>
            <w:r>
              <w:rPr>
                <w:rFonts w:ascii="Calibri" w:eastAsia="Microsoft YaHei"/>
                <w:color w:val="90989F"/>
                <w:sz w:val="18"/>
                <w:szCs w:val="18"/>
              </w:rPr>
              <w:t xml:space="preserve">MCLUB / Park Zeman Chase Limited</w:t>
            </w:r>
          </w:p>
          <w:p>
            <w:pPr>
              <w:spacing w:after="40" w:line="280" w:lineRule="atLeast"/>
              <w:ind w:left="1701" w:right="1417"/>
            </w:pPr>
            <w:r>
              <w:rPr>
                <w:rFonts w:ascii="Calibri" w:eastAsia="Microsoft YaHei"/>
                <w:color w:val="90989F"/>
                <w:sz w:val="18"/>
                <w:szCs w:val="18"/>
              </w:rPr>
              <w:t xml:space="preserve">百盛大通集團</w:t>
            </w:r>
          </w:p>
          <w:p>
            <w:pPr>
              <w:spacing w:after="40" w:line="280" w:lineRule="atLeast"/>
              <w:ind w:left="1701" w:right="1417"/>
            </w:pPr>
            <w:r>
              <w:rPr>
                <w:rFonts w:ascii="Calibri" w:eastAsia="Microsoft YaHei"/>
                <w:color w:val="90989F"/>
                <w:sz w:val="18"/>
                <w:szCs w:val="18"/>
              </w:rPr>
              <w:t xml:space="preserve">Status: 構想階段</w:t>
            </w:r>
          </w:p>
          <w:p>
            <w:pPr>
              <w:spacing w:after="40" w:line="280" w:lineRule="atLeast"/>
              <w:ind w:left="1701" w:right="1417"/>
            </w:pPr>
            <w:r>
              <w:rPr>
                <w:rFonts w:ascii="Calibri" w:eastAsia="Microsoft YaHei"/>
                <w:color w:val="90989F"/>
                <w:sz w:val="18"/>
                <w:szCs w:val="18"/>
              </w:rPr>
              <w:t xml:space="preserve">2026年6月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第一章：為什麼需要 FX Risk 服務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1.1 客戶的真實痛點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MCLUB 的典型客戶畫像：內地高淨值人士，資產以 RMB 為主，透過 MCLUB 將資產配置到海外（HKD/USD/JPY）。他們不是專業投資者，對外匯風險的認知非常有限。他們最大的恐懼是：賺了利息但輸了匯率。這個痛點在當前跨境財富配置的大趨勢下尤為突出，卻很少有服務帶幫他們系統性地量度和管理這個風險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真實案例：客戶購買大阪物業，年租金回報 6%，但 2022-2024 年 JPY 對 USD 跌幅超過 30%。租金收入以 JPY 計算，但客戶的生活開支以 RMB/HKD 計算。結果「名義回報 6%，實際匯率損失可能吃掉全部收益」。這類情況並非少見，而是 MCLUB 客戶群體普遍面對的現實問題。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1.2 現有產品的匯率風險暴露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以下表格列出 MCLUB 現有產品線的匯率風險暴露情況，可以看到大部分產品都存在不同程度的外匯風險，但目前沒有任何服務幫助客戶管理這個風險，這是一個明確的未被滿足的需求。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現有產品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涉及幣種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FX 風險等級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香港信訛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HKD / USD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中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美元掛鉤相對穩定，但 USD/RMB 波動仍影響內地客戶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日本房產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JPY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高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日圓波動大，2021-24 跌幅超過 30%，直接影響租金回報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聖多美公民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USD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中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美元結算，但客戶可能以 RMB 入場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NPC Fund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USD / JPY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高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雙幣種雙引擎，匯率直接影響實際回報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VFK 產品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HKD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低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本地結算，風險較低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公司秘書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HKD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低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本地服務，無匯率風險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1.3 市場缺口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目前市場上的 FX 服務要麼面向機構投資者（門檻高、收費貴），要麼是銀行的標準化產品（缺乏個性化）。沒有一個服務專門針對跨境財富配置的家族辦公室客戶，提供從風險量度到解決方案配對的一站式服務。這正是 MCLUB 可以填補的市場空白，也是為什麼 FX Risk Modelling Service 具有戰略價值的核心原因。</w:t>
      </w:r>
    </w:p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第二章：四個核心產品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產品 1：匯率壓力測試報告（FX Stress Test Report）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定位：入門級產品，讓客戶「看見」風險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客戶輸入海外資產分佈（已存在 MCLUB CRM 系統中），系統模擬三個情境：溫和波動（5% 匯率變動）、中度壓力（15% 匯率變動）、極端衝擊（30%+ 匯率變動）。每個情境計算資產淨值變化、租金/利息收入的實際購買力，最重要的數字是：「你的資產組合的最大匯率損失是多少」。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為什麼排第一：不需要預測未來（預測匯率是分析師的事，合規風險高），只是量度風險（Risk Assessment，合規門檻低）。對客戶非常直觀，可以自動化生成，邊際成本接近零。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收費模式：Plan A 會員包含一份年度報告；Plan B 會員包含季度報告；Plan C 會員包含月度報告加即時查詢；非會員 HK$2,000/份。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產品 2：對沖方案配對（Hedging Matchmaking）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定位：核心變現產品，連接客戶與持牌金融機構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根據壓力測試結果，推薦對沖工具類型：日本房產收租推薦遠期外匯合約（Forward）鎖定 JPY/HKD 匯率；美元基金投資推薦期權保護（Option）對沖 USD/RMB 貶值風險；多幣種資產推薦自然對沖配置建議。配對持牌金融機構/銀行提供報價，MCLUB 作為中間平台，收取介紹費。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為什麼排第二：零合規風險（不提供投資建議，只是介紹服務商）、零資本投入（不需要自建交易系統）、自然變現（銀行/金融機構樂意支付介紹費）、與現有 B2B2C 模式完全一致。收費按成交金額 0.5-1% 收取介紹費，Agent 引薦佣金率 8-10%。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產品 3：多幣種資產儀表板（Multi-Currency Dashboard）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定位：客戶留存工具，讓 MCLUB 成為客戶的日常入口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整合 MCLUB 現有產品數據（物業估值、基金淨值、信訛資產），加入即時匯率，計算本幣等值（以 RMB 或 HKD 為基準）。顯示今日匯率變動令客戶賺/蝐了多少，歷史趋勢圖展示過去 30 日/90 日/1 年的匯率對資產影響，自動預警某幣種跌超過設定百分比時推送通知。這欺工具令 MCLUB 平台變成客戶的唯一入口，增加黏性，數據已在系統中，只加一層匯率計算。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收費模式：Plan B/C 會員免費；Plan A 會員 HK$200/月；非會員 HK$500/月。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產品 4：匯率風險工作坊（FX Risk Workshop）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定位：獲客渠道，教育式銷售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1.5 小時小班制（15 人以內，與 MCLUB 沙龍模式一致），主題例如：「日本物業投資者必須知道的日圓風險」。用真實案例（2022-2024 JPY 貶值）做教學，現場用壓力測試工具做即場分析，工作坊結束自然過渡到銷售對沖方案配對。與已規劃的沙龍活動完全結合，教育式銷售先讓客戶意識到風險，再賣解決方案，線下活動建立信任，信任轉化為產品購買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收費模式：免費（作為獲客渠道）或 HK$500/位（篩選認真客戶，抵消場地成本）。</w:t>
      </w:r>
    </w:p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第三章：產品飛輪效應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四個產品形成閉環，互相推動：工作坊（獲客）讓客戶意識到 FX 風險，壓力測試報告（轉化）量化風險讓客戶想要處理，對沖方案配對（變現）銷售完成後需要持續追蹤，多幣種儀表板（留存）日常使用發現新風險後回到壓力測試，儀表板數據觸發再辦工作坊再賣方案。這個飛輪讓每個產品都成為其他產品的引流入口，形成自我強化的增長辨律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交叉銷售場景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觸發點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客戶行為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MCLUB 推薦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新增收入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購買日本房產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擔心日圓貶值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免費送一次 FX 壓力測試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HK$0（成本極低）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收到壓力測試報告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發現 JPY 風險高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推介 NPC Fund（美元資產對沖）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US$100,000 認購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NPC Fund 認購後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需要整體 FX 建模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升級 Plan C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HK$29,800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儀表板預警觸發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JPY 突然大跌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推介對沖方案配對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成交金額 0.5-1%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工作坊參加者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想深入了解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購買壓力測試報告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HK$2,000</w:t>
            </w:r>
          </w:p>
        </w:tc>
      </w:tr>
    </w:tbl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第四章：傭金制度建議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4.1 直客傭金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產品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直客傭金率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計算基準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匯率壓力測試報告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30%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服務費 HK$2,000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知識型服務，毛利高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對沖方案配對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15%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介紹費收入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按配對成交金額計算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多幣種儀表板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20%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月費收入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經常性收入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匯率風險工作坊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0%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免費活動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獲客成本，不設傭金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4.2 Agent 引薦傭金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產品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Agent 傭金率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SME 分成率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MCLUB 分成率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匯率壓力測試報告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35%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55%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知識型產品，MCLUB 佔比高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對沖方案配對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8%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45%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47%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與金融機構合作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多幣種儀表板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5%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95%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純平台產品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匯率風險工作坊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15%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0%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85%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Agent 帶客參加</w:t>
            </w:r>
          </w:p>
        </w:tc>
      </w:tr>
    </w:tbl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第五章：合規考量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5.1 核心原則：量度風險，不預測匯率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服務的核心邏輯是量度風險、配對解決方案、持續監控，而非預測匯率走勢。這條路線的優勢：合規輕（量度風險不需要牌照，配對服務不需要牌照）、資產輕（不需要自建交易系統或量化模型）、數據重（已有客戶的資產數據，這就是最大的護城河）、平台化（最終 MCLUB 成為「跨境財富的外匯風險管理入口」）。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5.2 香港監管框架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服務內容</w:t>
            </w:r>
          </w:p>
        </w:tc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是否需要 SFC 牌照</w:t>
            </w:r>
          </w:p>
        </w:tc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匯率壓力測試報告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不需要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屬於風險評估工具，非投資建議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對沖方案配對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不需要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只是介紹服務商，不提供投資建議</w:t>
            </w:r>
          </w:p>
        </w:tc>
      </w:tr>
      <w:tr>
        <w:trPr>
          <w:cantSplit/>
        </w:trPr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多幣種儀表板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不需要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只是數據展示工具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匯率風險工作坊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需注意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教育性質可以，但不可暗示具體投資建議</w:t>
            </w:r>
          </w:p>
        </w:tc>
      </w:tr>
    </w:tbl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5.3 注意事項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定位清晰：包裝為「風險評估工具」而非「投資建議」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免責聲明：所有報告必須附帶免責聲明，說明不構成投資建議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合作方持牌：對沖方案配對的服務商必須持有相關金融牌照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數據來源：匯率數據必須來自公認的第三方數據供應商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不自行交易：MCLUB 不自行執行任何外匯交易</w:t>
      </w:r>
    </w:p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第六章：技術實現路線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Phase 1：MVP（2-4 週）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在 CRM 系統中加入匯率壓力測試計算器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使用免費匯率 API 獲取歷史數據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自動生成 PDF 報告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整合到現有客戶的產品頁面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Phase 2：儀表板（4-6 週）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開發多幣種資產儀表板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接入即時匯率數據流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加入預警通知功能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整合到 CRM 前端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Phase 3：配對平台（6-8 週）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建立金融機構合作網絡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開發對沖方案配對流程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實現自動化報價請求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Agent 佣金追蹤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Phase 4：工作坊體系（持續）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設計工作坊課程內容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建立講者資源庫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線上線下結合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與沙龍活動合併運營</w:t>
      </w:r>
    </w:p>
    <w:p>
      <w:pPr>
        <w:pStyle w:val="Heading1"/>
        <w:spacing w:after="120" w:before="360" w:line="312"/>
      </w:pPr>
      <w:r>
        <w:rPr>
          <w:rFonts w:ascii="Calibri" w:eastAsia="SimHei"/>
          <w:b/>
          <w:bCs/>
          <w:color w:val="0F2027"/>
          <w:sz w:val="32"/>
          <w:szCs w:val="32"/>
        </w:rPr>
        <w:t xml:space="preserve">第七章：戰略價值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7.1 對 MCLUB 生態的貢獻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加入 FX Risk 服務後，MCLUB 的產品矩陣更加完整。之前幫客戶配置海外資產，但資產配置完就完，缺乏持續互動；之後配置資產、量度風險、管理風險、持續監控、再配置。這使 MCLUB 從「一次性交易平台」升級為「持續性財富管理平台」。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7.2 競爭壁壘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數據壁壘：客戶的資產分佈數據已在 MCLUB 系統中，其他平台無法複製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生態壁壘：FX 服務與現有產品形成飛輪，客戶離開 MCLUB 的成本極高</w:t>
      </w:r>
    </w:p>
    <w:p>
      <w:pPr>
        <w:spacing w:after="40" w:line="312"/>
        <w:ind w:left="960" w:hanging="240"/>
      </w:pPr>
      <w:r>
        <w:rPr>
          <w:rFonts w:ascii="Calibri" w:eastAsia="Microsoft YaHei"/>
          <w:color w:val="C9A84C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網絡壁壘：對沖方案配對的金融機構越多，平台價值越大</w:t>
      </w:r>
    </w:p>
    <w:p>
      <w:pPr>
        <w:pStyle w:val="Heading2"/>
        <w:spacing w:after="100" w:before="240" w:line="312"/>
      </w:pPr>
      <w:r>
        <w:rPr>
          <w:rFonts w:ascii="Calibri" w:eastAsia="SimHei"/>
          <w:b/>
          <w:bCs/>
          <w:color w:val="0F2027"/>
          <w:sz w:val="28"/>
          <w:szCs w:val="28"/>
        </w:rPr>
        <w:t xml:space="preserve">7.3 最終願景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MCLUB 成為「跨境財富的外匯風險管理入口」——任何擁有海外資產的高淨值人士，第一時間想到的是 MCLUB 的匯率壓力測試和對沖方案配對。這個願景的實現不需要建立庞大的技術基繎，而是透過現有客戶數據和平台優勢，逐步快速地建立起來的。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4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0F202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0F202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2026-06-07T10:29:14.294Z</dcterms:created>
  <dcterms:modified xsi:type="dcterms:W3CDTF">2026-06-07T10:29:14.294Z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