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027" w:val="clear"/>
            <w:vAlign w:val="top"/>
          </w:tcPr>
          <w:p>
            <w:pPr>
              <w:spacing w:before="4500"/>
            </w:pPr>
          </w:p>
          <w:p>
            <w:pPr>
              <w:spacing w:after="60" w:line="920" w:lineRule="atLeast"/>
              <w:ind w:left="12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VFK健康食品×MCL</w:t>
            </w:r>
          </w:p>
          <w:p>
            <w:pPr>
              <w:spacing w:after="60" w:line="920" w:lineRule="atLeast"/>
              <w:ind w:left="12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80"/>
                <w:szCs w:val="80"/>
              </w:rPr>
              <w:t xml:space="preserve">UB會員制推廣計劃報告</w:t>
            </w:r>
          </w:p>
          <w:p>
            <w:pPr>
              <w:pBdr>
                <w:bottom w:val="single" w:color="D4AF37" w:sz="18" w:space="8"/>
              </w:pBdr>
              <w:spacing w:after="200" w:before="200"/>
              <w:ind w:left="1200"/>
            </w:pPr>
          </w:p>
          <w:p>
            <w:pPr>
              <w:spacing w:after="80" w:line="400"/>
              <w:ind w:left="1200"/>
              <w:jc w:val="left"/>
            </w:pPr>
            <w:r>
              <w:rPr>
                <w:rFonts w:ascii="Calibri" w:eastAsia="Microsoft YaHei"/>
                <w:color w:val="B0B8C0"/>
                <w:sz w:val="28"/>
                <w:szCs w:val="28"/>
              </w:rPr>
              <w:t xml:space="preserve">百盛大通家族辦公室 | PZC Group</w:t>
            </w:r>
          </w:p>
          <w:p>
            <w:pPr>
              <w:spacing w:after="120" w:line="340"/>
              <w:ind w:left="1200"/>
              <w:jc w:val="left"/>
            </w:pPr>
            <w:r>
              <w:rPr>
                <w:rFonts w:ascii="Calibri"/>
                <w:color w:val="90989F"/>
                <w:sz w:val="22"/>
                <w:szCs w:val="22"/>
              </w:rPr>
              <w:t xml:space="preserve">VFK Health Products × MCLUB Membership Promotion Plan</w:t>
            </w:r>
          </w:p>
          <w:p>
            <w:pPr>
              <w:spacing w:after="60" w:line="300"/>
              <w:ind w:left="1200"/>
              <w:jc w:val="left"/>
            </w:pPr>
            <w:r>
              <w:rPr>
                <w:rFonts w:ascii="Calibri" w:eastAsia="Microsoft YaHei"/>
                <w:color w:val="90989F"/>
                <w:sz w:val="20"/>
                <w:szCs w:val="20"/>
              </w:rPr>
              <w:t xml:space="preserve">報告版本：v1.0</w:t>
            </w:r>
          </w:p>
          <w:p>
            <w:pPr>
              <w:spacing w:after="60" w:line="300"/>
              <w:ind w:left="1200"/>
              <w:jc w:val="left"/>
            </w:pPr>
            <w:r>
              <w:rPr>
                <w:rFonts w:ascii="Calibri" w:eastAsia="Microsoft YaHei"/>
                <w:color w:val="90989F"/>
                <w:sz w:val="20"/>
                <w:szCs w:val="20"/>
              </w:rPr>
              <w:t xml:space="preserve">日期：2026年6月</w:t>
            </w:r>
          </w:p>
          <w:p>
            <w:pPr>
              <w:spacing w:after="60" w:line="300"/>
              <w:ind w:left="1200"/>
              <w:jc w:val="left"/>
            </w:pPr>
            <w:r>
              <w:rPr>
                <w:rFonts w:ascii="Calibri" w:eastAsia="Microsoft YaHei"/>
                <w:color w:val="90989F"/>
                <w:sz w:val="20"/>
                <w:szCs w:val="20"/>
              </w:rPr>
              <w:t xml:space="preserve">機構：PZC Group — MCLUB Family Office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Calibri" w:eastAsia="SimHei"/>
          <w:b/>
          <w:bCs/>
          <w:color w:val="0F2027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一、執行摘要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二、產品概覽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VFK品牌定位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棘心產品：VFK消內脂營養品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產品競爭優勢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三、四種進場方案×MCLUB會員制整合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方案一：$1,980 / 150BV — Plan A 入門級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方案二：$8,800 / 750BV — Plan B 進階級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方案三：$16,800 / 1,500BV — Plan B+ 中高級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3.4 方案四：$33,800 / 3,000BV — Plan C 高端 + 家族辦公室服務★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四、統一會員路徑：從健康到財富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五、七階無限晉升機制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5.1 晉升條件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5.2 BV積分計算規則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六、推廣策略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6.1 直接推廣（D2C）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6.2 團隊建設推廣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6.3 B2B2C渠道合作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七、執行路線圖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八、風險管理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8.1 合規風險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8.2 產品風險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8.3 團隊風險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Calibri" w:eastAsia="Microsoft YaHei"/>
          <w:i/>
          <w:iCs/>
          <w:color w:val="4A6575"/>
          <w:sz w:val="18"/>
          <w:szCs w:val="18"/>
        </w:rPr>
        <w:t xml:space="preserve">（請右鍵點擊目錄→「更新功能變數」以刷新頁碼）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  <w:jc w:val="center"/>
      </w:pPr>
      <w:bookmarkStart w:id="100000" w:name="_Toc100000"/>
      <w:r>
        <w:rPr>
          <w:rFonts w:ascii="Calibri" w:eastAsia="SimHei"/>
          <w:b/>
          <w:bCs/>
          <w:color w:val="0F2027"/>
          <w:sz w:val="32"/>
          <w:szCs w:val="32"/>
        </w:rPr>
        <w:t xml:space="preserve">一、執行摘要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健康食品推廣計劃與MCLUB會員制為統一體系，由健康產品切入，透過四種進場方案及七階晉升機制，逐步引導會員深入MCLUB生態圈。方案一至方案三聚焦健康產品推廣與團隊建設，方案四則正式接入家族辦公室服務，實現從健康管理到財富管理的無縝衔接。</w:t>
      </w:r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本報告詳細闡述VFK健康食品的產品定位、四種進場方案與MCLUB會員制的整合設計、七階無限晉升機制、推廣策略及執行路線圖。核心策略是以健康產品作為設入點，透過會員制體系建立信任關係，再由淺入深引導會員進入家族辦公室服務生態，形成多層次的客戶價值與鎖定效應。</w:t>
      </w:r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關鍵數據：四種進場方案由$1,980至$33,800，對應BV由150至3,000；七階晉升從S（星級會員）至P（總裁）；大小區各累積500,000 BV達到最高級別；1 BV = $8港幣，BV積分無限期累積。</w:t>
      </w:r>
    </w:p>
    <w:p>
      <w:pPr>
        <w:pStyle w:val="Heading1"/>
        <w:spacing w:after="160" w:before="360" w:line="312"/>
        <w:jc w:val="center"/>
      </w:pPr>
      <w:bookmarkStart w:id="100001" w:name="_Toc100001"/>
      <w:r>
        <w:rPr>
          <w:rFonts w:ascii="Calibri" w:eastAsia="SimHei"/>
          <w:b/>
          <w:bCs/>
          <w:color w:val="0F2027"/>
          <w:sz w:val="32"/>
          <w:szCs w:val="32"/>
        </w:rPr>
        <w:t xml:space="preserve">二、產品概覽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0F2027"/>
          <w:sz w:val="28"/>
          <w:szCs w:val="28"/>
        </w:rPr>
        <w:t xml:space="preserve">2.1 VFK品牌定位</w:t>
      </w:r>
      <w:bookmarkEnd w:id="100002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是一個專注於內臟脂肪管理的健康營養品牌，產品採用英國製造的科學配方，通過臨床實證的活性成分幫助消費者有效減少內臟脂肪。在香港健康食品市場中，VFK已建立一定的品牌認知度，其棘心產品“VFK消內脂營養品”在市場上獲得良好口碑。品牌歸屬於百盛大通家族辦公室（PZC Group），作為MCLUB生態圈中的重要產品線，與日本物業投資、香港信訣、家族辦公室服務等共同構成完整的跨境財富生態圈。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0F2027"/>
          <w:sz w:val="28"/>
          <w:szCs w:val="28"/>
        </w:rPr>
        <w:t xml:space="preserve">2.2 棘心產品：VFK消內脂營養品</w:t>
      </w:r>
      <w:bookmarkEnd w:id="100003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VFK旗艦產品為消內脂營養品，每盒20包，主打兩大活性成份：FA燃內脂因子及Keto BHD &amp; MCT生酮消脂組合。FA燃內脂因子能夠針對性燃燄內臟脂肪，而Keto BHD &amp; MCT生酮消脂組合則透過生酮機制加速脂肪代謝。臨床實證數據顯示，使用8-12週可減少內臟脂肪達33%，這是有科學數據支撐的顯著效果。建議用量為首20天每天2包以提升燃脂機能，其後每天1包維持效果，且不需要改變現有飲食習慣即可見效。</w:t>
      </w:r>
    </w:p>
    <w:tbl>
      <w:tblPr>
        <w:tblW w:type="pct" w:w="100%"/>
        <w:tblBorders>
          <w:top w:val="single" w:color="D4AF37" w:sz="2"/>
          <w:left w:val="none"/>
          <w:bottom w:val="single" w:color="D4AF37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項目</w:t>
            </w:r>
          </w:p>
        </w:tc>
        <w:tc>
          <w:tcPr>
            <w:tcW w:type="pct" w:w="70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產品名稱</w:t>
            </w:r>
          </w:p>
        </w:tc>
        <w:tc>
          <w:tcPr>
            <w:tcW w:type="pct" w:w="7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VFK消內脂營養品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包裝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每盒20包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零售價</w:t>
            </w:r>
          </w:p>
        </w:tc>
        <w:tc>
          <w:tcPr>
            <w:tcW w:type="pct" w:w="7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HK$998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推廣價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HK$798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製造地</w:t>
            </w:r>
          </w:p>
        </w:tc>
        <w:tc>
          <w:tcPr>
            <w:tcW w:type="pct" w:w="7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英國製造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核心成份一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FA燃內脂因子</w:t>
            </w:r>
          </w:p>
        </w:tc>
      </w:tr>
      <w:tr>
        <w:trPr>
          <w:cantSplit/>
        </w:trPr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核心成份二</w:t>
            </w:r>
          </w:p>
        </w:tc>
        <w:tc>
          <w:tcPr>
            <w:tcW w:type="pct" w:w="7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Keto BHD &amp; MCT生酮消脂組合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臨床實證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8-12週減少內臟脂肪達33%</w:t>
            </w:r>
          </w:p>
        </w:tc>
      </w:tr>
    </w:tbl>
    <w:p>
      <w:pPr>
        <w:spacing w:after="200" w:before="60"/>
        <w:jc w:val="center"/>
      </w:pPr>
      <w:r>
        <w:rPr>
          <w:rFonts w:ascii="Calibri" w:eastAsia="SimSun"/>
          <w:color w:val="4A6575"/>
          <w:sz w:val="20"/>
          <w:szCs w:val="20"/>
        </w:rPr>
        <w:t xml:space="preserve">表1：VFK消內脂營養品產品資訊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0F2027"/>
          <w:sz w:val="28"/>
          <w:szCs w:val="28"/>
        </w:rPr>
        <w:t xml:space="preserve">2.3 產品競爭優勢</w:t>
      </w:r>
      <w:bookmarkEnd w:id="100004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產品在市場上具有以下差異化優勢：首先，產品有臨床實證支持，33%的內臟脂肪減少量是有科學數據支撐的，這與市場上許多只靠營銷宣傳的健康產品形成鮮明對比。其次，英國製造的品質保證讓消費者對產品安全性和有效性更有信心。第三，產品使用方式簡單，每天沖泡即可，不需要改變現有飲食習慣，大幅降低了使用門檻。最後，結合VFK的推廣計劃，消費者不僅可以改善健康，還可以透過推廣獲得收入，形成「健康+財富」的雙重價值主張。</w:t>
      </w:r>
    </w:p>
    <w:p>
      <w:pPr>
        <w:pStyle w:val="Heading1"/>
        <w:spacing w:after="160" w:before="360" w:line="312"/>
        <w:jc w:val="center"/>
      </w:pPr>
      <w:bookmarkStart w:id="100005" w:name="_Toc100005"/>
      <w:r>
        <w:rPr>
          <w:rFonts w:ascii="Calibri" w:eastAsia="SimHei"/>
          <w:b/>
          <w:bCs/>
          <w:color w:val="0F2027"/>
          <w:sz w:val="32"/>
          <w:szCs w:val="32"/>
        </w:rPr>
        <w:t xml:space="preserve">三、四種進場方案×MCLUB會員制整合</w:t>
      </w:r>
      <w:bookmarkEnd w:id="100005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四種進場方案與MCLUB會員制為同一體系，每個方案既是健康產品的入場級別，也對應MCLUB不同層次的會員服務。方案四為關鍵轉折點，會員在此正式接入家族辦公室服務。這個設計的核心邏輯是「由健康切入，以財富升級」，讓會員在感受到健康產品價值的同時，自然地進入MCLUB更深層的服務生態。BV（Business Volume）為統一推廣計劃的業務積分單位，換算率為1 BV = $8港幣。</w:t>
      </w:r>
    </w:p>
    <w:tbl>
      <w:tblPr>
        <w:tblW w:type="pct" w:w="100%"/>
        <w:tblBorders>
          <w:top w:val="single" w:color="D4AF37" w:sz="2"/>
          <w:left w:val="none"/>
          <w:bottom w:val="single" w:color="D4AF37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方案</w:t>
            </w:r>
          </w:p>
        </w:tc>
        <w:tc>
          <w:tcPr>
            <w:tcW w:type="pct" w:w="18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投資金額</w:t>
            </w:r>
          </w:p>
        </w:tc>
        <w:tc>
          <w:tcPr>
            <w:tcW w:type="pct" w:w="1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BV積分</w:t>
            </w:r>
          </w:p>
        </w:tc>
        <w:tc>
          <w:tcPr>
            <w:tcW w:type="pct" w:w="30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MCLUB會員定位</w:t>
            </w:r>
          </w:p>
        </w:tc>
        <w:tc>
          <w:tcPr>
            <w:tcW w:type="pct" w:w="22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家族辦公室</w:t>
            </w:r>
          </w:p>
        </w:tc>
      </w:tr>
      <w:tr>
        <w:trPr>
          <w:cantSplit/>
        </w:trPr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方案一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$1,980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150 BV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Plan A 入門級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✖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方案二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$8,800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750 BV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Plan B 進階級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✖</w:t>
            </w:r>
          </w:p>
        </w:tc>
      </w:tr>
      <w:tr>
        <w:trPr>
          <w:cantSplit/>
        </w:trPr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方案三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$16,800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1,500 BV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Plan B+ 中高級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✖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方案四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$33,800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3,000 BV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Plan C 高端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✔</w:t>
            </w:r>
          </w:p>
        </w:tc>
      </w:tr>
    </w:tbl>
    <w:p>
      <w:pPr>
        <w:spacing w:after="200" w:before="60"/>
        <w:jc w:val="center"/>
      </w:pPr>
      <w:r>
        <w:rPr>
          <w:rFonts w:ascii="Calibri" w:eastAsia="SimSun"/>
          <w:color w:val="4A6575"/>
          <w:sz w:val="20"/>
          <w:szCs w:val="20"/>
        </w:rPr>
        <w:t xml:space="preserve">表2：四種進場方案與MCLUB會員制對應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0F2027"/>
          <w:sz w:val="28"/>
          <w:szCs w:val="28"/>
        </w:rPr>
        <w:t xml:space="preserve">3.1 方案一：$1,980 / 150BV — Plan A 入門級</w:t>
      </w:r>
      <w:bookmarkEnd w:id="100006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最低入場門檻，適合想先體驗產品效果的新用戶。會員獲得VFK健康產品及MCLUB基礎會員資格，可接收月報及參加線上研討會，開始建立對MCLUB生態圈的認知。150BV的起始積分足以啟動晉升機制，但晉升速度相對較慢，需要更多的個人銷售和團隊建設努力。這個方案的優勢在於廢泛推廣性，能夠快速擴大會員基礎。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0F2027"/>
          <w:sz w:val="28"/>
          <w:szCs w:val="28"/>
        </w:rPr>
        <w:t xml:space="preserve">3.2 方案二：$8,800 / 750BV — Plan B 進階級</w:t>
      </w:r>
      <w:bookmarkEnd w:id="100007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中階入場，BV積分提升至方案一的5倍，啟動晉升機制的速度更快。除了VFK產品外，會員可獲得MCLUB深度市場分析報告、獨家物業調研資料，以及參加閉門分享會的優先權，開始接觸日本物業投資相關資訊。這個方案提供了最佳的性價比，適合有推廣經驗或已建立人脈網絡的會員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0F2027"/>
          <w:sz w:val="28"/>
          <w:szCs w:val="28"/>
        </w:rPr>
        <w:t xml:space="preserve">3.3 方案三：$16,800 / 1,500BV — Plan B+ 中高級</w:t>
      </w:r>
      <w:bookmarkEnd w:id="100008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1,500BV為方案一的10倍，適合認真投入推廣的會員。會員享有更豐富的VFK產品組合和更完整的MCLUB服務，包括專屬物業清單預覽、日本投資資訊優先推送、分享會VIP席位及推廣團隊建設支援等。這個方案是進入方案四家族辦公室服務的準備階段，為會員提供充分的產品庫存和市場認知。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0F2027"/>
          <w:sz w:val="28"/>
          <w:szCs w:val="28"/>
        </w:rPr>
        <w:t xml:space="preserve">3.4 方案四：$33,800 / 3,000BV — Plan C 高端 + 家族辦公室服務★</w:t>
      </w:r>
      <w:bookmarkEnd w:id="100009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這是整個體系的關鍵轉折點。3,000BV為最高級別，會員不僅獲得全套VFK產品，更正式接入百盛大通家族辦公室服務。家族辦公室服務包括：一對一專屬諮詢與投資經理私人會面、香港信訣設立及專業信訣架構規劃、日本物業投資全流程服務含實地考察（大阪）、NPC基金認購優先權、家族財富傳承規劃含跨境資產配置、以及MyPath AI旅遊管家日本旅遊全方位支持。這個方案將健康管理與財富管理完美結合，為會員提供最完整的價值主張。</w:t>
      </w:r>
    </w:p>
    <w:tbl>
      <w:tblPr>
        <w:tblW w:type="pct" w:w="100%"/>
        <w:tblBorders>
          <w:top w:val="single" w:color="D4AF37" w:sz="2"/>
          <w:left w:val="none"/>
          <w:bottom w:val="single" w:color="D4AF37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家族辦公室服務項目</w:t>
            </w:r>
          </w:p>
        </w:tc>
        <w:tc>
          <w:tcPr>
            <w:tcW w:type="pct" w:w="6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詳情</w:t>
            </w:r>
          </w:p>
        </w:tc>
      </w:tr>
      <w:tr>
        <w:trPr>
          <w:cantSplit/>
        </w:trPr>
        <w:tc>
          <w:tcPr>
            <w:tcW w:type="pct" w:w="3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一對一專屬諮詢</w:t>
            </w:r>
          </w:p>
        </w:tc>
        <w:tc>
          <w:tcPr>
            <w:tcW w:type="pct" w:w="6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與投資經理私人會面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香港信訣設立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專業信訣架構規劃及顧問</w:t>
            </w:r>
          </w:p>
        </w:tc>
      </w:tr>
      <w:tr>
        <w:trPr>
          <w:cantSplit/>
        </w:trPr>
        <w:tc>
          <w:tcPr>
            <w:tcW w:type="pct" w:w="3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日本物業投資</w:t>
            </w:r>
          </w:p>
        </w:tc>
        <w:tc>
          <w:tcPr>
            <w:tcW w:type="pct" w:w="6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實地考察（大阪）、專屬投資方案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NPC基金認購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基金投資優先通道</w:t>
            </w:r>
          </w:p>
        </w:tc>
      </w:tr>
      <w:tr>
        <w:trPr>
          <w:cantSplit/>
        </w:trPr>
        <w:tc>
          <w:tcPr>
            <w:tcW w:type="pct" w:w="3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家族財富傳承</w:t>
            </w:r>
          </w:p>
        </w:tc>
        <w:tc>
          <w:tcPr>
            <w:tcW w:type="pct" w:w="6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跨境資產配置及家族治理規劃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MyPath AI管家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日本旅遊全方位支持</w:t>
            </w:r>
          </w:p>
        </w:tc>
      </w:tr>
    </w:tbl>
    <w:p>
      <w:pPr>
        <w:spacing w:after="200" w:before="60"/>
        <w:jc w:val="center"/>
      </w:pPr>
      <w:r>
        <w:rPr>
          <w:rFonts w:ascii="Calibri" w:eastAsia="SimSun"/>
          <w:color w:val="4A6575"/>
          <w:sz w:val="20"/>
          <w:szCs w:val="20"/>
        </w:rPr>
        <w:t xml:space="preserve">表3：方案四家族辦公室服務內容</w:t>
      </w:r>
    </w:p>
    <w:p>
      <w:pPr>
        <w:pStyle w:val="Heading1"/>
        <w:spacing w:after="160" w:before="360" w:line="312"/>
        <w:jc w:val="center"/>
      </w:pPr>
      <w:bookmarkStart w:id="100010" w:name="_Toc100010"/>
      <w:r>
        <w:rPr>
          <w:rFonts w:ascii="Calibri" w:eastAsia="SimHei"/>
          <w:b/>
          <w:bCs/>
          <w:color w:val="0F2027"/>
          <w:sz w:val="32"/>
          <w:szCs w:val="32"/>
        </w:rPr>
        <w:t xml:space="preserve">四、統一會員路徑：從健康到財富</w:t>
      </w:r>
      <w:bookmarkEnd w:id="100010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×MCLUB的設計核心是「由健康切入，以財富升級」。會員從方案一到方案四的過程，同時經歷MCLUB的四層鎖定機制，逐步深化對MCLUB生態圈的依賴。資訊鎖定讓會員不願離開資訊來源，社交鎖定讓會員不敢離開圈層，服務鎖定讓會員離不開日本資源網絡，結構鎖定讓會員的財富架構與MCLUB深度綁定。這四層鎖定由淺入深，形成難以替代的長期合作關係。</w:t>
      </w:r>
    </w:p>
    <w:tbl>
      <w:tblPr>
        <w:tblW w:type="pct" w:w="100%"/>
        <w:tblBorders>
          <w:top w:val="single" w:color="D4AF37" w:sz="2"/>
          <w:left w:val="none"/>
          <w:bottom w:val="single" w:color="D4AF37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鎖定層</w:t>
            </w:r>
          </w:p>
        </w:tc>
        <w:tc>
          <w:tcPr>
            <w:tcW w:type="pct" w:w="18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對應方案</w:t>
            </w:r>
          </w:p>
        </w:tc>
        <w:tc>
          <w:tcPr>
            <w:tcW w:type="pct" w:w="30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機制</w:t>
            </w:r>
          </w:p>
        </w:tc>
        <w:tc>
          <w:tcPr>
            <w:tcW w:type="pct" w:w="1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依賴深度</w:t>
            </w:r>
          </w:p>
        </w:tc>
        <w:tc>
          <w:tcPr>
            <w:tcW w:type="pct" w:w="22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啟動時間</w:t>
            </w:r>
          </w:p>
        </w:tc>
      </w:tr>
      <w:tr>
        <w:trPr>
          <w:cantSplit/>
        </w:trPr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資訊鎖定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方案一、二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健康知識 + 市場資訊持續輸出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2/5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立即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社交鎖定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方案二、三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會員圈層 + 分享會 + 推廣團隊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3/5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3-6個月</w:t>
            </w:r>
          </w:p>
        </w:tc>
      </w:tr>
      <w:tr>
        <w:trPr>
          <w:cantSplit/>
        </w:trPr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服務鎖定</w:t>
            </w:r>
          </w:p>
        </w:tc>
        <w:tc>
          <w:tcPr>
            <w:tcW w:type="pct" w:w="1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方案三、四</w:t>
            </w:r>
          </w:p>
        </w:tc>
        <w:tc>
          <w:tcPr>
            <w:tcW w:type="pct" w:w="3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VFK產品依賴 + 日本物業/旅遊服務</w:t>
            </w:r>
          </w:p>
        </w:tc>
        <w:tc>
          <w:tcPr>
            <w:tcW w:type="pct" w:w="1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4/5</w:t>
            </w:r>
          </w:p>
        </w:tc>
        <w:tc>
          <w:tcPr>
            <w:tcW w:type="pct" w:w="2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6-12個月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結構鎖定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方案四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家族辦公室 + 信訣 + 財富架構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5/5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12-24個月</w:t>
            </w:r>
          </w:p>
        </w:tc>
      </w:tr>
    </w:tbl>
    <w:p>
      <w:pPr>
        <w:spacing w:after="200" w:before="60"/>
        <w:jc w:val="center"/>
      </w:pPr>
      <w:r>
        <w:rPr>
          <w:rFonts w:ascii="Calibri" w:eastAsia="SimSun"/>
          <w:color w:val="4A6575"/>
          <w:sz w:val="20"/>
          <w:szCs w:val="20"/>
        </w:rPr>
        <w:t xml:space="preserve">表4：四層鎖定模型（絲路模型）</w:t>
      </w:r>
    </w:p>
    <w:p>
      <w:pPr>
        <w:pStyle w:val="Heading1"/>
        <w:spacing w:after="160" w:before="360" w:line="312"/>
        <w:jc w:val="center"/>
      </w:pPr>
      <w:bookmarkStart w:id="100011" w:name="_Toc100011"/>
      <w:r>
        <w:rPr>
          <w:rFonts w:ascii="Calibri" w:eastAsia="SimHei"/>
          <w:b/>
          <w:bCs/>
          <w:color w:val="0F2027"/>
          <w:sz w:val="32"/>
          <w:szCs w:val="32"/>
        </w:rPr>
        <w:t xml:space="preserve">五、七階無限晉升機制</w:t>
      </w:r>
      <w:bookmarkEnd w:id="100011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VFK×MCLUB採用七階晉升制度，會員透過累積BV積分逐步晉升，每個級別對應不同的團隊規模及收益水平。晉升的核心條件是大小區各累積500,000 BV，BV積分不設有效期限，長期有效，持續累積。這意味著會員不會因為時間壓力而急於推廣，可以按照自己的節奏穩步發展。</w:t>
      </w:r>
    </w:p>
    <w:tbl>
      <w:tblPr>
        <w:tblW w:type="pct" w:w="100%"/>
        <w:tblBorders>
          <w:top w:val="single" w:color="D4AF37" w:sz="2"/>
          <w:left w:val="none"/>
          <w:bottom w:val="single" w:color="D4AF37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級別</w:t>
            </w:r>
          </w:p>
        </w:tc>
        <w:tc>
          <w:tcPr>
            <w:tcW w:type="pct" w:w="10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簡稱</w:t>
            </w:r>
          </w:p>
        </w:tc>
        <w:tc>
          <w:tcPr>
            <w:tcW w:type="pct" w:w="2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英文全稱</w:t>
            </w:r>
          </w:p>
        </w:tc>
        <w:tc>
          <w:tcPr>
            <w:tcW w:type="pct" w:w="25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中文全稱</w:t>
            </w:r>
          </w:p>
        </w:tc>
        <w:tc>
          <w:tcPr>
            <w:tcW w:type="pct" w:w="28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第1階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Star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星級會員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入門級別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第2階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Manager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經理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基層管理</w:t>
            </w:r>
          </w:p>
        </w:tc>
      </w:tr>
      <w:tr>
        <w:trPr>
          <w:cantSplit/>
        </w:trPr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第3階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SM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Senior Manager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高級經理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中層管理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第4階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Director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總監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高層管理</w:t>
            </w:r>
          </w:p>
        </w:tc>
      </w:tr>
      <w:tr>
        <w:trPr>
          <w:cantSplit/>
        </w:trPr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第5階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ED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Executive Director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執行總監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高級管理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第6階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VP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Vice President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副總裁</w:t>
            </w:r>
          </w:p>
        </w:tc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頂層管理</w:t>
            </w:r>
          </w:p>
        </w:tc>
      </w:tr>
      <w:tr>
        <w:trPr>
          <w:cantSplit/>
        </w:trPr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第7階</w:t>
            </w:r>
          </w:p>
        </w:tc>
        <w:tc>
          <w:tcPr>
            <w:tcW w:type="pct" w:w="1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President</w:t>
            </w:r>
          </w:p>
        </w:tc>
        <w:tc>
          <w:tcPr>
            <w:tcW w:type="pct" w:w="25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總裁</w:t>
            </w:r>
          </w:p>
        </w:tc>
        <w:tc>
          <w:tcPr>
            <w:tcW w:type="pct" w:w="2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最高級別</w:t>
            </w:r>
          </w:p>
        </w:tc>
      </w:tr>
    </w:tbl>
    <w:p>
      <w:pPr>
        <w:spacing w:after="200" w:before="60"/>
        <w:jc w:val="center"/>
      </w:pPr>
      <w:r>
        <w:rPr>
          <w:rFonts w:ascii="Calibri" w:eastAsia="SimSun"/>
          <w:color w:val="4A6575"/>
          <w:sz w:val="20"/>
          <w:szCs w:val="20"/>
        </w:rPr>
        <w:t xml:space="preserve">表5：七階晉升級別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0F2027"/>
          <w:sz w:val="28"/>
          <w:szCs w:val="28"/>
        </w:rPr>
        <w:t xml:space="preserve">5.1 晉升條件</w:t>
      </w:r>
      <w:bookmarkEnd w:id="100012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大區（Main Zone）為會員的主要推廣團隊，通常由直接推薦的活躍會員組成，業績直接反映會員的團隊建設能力。小區（Sub Zone）為會員的次要推廣團隊，通常由間接推薦或弱勢線的會員組成。兩個區域各需累積500,000 BV才能達到最高級別，這個設計鼓勵會員建立均衡的團隊結構，避免團隊過度依賴單一線路。500,000 BV扩1 BV=$8換算，相當於$4,000,000的團隊業績。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0F2027"/>
          <w:sz w:val="28"/>
          <w:szCs w:val="28"/>
        </w:rPr>
        <w:t xml:space="preserve">5.2 BV積分計算規則</w:t>
      </w:r>
      <w:bookmarkEnd w:id="100013"/>
    </w:p>
    <w:tbl>
      <w:tblPr>
        <w:tblW w:type="pct" w:w="100%"/>
        <w:tblBorders>
          <w:top w:val="single" w:color="D4AF37" w:sz="2"/>
          <w:left w:val="none"/>
          <w:bottom w:val="single" w:color="D4AF37" w:sz="2"/>
          <w:right w:val="none"/>
          <w:insideH w:val="single" w:color="DDD5C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項目</w:t>
            </w:r>
          </w:p>
        </w:tc>
        <w:tc>
          <w:tcPr>
            <w:tcW w:type="pct" w:w="60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數值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BV換算率</w:t>
            </w:r>
          </w:p>
        </w:tc>
        <w:tc>
          <w:tcPr>
            <w:tcW w:type="pct" w:w="6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 BV = $8 HKD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大區累積目標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500,000 BV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小區累積目標</w:t>
            </w:r>
          </w:p>
        </w:tc>
        <w:tc>
          <w:tcPr>
            <w:tcW w:type="pct" w:w="6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500,000 BV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BV有效期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無限期累積</w:t>
            </w:r>
          </w:p>
        </w:tc>
      </w:tr>
      <w:tr>
        <w:trPr>
          <w:cantSplit/>
        </w:trPr>
        <w:tc>
          <w:tcPr>
            <w:tcW w:type="pct" w:w="4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大區目標換算</w:t>
            </w:r>
          </w:p>
        </w:tc>
        <w:tc>
          <w:tcPr>
            <w:tcW w:type="pct" w:w="60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$4,000,000 HKD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小區目標換算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$4,000,000 HKD</w:t>
            </w:r>
          </w:p>
        </w:tc>
      </w:tr>
    </w:tbl>
    <w:p>
      <w:pPr>
        <w:spacing w:after="200" w:before="60"/>
        <w:jc w:val="center"/>
      </w:pPr>
      <w:r>
        <w:rPr>
          <w:rFonts w:ascii="Calibri" w:eastAsia="SimSun"/>
          <w:color w:val="4A6575"/>
          <w:sz w:val="20"/>
          <w:szCs w:val="20"/>
        </w:rPr>
        <w:t xml:space="preserve">表6：BV積分計算規則</w:t>
      </w:r>
    </w:p>
    <w:p>
      <w:pPr>
        <w:pStyle w:val="Heading1"/>
        <w:spacing w:after="160" w:before="360" w:line="312"/>
        <w:jc w:val="center"/>
      </w:pPr>
      <w:bookmarkStart w:id="100014" w:name="_Toc100014"/>
      <w:r>
        <w:rPr>
          <w:rFonts w:ascii="Calibri" w:eastAsia="SimHei"/>
          <w:b/>
          <w:bCs/>
          <w:color w:val="0F2027"/>
          <w:sz w:val="32"/>
          <w:szCs w:val="32"/>
        </w:rPr>
        <w:t xml:space="preserve">六、推廣策略</w:t>
      </w:r>
      <w:bookmarkEnd w:id="100014"/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0F2027"/>
          <w:sz w:val="28"/>
          <w:szCs w:val="28"/>
        </w:rPr>
        <w:t xml:space="preserve">6.1 直接推廣（D2C）</w:t>
      </w:r>
      <w:bookmarkEnd w:id="100015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健康講座是最有效的直接推廣渠道，定期舉辦「內臟脂肪與健康」主題講座，以專業的健康知識吸引目標客群。講座中自然引入VFK產品的臨床數據和效果，讓參與者對產品產生興趣，講座後提供產品試用裝引導體驗。社交媒體營銷則在小紅書、抖音等平台發佈「內臟脂肪自測」、「VFK產品真實體驗分享」等內容，特別針對30-50歲關注健康的中高收入人群進行精準投放。會員見證計劃收集使用VFK產品後有明顯效果的會員見證，製作真實的Before/After對比內容，在社交媒體上具有極高的傳播力。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0F2027"/>
          <w:sz w:val="28"/>
          <w:szCs w:val="28"/>
        </w:rPr>
        <w:t xml:space="preserve">6.2 團隊建設推廣</w:t>
      </w:r>
      <w:bookmarkEnd w:id="100016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推薦獎勵是團隊建設的核心引擎，會員每成功推薦一位新會員加入，根據新會員選擇的方案獲得相應的BV積分獎勵，推薦獎勵直接計入推薦人的大區或小區業績，加速晉升進度。團隊培訓定期為各級別會員提供推廣技能培訓，包括產品知識、溝通技巧、團隊管理等。領袖培育則識別有潜力的高級別會員（D級以上），提供一對一的領袖培育計劃，幫助他們更快晉升至VP和P級別。高級別領袖是團隊增長的核心引擎，培育越多的高級別領袖，團隊的增長速度就越快。</w:t>
      </w:r>
    </w:p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0F2027"/>
          <w:sz w:val="28"/>
          <w:szCs w:val="28"/>
        </w:rPr>
        <w:t xml:space="preserve">6.3 B2B2C渠道合作</w:t>
      </w:r>
      <w:bookmarkEnd w:id="100017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企業健康計劃與企業合作，將VFK產品納入員工健康福利計劃，企業批量採購VFK產品作為員工福利，同時為VFK帶來穩定的銷售量和品牌曝光。健康機構合作與健身中心、體檢中心、醫美機構等合作，VFK產品作為健康管理的配套產品推薦給客戶。這類合作夥伴的客戶群與VFK的目標客群高度重合，轉化率較高。同時，MCLUB現有的微信公眾號、小紅書、線下私享會、B2B2C合作等渠道也可以與VFK推廣協同運作，實現資源共享和會員互導。</w:t>
      </w:r>
    </w:p>
    <w:p>
      <w:pPr>
        <w:pStyle w:val="Heading1"/>
        <w:spacing w:after="160" w:before="360" w:line="312"/>
        <w:jc w:val="center"/>
      </w:pPr>
      <w:bookmarkStart w:id="100018" w:name="_Toc100018"/>
      <w:r>
        <w:rPr>
          <w:rFonts w:ascii="Calibri" w:eastAsia="SimHei"/>
          <w:b/>
          <w:bCs/>
          <w:color w:val="0F2027"/>
          <w:sz w:val="32"/>
          <w:szCs w:val="32"/>
        </w:rPr>
        <w:t xml:space="preserve">七、執行路線圖</w:t>
      </w:r>
      <w:bookmarkEnd w:id="100018"/>
    </w:p>
    <w:tbl>
      <w:tblPr>
        <w:tblW w:type="pct" w:w="100%"/>
        <w:tblBorders>
          <w:top w:val="single" w:color="D4AF37" w:sz="2"/>
          <w:left w:val="none"/>
          <w:bottom w:val="single" w:color="D4AF37" w:sz="2"/>
          <w:right w:val="none"/>
          <w:insideH w:val="single" w:color="DDD5C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階段</w:t>
            </w:r>
          </w:p>
        </w:tc>
        <w:tc>
          <w:tcPr>
            <w:tcW w:type="pct" w:w="16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時間</w:t>
            </w:r>
          </w:p>
        </w:tc>
        <w:tc>
          <w:tcPr>
            <w:tcW w:type="pct" w:w="38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重點工作</w:t>
            </w:r>
          </w:p>
        </w:tc>
        <w:tc>
          <w:tcPr>
            <w:tcW w:type="pct" w:w="34%"/>
            <w:shd w:fill="D4AF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關鍵成果</w:t>
            </w:r>
          </w:p>
        </w:tc>
      </w:tr>
      <w:tr>
        <w:trPr>
          <w:cantSplit/>
        </w:trPr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啟動期</w:t>
            </w:r>
          </w:p>
        </w:tc>
        <w:tc>
          <w:tcPr>
            <w:tcW w:type="pct" w:w="16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第1-3個月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產品入庫、培訓資料準備、首批會員招募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50+會員、首場健康講座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發展期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第3-6個月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團隊建設、晉升機制驗證、渠道合作啟動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200+會員、首批M級會員晉升</w:t>
            </w:r>
          </w:p>
        </w:tc>
      </w:tr>
      <w:tr>
        <w:trPr>
          <w:cantSplit/>
        </w:trPr>
        <w:tc>
          <w:tcPr>
            <w:tcW w:type="pct" w:w="12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擴展期</w:t>
            </w:r>
          </w:p>
        </w:tc>
        <w:tc>
          <w:tcPr>
            <w:tcW w:type="pct" w:w="16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第6-12個月</w:t>
            </w:r>
          </w:p>
        </w:tc>
        <w:tc>
          <w:tcPr>
            <w:tcW w:type="pct" w:w="38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規模化推廣、領袖培育、B2B2C渠道深化</w:t>
            </w:r>
          </w:p>
        </w:tc>
        <w:tc>
          <w:tcPr>
            <w:tcW w:type="pct" w:w="34%"/>
            <w:shd w:fill="F5F2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500+會員、首批D級以上會員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成熟期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第12-18個月</w:t>
            </w:r>
          </w:p>
        </w:tc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體系優化、新產品線引入、品牌建設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Sun"/>
                <w:color w:val="000000"/>
                <w:sz w:val="21"/>
                <w:szCs w:val="21"/>
              </w:rPr>
              <w:t xml:space="preserve">1000+會員、穩定團隊增長循環</w:t>
            </w:r>
          </w:p>
        </w:tc>
      </w:tr>
    </w:tbl>
    <w:p>
      <w:pPr>
        <w:spacing w:after="200" w:before="60"/>
        <w:jc w:val="center"/>
      </w:pPr>
      <w:r>
        <w:rPr>
          <w:rFonts w:ascii="Calibri" w:eastAsia="SimSun"/>
          <w:color w:val="4A6575"/>
          <w:sz w:val="20"/>
          <w:szCs w:val="20"/>
        </w:rPr>
        <w:t xml:space="preserve">表7：執行路線圖</w:t>
      </w:r>
    </w:p>
    <w:p>
      <w:pPr>
        <w:pStyle w:val="Heading1"/>
        <w:spacing w:after="160" w:before="360" w:line="312"/>
        <w:jc w:val="center"/>
      </w:pPr>
      <w:bookmarkStart w:id="100019" w:name="_Toc100019"/>
      <w:r>
        <w:rPr>
          <w:rFonts w:ascii="Calibri" w:eastAsia="SimHei"/>
          <w:b/>
          <w:bCs/>
          <w:color w:val="0F2027"/>
          <w:sz w:val="32"/>
          <w:szCs w:val="32"/>
        </w:rPr>
        <w:t xml:space="preserve">八、風險管理</w:t>
      </w:r>
      <w:bookmarkEnd w:id="100019"/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0F2027"/>
          <w:sz w:val="28"/>
          <w:szCs w:val="28"/>
        </w:rPr>
        <w:t xml:space="preserve">8.1 合規風險</w:t>
      </w:r>
      <w:bookmarkEnd w:id="100020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VFK推廣計劃需嚴格遵守香港及內地相關法規，包括產品宣傳需有科學數據支持，避免誇大療效聲明；推廣計劃介紹需清晰透明，避免誤導性承諾；遵守多層次推廣的相關法律法規，確保計劃合法合規。在內地市場的宣傳推廣過程中，還需要特別注意中國相關法規的要求，所有展示給內地客戶的宣傳材料應當避免直接的招募語言，以「教育、資訊分享」為主調。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Calibri" w:eastAsia="SimHei"/>
          <w:b/>
          <w:bCs/>
          <w:color w:val="0F2027"/>
          <w:sz w:val="28"/>
          <w:szCs w:val="28"/>
        </w:rPr>
        <w:t xml:space="preserve">8.2 產品風險</w:t>
      </w:r>
      <w:bookmarkEnd w:id="100021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確保產品供應穩定，避免斷貨影響會員推廣信心；持續監測產品使用反饋，及時處理任何品質問題；定期更新臨床數據，保持產品的科學可信度。英國製造的品質保證是VFK的重要競爭優勢，必須嚴格把控產品品質，維護品牌聲譽。</w:t>
      </w:r>
    </w:p>
    <w:p>
      <w:pPr>
        <w:pStyle w:val="Heading2"/>
        <w:spacing w:after="120" w:before="240" w:line="312"/>
      </w:pPr>
      <w:bookmarkStart w:id="100022" w:name="_Toc100022"/>
      <w:r>
        <w:rPr>
          <w:rFonts w:ascii="Calibri" w:eastAsia="SimHei"/>
          <w:b/>
          <w:bCs/>
          <w:color w:val="0F2027"/>
          <w:sz w:val="28"/>
          <w:szCs w:val="28"/>
        </w:rPr>
        <w:t xml:space="preserve">8.3 團隊風險</w:t>
      </w:r>
      <w:bookmarkEnd w:id="100022"/>
    </w:p>
    <w:p>
      <w:pPr>
        <w:spacing w:after="60" w:line="312"/>
        <w:ind w:firstLine="480"/>
        <w:jc w:val="both"/>
      </w:pPr>
      <w:r>
        <w:rPr>
          <w:rFonts w:ascii="Calibri" w:eastAsia="SimSun"/>
          <w:color w:val="000000"/>
          <w:sz w:val="24"/>
          <w:szCs w:val="24"/>
        </w:rPr>
        <w:t xml:space="preserve">避免團隊過度依賴單一領袖，建立多元化的團隊結構；關注會員滿意度，及時處理投訴和籠紛；建立退出機制，確保會員可以合理退出而不影響團隊穩定。同時要注意團隊的均衡發展，大區和小區的雙軌制度正是為了防止團隊過度傾斜，確保團隊的可持續增長。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6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4A6575"/>
        <w:sz w:val="18"/>
        <w:szCs w:val="18"/>
      </w:rPr>
      <w:t xml:space="preserve">VFK×MCLUB推廣計劃報告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F20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F20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F2027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2026-06-08T12:03:06.044Z</dcterms:created>
  <dcterms:modified xsi:type="dcterms:W3CDTF">2026-06-08T12:03:06.044Z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