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3660"/>
                  </w:pPr>
                </w:p>
                <w:p>
                  <w:pPr>
                    <w:spacing w:after="100"/>
                  </w:pPr>
                  <w:r>
                    <w:rPr>
                      <w:rFonts w:ascii="Arial" w:eastAsia="SimHei"/>
                      <w:b/>
                      <w:bCs/>
                      <w:color w:val="FFFFFF"/>
                      <w:sz w:val="80"/>
                      <w:szCs w:val="80"/>
                    </w:rPr>
                    <w:t xml:space="preserve">MCLUB家族辦公室專業</w:t>
                  </w:r>
                </w:p>
                <w:p>
                  <w:pPr>
                    <w:spacing w:after="200"/>
                  </w:pPr>
                  <w:r>
                    <w:rPr>
                      <w:rFonts w:ascii="Arial" w:eastAsia="SimHei"/>
                      <w:b/>
                      <w:bCs/>
                      <w:color w:val="FFFFFF"/>
                      <w:sz w:val="80"/>
                      <w:szCs w:val="80"/>
                    </w:rPr>
                    <w:t xml:space="preserve">認可體制</w:t>
                  </w:r>
                </w:p>
                <w:p>
                  <w:pPr>
                    <w:spacing w:after="100"/>
                  </w:pPr>
                  <w:r>
                    <w:rPr>
                      <w:rFonts w:ascii="Arial" w:eastAsia="Microsoft YaHei"/>
                      <w:color w:val="B0B8C0"/>
                      <w:sz w:val="24"/>
                      <w:szCs w:val="24"/>
                    </w:rPr>
                    <w:t xml:space="preserve">初步構思建議書</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pPr>
                    <w:spacing w:after="0" w:line="276"/>
                  </w:pPr>
                </w:p>
              </w:tc>
            </w:tr>
          </w:tbl>
          <w:p>
            <w:pPr>
              <w:spacing w:before="800"/>
            </w:pPr>
          </w:p>
          <w:p>
            <w:pPr>
              <w:spacing w:after="100"/>
              <w:ind w:left="1200"/>
            </w:pPr>
            <w:r>
              <w:rPr>
                <w:rFonts w:ascii="Arial" w:eastAsia="Microsoft YaHei"/>
                <w:color w:val="90989F"/>
                <w:sz w:val="28"/>
                <w:szCs w:val="28"/>
              </w:rPr>
              <w:t xml:space="preserve">PZC Group — 百盛大通家族辦公室</w:t>
            </w:r>
          </w:p>
          <w:p>
            <w:pPr>
              <w:spacing w:after="100"/>
              <w:ind w:left="1200"/>
            </w:pPr>
            <w:r>
              <w:rPr>
                <w:rFonts w:ascii="Arial" w:eastAsia="Microsoft YaHei"/>
                <w:color w:val="90989F"/>
                <w:sz w:val="28"/>
                <w:szCs w:val="28"/>
              </w:rPr>
              <w:t xml:space="preserve">MCLUB Family Office | VFK Health Products</w:t>
            </w:r>
          </w:p>
          <w:p>
            <w:pPr>
              <w:spacing w:before="2000"/>
            </w:pPr>
          </w:p>
          <w:p>
            <w:pPr>
              <w:ind w:left="1200"/>
            </w:pPr>
            <w:r>
              <w:rPr>
                <w:color w:val="909090"/>
                <w:sz w:val="22"/>
                <w:szCs w:val="22"/>
              </w:rPr>
              <w:t xml:space="preserve">內容：初步構思，仅供內部討論</w:t>
            </w:r>
            <w:r>
              <w:t xml:space="preserve">          </w:t>
            </w:r>
            <w:r>
              <w:rPr>
                <w:color w:val="909090"/>
                <w:sz w:val="22"/>
                <w:szCs w:val="22"/>
              </w:rPr>
              <w:t xml:space="preserve">2026年 6月</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Calibri" w:eastAsia="SimHei"/>
          <w:b/>
          <w:bCs/>
          <w:color w:val="000000"/>
          <w:sz w:val="32"/>
          <w:szCs w:val="32"/>
        </w:rPr>
        <w:t xml:space="preserve">一、背景與目的</w:t>
      </w:r>
    </w:p>
    <w:p>
      <w:pPr>
        <w:spacing w:line="312"/>
        <w:ind w:firstLine="480"/>
        <w:jc w:val="both"/>
      </w:pPr>
      <w:r>
        <w:rPr>
          <w:rFonts w:ascii="Calibri" w:eastAsia="Microsoft YaHei"/>
          <w:color w:val="000000"/>
          <w:sz w:val="24"/>
          <w:szCs w:val="24"/>
        </w:rPr>
        <w:t xml:space="preserve">PZC Group 百盛大通家族辦公室（以下簡稱「家族辦公室」）旨在建立一個從健康產品推廣到財富管理的完整生態圈。經過一段時間的業務運營，VFK 健康食品推廣計劃已建立了包含四種進場方案的會員體系，但在專業認可和品牌公信力方面仍然有提升空間。在家族辦公室行業，客戶對於服務提供者的專業背景和認可資格有著很高的期望，這直接影響客戶信任度和合作意願。</w:t>
      </w:r>
    </w:p>
    <w:p>
      <w:pPr>
        <w:spacing w:line="312"/>
        <w:ind w:firstLine="480"/>
        <w:jc w:val="both"/>
      </w:pPr>
      <w:r>
        <w:rPr>
          <w:rFonts w:ascii="Calibri" w:eastAsia="Microsoft YaHei"/>
          <w:color w:val="000000"/>
          <w:sz w:val="24"/>
          <w:szCs w:val="24"/>
        </w:rPr>
        <w:t xml:space="preserve">本建議書提出建立一個屬於 PZC Group 自家的專業認可體制，名稱初步構思為「MCLUB 家族辦公室認可顧問（MCLUB Certified Family Office Advisor，MCFOA）」。這個認可體制將與現有的 MCLUB 會員級別體系相結合，為團隊成員提供一個清晰的專業成長路徑，同時提升家族辦公室服務的整體專業形象。</w:t>
      </w:r>
    </w:p>
    <w:p>
      <w:pPr>
        <w:pStyle w:val="Heading1"/>
        <w:spacing w:after="160" w:before="360" w:line="312"/>
      </w:pPr>
      <w:r>
        <w:rPr>
          <w:rFonts w:ascii="Calibri" w:eastAsia="SimHei"/>
          <w:b/>
          <w:bCs/>
          <w:color w:val="000000"/>
          <w:sz w:val="32"/>
          <w:szCs w:val="32"/>
        </w:rPr>
        <w:t xml:space="preserve">二、認可體制概覽</w:t>
      </w:r>
    </w:p>
    <w:p>
      <w:pPr>
        <w:pStyle w:val="Heading2"/>
        <w:spacing w:after="120" w:before="240" w:line="312"/>
      </w:pPr>
      <w:r>
        <w:rPr>
          <w:rFonts w:ascii="Calibri" w:eastAsia="SimHei"/>
          <w:b/>
          <w:bCs/>
          <w:color w:val="000000"/>
          <w:sz w:val="28"/>
          <w:szCs w:val="28"/>
        </w:rPr>
        <w:t xml:space="preserve">2.1 認可名稱</w:t>
      </w:r>
    </w:p>
    <w:p>
      <w:pPr>
        <w:spacing w:line="312"/>
        <w:ind w:firstLine="480"/>
        <w:jc w:val="both"/>
      </w:pPr>
      <w:r>
        <w:rPr>
          <w:rFonts w:ascii="Calibri" w:eastAsia="Microsoft YaHei"/>
          <w:color w:val="000000"/>
          <w:sz w:val="24"/>
          <w:szCs w:val="24"/>
        </w:rPr>
        <w:t xml:space="preserve">建議認可名稱為「MCLUB 家族辦公室認可顧問」（英文：MCLUB Certified Family Office Advisor，MCFOA）。這個名稱將「MCLUB」品牌與「家族辦公室認可」的專業定位直接結合，讓外界一看就知道這是屬於家族辦公室領域的專業資格。同時，英文縮寫 MCFOA 亦便於國際場景的使用和宣傳。</w:t>
      </w:r>
    </w:p>
    <w:p>
      <w:pPr>
        <w:pStyle w:val="Heading2"/>
        <w:spacing w:after="120" w:before="240" w:line="312"/>
      </w:pPr>
      <w:r>
        <w:rPr>
          <w:rFonts w:ascii="Calibri" w:eastAsia="SimHei"/>
          <w:b/>
          <w:bCs/>
          <w:color w:val="000000"/>
          <w:sz w:val="28"/>
          <w:szCs w:val="28"/>
        </w:rPr>
        <w:t xml:space="preserve">2.2 認可級別</w:t>
      </w:r>
    </w:p>
    <w:p>
      <w:pPr>
        <w:spacing w:line="312"/>
        <w:ind w:firstLine="480"/>
        <w:jc w:val="both"/>
      </w:pPr>
      <w:r>
        <w:rPr>
          <w:rFonts w:ascii="Calibri" w:eastAsia="Microsoft YaHei"/>
          <w:color w:val="000000"/>
          <w:sz w:val="24"/>
          <w:szCs w:val="24"/>
        </w:rPr>
        <w:t xml:space="preserve">認可體制設計為三個級別，對應不同的專業深度和服務範圍。各級別的設計充分考慮了現有 MCLUB 會員體系的級別對應關係，確保認可體制能夠無縫嵌入現有業務流程之中，而不是另起爐爐的額外順級。</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級別</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名稱</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對應 MCLUB 會員級別</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定位</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初級</w:t>
            </w:r>
          </w:p>
        </w:tc>
        <w:tc>
          <w:tcPr>
            <w:shd w:fill="F8F0EB" w:val="clear"/>
            <w:tcMar>
              <w:top w:type="dxa" w:w="60"/>
              <w:left w:type="dxa" w:w="120"/>
              <w:bottom w:type="dxa" w:w="60"/>
              <w:right w:type="dxa" w:w="120"/>
            </w:tcMar>
          </w:tcPr>
          <w:p>
            <w:r>
              <w:rPr>
                <w:rFonts w:ascii="Calibri" w:eastAsia="Microsoft YaHei"/>
                <w:color w:val="000000"/>
                <w:sz w:val="21"/>
                <w:szCs w:val="21"/>
              </w:rPr>
              <w:t xml:space="preserve">MCFOA Associate</w:t>
            </w:r>
          </w:p>
        </w:tc>
        <w:tc>
          <w:tcPr>
            <w:shd w:fill="F8F0EB" w:val="clear"/>
            <w:tcMar>
              <w:top w:type="dxa" w:w="60"/>
              <w:left w:type="dxa" w:w="120"/>
              <w:bottom w:type="dxa" w:w="60"/>
              <w:right w:type="dxa" w:w="120"/>
            </w:tcMar>
          </w:tcPr>
          <w:p>
            <w:r>
              <w:rPr>
                <w:rFonts w:ascii="Calibri" w:eastAsia="Microsoft YaHei"/>
                <w:color w:val="000000"/>
                <w:sz w:val="21"/>
                <w:szCs w:val="21"/>
              </w:rPr>
              <w:t xml:space="preserve">Plan A 入門級 / Plan B 進階級</w:t>
            </w:r>
          </w:p>
        </w:tc>
        <w:tc>
          <w:tcPr>
            <w:shd w:fill="F8F0EB" w:val="clear"/>
            <w:tcMar>
              <w:top w:type="dxa" w:w="60"/>
              <w:left w:type="dxa" w:w="120"/>
              <w:bottom w:type="dxa" w:w="60"/>
              <w:right w:type="dxa" w:w="120"/>
            </w:tcMar>
          </w:tcPr>
          <w:p>
            <w:r>
              <w:rPr>
                <w:rFonts w:ascii="Calibri" w:eastAsia="Microsoft YaHei"/>
                <w:color w:val="000000"/>
                <w:sz w:val="21"/>
                <w:szCs w:val="21"/>
              </w:rPr>
              <w:t xml:space="preserve">基礎服務提供者</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中級</w:t>
            </w:r>
          </w:p>
        </w:tc>
        <w:tc>
          <w:tcPr>
            <w:shd w:fill="FFFFFF" w:val="clear"/>
            <w:tcMar>
              <w:top w:type="dxa" w:w="60"/>
              <w:left w:type="dxa" w:w="120"/>
              <w:bottom w:type="dxa" w:w="60"/>
              <w:right w:type="dxa" w:w="120"/>
            </w:tcMar>
          </w:tcPr>
          <w:p>
            <w:r>
              <w:rPr>
                <w:rFonts w:ascii="Calibri" w:eastAsia="Microsoft YaHei"/>
                <w:color w:val="000000"/>
                <w:sz w:val="21"/>
                <w:szCs w:val="21"/>
              </w:rPr>
              <w:t xml:space="preserve">MCFOA Professional</w:t>
            </w:r>
          </w:p>
        </w:tc>
        <w:tc>
          <w:tcPr>
            <w:shd w:fill="FFFFFF" w:val="clear"/>
            <w:tcMar>
              <w:top w:type="dxa" w:w="60"/>
              <w:left w:type="dxa" w:w="120"/>
              <w:bottom w:type="dxa" w:w="60"/>
              <w:right w:type="dxa" w:w="120"/>
            </w:tcMar>
          </w:tcPr>
          <w:p>
            <w:r>
              <w:rPr>
                <w:rFonts w:ascii="Calibri" w:eastAsia="Microsoft YaHei"/>
                <w:color w:val="000000"/>
                <w:sz w:val="21"/>
                <w:szCs w:val="21"/>
              </w:rPr>
              <w:t xml:space="preserve">Plan B+ 中高級</w:t>
            </w:r>
          </w:p>
        </w:tc>
        <w:tc>
          <w:tcPr>
            <w:shd w:fill="FFFFFF" w:val="clear"/>
            <w:tcMar>
              <w:top w:type="dxa" w:w="60"/>
              <w:left w:type="dxa" w:w="120"/>
              <w:bottom w:type="dxa" w:w="60"/>
              <w:right w:type="dxa" w:w="120"/>
            </w:tcMar>
          </w:tcPr>
          <w:p>
            <w:r>
              <w:rPr>
                <w:rFonts w:ascii="Calibri" w:eastAsia="Microsoft YaHei"/>
                <w:color w:val="000000"/>
                <w:sz w:val="21"/>
                <w:szCs w:val="21"/>
              </w:rPr>
              <w:t xml:space="preserve">專業財富顧問</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高級</w:t>
            </w:r>
          </w:p>
        </w:tc>
        <w:tc>
          <w:tcPr>
            <w:shd w:fill="F8F0EB" w:val="clear"/>
            <w:tcMar>
              <w:top w:type="dxa" w:w="60"/>
              <w:left w:type="dxa" w:w="120"/>
              <w:bottom w:type="dxa" w:w="60"/>
              <w:right w:type="dxa" w:w="120"/>
            </w:tcMar>
          </w:tcPr>
          <w:p>
            <w:r>
              <w:rPr>
                <w:rFonts w:ascii="Calibri" w:eastAsia="Microsoft YaHei"/>
                <w:color w:val="000000"/>
                <w:sz w:val="21"/>
                <w:szCs w:val="21"/>
              </w:rPr>
              <w:t xml:space="preserve">MCFOA Fellow</w:t>
            </w:r>
          </w:p>
        </w:tc>
        <w:tc>
          <w:tcPr>
            <w:shd w:fill="F8F0EB" w:val="clear"/>
            <w:tcMar>
              <w:top w:type="dxa" w:w="60"/>
              <w:left w:type="dxa" w:w="120"/>
              <w:bottom w:type="dxa" w:w="60"/>
              <w:right w:type="dxa" w:w="120"/>
            </w:tcMar>
          </w:tcPr>
          <w:p>
            <w:r>
              <w:rPr>
                <w:rFonts w:ascii="Calibri" w:eastAsia="Microsoft YaHei"/>
                <w:color w:val="000000"/>
                <w:sz w:val="21"/>
                <w:szCs w:val="21"/>
              </w:rPr>
              <w:t xml:space="preserve">Plan C 高端 + 家族辦公室</w:t>
            </w:r>
          </w:p>
        </w:tc>
        <w:tc>
          <w:tcPr>
            <w:shd w:fill="F8F0EB" w:val="clear"/>
            <w:tcMar>
              <w:top w:type="dxa" w:w="60"/>
              <w:left w:type="dxa" w:w="120"/>
              <w:bottom w:type="dxa" w:w="60"/>
              <w:right w:type="dxa" w:w="120"/>
            </w:tcMar>
          </w:tcPr>
          <w:p>
            <w:r>
              <w:rPr>
                <w:rFonts w:ascii="Calibri" w:eastAsia="Microsoft YaHei"/>
                <w:color w:val="000000"/>
                <w:sz w:val="21"/>
                <w:szCs w:val="21"/>
              </w:rPr>
              <w:t xml:space="preserve">資深家族辦公室專家</w:t>
            </w:r>
          </w:p>
        </w:tc>
      </w:tr>
    </w:tbl>
    <w:p>
      <w:pPr>
        <w:spacing w:before="80"/>
      </w:pPr>
    </w:p>
    <w:p>
      <w:pPr>
        <w:pStyle w:val="Heading2"/>
        <w:spacing w:after="120" w:before="240" w:line="312"/>
      </w:pPr>
      <w:r>
        <w:rPr>
          <w:rFonts w:ascii="Calibri" w:eastAsia="SimHei"/>
          <w:b/>
          <w:bCs/>
          <w:color w:val="000000"/>
          <w:sz w:val="28"/>
          <w:szCs w:val="28"/>
        </w:rPr>
        <w:t xml:space="preserve">2.3 核心定位</w:t>
      </w:r>
    </w:p>
    <w:p>
      <w:pPr>
        <w:spacing w:line="312"/>
        <w:ind w:firstLine="480"/>
        <w:jc w:val="both"/>
      </w:pPr>
      <w:r>
        <w:rPr>
          <w:rFonts w:ascii="Calibri" w:eastAsia="Microsoft YaHei"/>
          <w:color w:val="000000"/>
          <w:sz w:val="24"/>
          <w:szCs w:val="24"/>
        </w:rPr>
        <w:t xml:space="preserve">MCFOA 認可體制的核心定位是「健康財富合一」，這是 PZC Group 區別於傳統家族辦公室和理財顧問公司的獨特價值主張。傳統的理財認可只聚焦於金融產品和投資組合，而 MCFOA 的獨特之處在於將健康管理（VFK 健康食品推廣計劃）、團隊運營能力和家族財富管理三者結合，形成一個完整的服務生態圈。這個差異化定位能夠有效地將 MCFOA 與市場上其他金融認可拉開距離。</w:t>
      </w:r>
    </w:p>
    <w:p>
      <w:pPr>
        <w:pStyle w:val="Heading1"/>
        <w:spacing w:after="160" w:before="360" w:line="312"/>
      </w:pPr>
      <w:r>
        <w:rPr>
          <w:rFonts w:ascii="Calibri" w:eastAsia="SimHei"/>
          <w:b/>
          <w:bCs/>
          <w:color w:val="000000"/>
          <w:sz w:val="32"/>
          <w:szCs w:val="32"/>
        </w:rPr>
        <w:t xml:space="preserve">三、課程架構</w:t>
      </w:r>
    </w:p>
    <w:p>
      <w:pPr>
        <w:pStyle w:val="Heading2"/>
        <w:spacing w:after="120" w:before="240" w:line="312"/>
      </w:pPr>
      <w:r>
        <w:rPr>
          <w:rFonts w:ascii="Calibri" w:eastAsia="SimHei"/>
          <w:b/>
          <w:bCs/>
          <w:color w:val="000000"/>
          <w:sz w:val="28"/>
          <w:szCs w:val="28"/>
        </w:rPr>
        <w:t xml:space="preserve">3.1 初級課程（MCFOA Associate）</w:t>
      </w:r>
    </w:p>
    <w:p>
      <w:pPr>
        <w:spacing w:line="312"/>
        <w:ind w:firstLine="480"/>
        <w:jc w:val="both"/>
      </w:pPr>
      <w:r>
        <w:rPr>
          <w:rFonts w:ascii="Calibri" w:eastAsia="Microsoft YaHei"/>
          <w:color w:val="000000"/>
          <w:sz w:val="24"/>
          <w:szCs w:val="24"/>
        </w:rPr>
        <w:t xml:space="preserve">初級課程旨在讓學員掌握家族辦公室的基礎知識和服務流程，重點放在產品知識、客戶服務和團隊運營基礎。這個級別對應 Plan A 和 Plan B 會員，是進入家族辦公室生態的第一步。課程內容緊密围繞 VFK 健康食品推廣計劃和 MCLUB CRM 平台的實際運作，確保學員能夠立即將所學應用於日常業務。</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模塊</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內容</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時長</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對行概述</w:t>
            </w:r>
          </w:p>
        </w:tc>
        <w:tc>
          <w:tcPr>
            <w:shd w:fill="F8F0EB" w:val="clear"/>
            <w:tcMar>
              <w:top w:type="dxa" w:w="60"/>
              <w:left w:type="dxa" w:w="120"/>
              <w:bottom w:type="dxa" w:w="60"/>
              <w:right w:type="dxa" w:w="120"/>
            </w:tcMar>
          </w:tcPr>
          <w:p>
            <w:r>
              <w:rPr>
                <w:rFonts w:ascii="Calibri" w:eastAsia="Microsoft YaHei"/>
                <w:color w:val="000000"/>
                <w:sz w:val="21"/>
                <w:szCs w:val="21"/>
              </w:rPr>
              <w:t xml:space="preserve">家族辦公室定義、PZC Group 構架、服務範圍</w:t>
            </w:r>
          </w:p>
        </w:tc>
        <w:tc>
          <w:tcPr>
            <w:shd w:fill="F8F0EB" w:val="clear"/>
            <w:tcMar>
              <w:top w:type="dxa" w:w="60"/>
              <w:left w:type="dxa" w:w="120"/>
              <w:bottom w:type="dxa" w:w="60"/>
              <w:right w:type="dxa" w:w="120"/>
            </w:tcMar>
          </w:tcPr>
          <w:p>
            <w:r>
              <w:rPr>
                <w:rFonts w:ascii="Calibri" w:eastAsia="Microsoft YaHei"/>
                <w:color w:val="000000"/>
                <w:sz w:val="21"/>
                <w:szCs w:val="21"/>
              </w:rPr>
              <w:t xml:space="preserve">2 小時</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VFK 產品知識</w:t>
            </w:r>
          </w:p>
        </w:tc>
        <w:tc>
          <w:tcPr>
            <w:shd w:fill="FFFFFF" w:val="clear"/>
            <w:tcMar>
              <w:top w:type="dxa" w:w="60"/>
              <w:left w:type="dxa" w:w="120"/>
              <w:bottom w:type="dxa" w:w="60"/>
              <w:right w:type="dxa" w:w="120"/>
            </w:tcMar>
          </w:tcPr>
          <w:p>
            <w:r>
              <w:rPr>
                <w:rFonts w:ascii="Calibri" w:eastAsia="Microsoft YaHei"/>
                <w:color w:val="000000"/>
                <w:sz w:val="21"/>
                <w:szCs w:val="21"/>
              </w:rPr>
              <w:t xml:space="preserve">四種方案詳解、BV 積分制、健康理念</w:t>
            </w:r>
          </w:p>
        </w:tc>
        <w:tc>
          <w:tcPr>
            <w:shd w:fill="FFFFFF" w:val="clear"/>
            <w:tcMar>
              <w:top w:type="dxa" w:w="60"/>
              <w:left w:type="dxa" w:w="120"/>
              <w:bottom w:type="dxa" w:w="60"/>
              <w:right w:type="dxa" w:w="120"/>
            </w:tcMar>
          </w:tcPr>
          <w:p>
            <w:r>
              <w:rPr>
                <w:rFonts w:ascii="Calibri" w:eastAsia="Microsoft YaHei"/>
                <w:color w:val="000000"/>
                <w:sz w:val="21"/>
                <w:szCs w:val="21"/>
              </w:rPr>
              <w:t xml:space="preserve">3 小時</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客戶服務基礎</w:t>
            </w:r>
          </w:p>
        </w:tc>
        <w:tc>
          <w:tcPr>
            <w:shd w:fill="F8F0EB" w:val="clear"/>
            <w:tcMar>
              <w:top w:type="dxa" w:w="60"/>
              <w:left w:type="dxa" w:w="120"/>
              <w:bottom w:type="dxa" w:w="60"/>
              <w:right w:type="dxa" w:w="120"/>
            </w:tcMar>
          </w:tcPr>
          <w:p>
            <w:r>
              <w:rPr>
                <w:rFonts w:ascii="Calibri" w:eastAsia="Microsoft YaHei"/>
                <w:color w:val="000000"/>
                <w:sz w:val="21"/>
                <w:szCs w:val="21"/>
              </w:rPr>
              <w:t xml:space="preserve">客戶需求分析、CRM 系統操作、基本示範</w:t>
            </w:r>
          </w:p>
        </w:tc>
        <w:tc>
          <w:tcPr>
            <w:shd w:fill="F8F0EB" w:val="clear"/>
            <w:tcMar>
              <w:top w:type="dxa" w:w="60"/>
              <w:left w:type="dxa" w:w="120"/>
              <w:bottom w:type="dxa" w:w="60"/>
              <w:right w:type="dxa" w:w="120"/>
            </w:tcMar>
          </w:tcPr>
          <w:p>
            <w:r>
              <w:rPr>
                <w:rFonts w:ascii="Calibri" w:eastAsia="Microsoft YaHei"/>
                <w:color w:val="000000"/>
                <w:sz w:val="21"/>
                <w:szCs w:val="21"/>
              </w:rPr>
              <w:t xml:space="preserve">3 小時</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團隊運營入門</w:t>
            </w:r>
          </w:p>
        </w:tc>
        <w:tc>
          <w:tcPr>
            <w:shd w:fill="FFFFFF" w:val="clear"/>
            <w:tcMar>
              <w:top w:type="dxa" w:w="60"/>
              <w:left w:type="dxa" w:w="120"/>
              <w:bottom w:type="dxa" w:w="60"/>
              <w:right w:type="dxa" w:w="120"/>
            </w:tcMar>
          </w:tcPr>
          <w:p>
            <w:r>
              <w:rPr>
                <w:rFonts w:ascii="Calibri" w:eastAsia="Microsoft YaHei"/>
                <w:color w:val="000000"/>
                <w:sz w:val="21"/>
                <w:szCs w:val="21"/>
              </w:rPr>
              <w:t xml:space="preserve">推廣策略、晋升機制、合規要求</w:t>
            </w:r>
          </w:p>
        </w:tc>
        <w:tc>
          <w:tcPr>
            <w:shd w:fill="FFFFFF" w:val="clear"/>
            <w:tcMar>
              <w:top w:type="dxa" w:w="60"/>
              <w:left w:type="dxa" w:w="120"/>
              <w:bottom w:type="dxa" w:w="60"/>
              <w:right w:type="dxa" w:w="120"/>
            </w:tcMar>
          </w:tcPr>
          <w:p>
            <w:r>
              <w:rPr>
                <w:rFonts w:ascii="Calibri" w:eastAsia="Microsoft YaHei"/>
                <w:color w:val="000000"/>
                <w:sz w:val="21"/>
                <w:szCs w:val="21"/>
              </w:rPr>
              <w:t xml:space="preserve">2 小時</w:t>
            </w:r>
          </w:p>
        </w:tc>
      </w:tr>
    </w:tbl>
    <w:p>
      <w:pPr>
        <w:spacing w:before="80"/>
      </w:pPr>
    </w:p>
    <w:p>
      <w:pPr>
        <w:pStyle w:val="Heading2"/>
        <w:spacing w:after="120" w:before="240" w:line="312"/>
      </w:pPr>
      <w:r>
        <w:rPr>
          <w:rFonts w:ascii="Calibri" w:eastAsia="SimHei"/>
          <w:b/>
          <w:bCs/>
          <w:color w:val="000000"/>
          <w:sz w:val="28"/>
          <w:szCs w:val="28"/>
        </w:rPr>
        <w:t xml:space="preserve">3.2 中級課程（MCFOA Professional）</w:t>
      </w:r>
    </w:p>
    <w:p>
      <w:pPr>
        <w:spacing w:line="312"/>
        <w:ind w:firstLine="480"/>
        <w:jc w:val="both"/>
      </w:pPr>
      <w:r>
        <w:rPr>
          <w:rFonts w:ascii="Calibri" w:eastAsia="Microsoft YaHei"/>
          <w:color w:val="000000"/>
          <w:sz w:val="24"/>
          <w:szCs w:val="24"/>
        </w:rPr>
        <w:t xml:space="preserve">中級課程針對已經有一定業務基礎的 Plan B+ 會員，內容涵蓋更深入的財富管理知識和客戶服務能力。學員將學習外匯風險管理、財富保全基礎和數據分析等專業技能。這個級別的特點是引入了 PZC Group 獨有的 FX Risk Modelling 外匯風險建模服務作為教材，讓學員能夠學習到真正在市場上運作的風險管理工具。</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模塊</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內容</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時長</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外匯風險管理</w:t>
            </w:r>
          </w:p>
        </w:tc>
        <w:tc>
          <w:tcPr>
            <w:shd w:fill="F8F0EB" w:val="clear"/>
            <w:tcMar>
              <w:top w:type="dxa" w:w="60"/>
              <w:left w:type="dxa" w:w="120"/>
              <w:bottom w:type="dxa" w:w="60"/>
              <w:right w:type="dxa" w:w="120"/>
            </w:tcMar>
          </w:tcPr>
          <w:p>
            <w:r>
              <w:rPr>
                <w:rFonts w:ascii="Calibri" w:eastAsia="Microsoft YaHei"/>
                <w:color w:val="000000"/>
                <w:sz w:val="21"/>
                <w:szCs w:val="21"/>
              </w:rPr>
              <w:t xml:space="preserve">FX Risk Modelling 建模、壓力測試、對沖策略基礎</w:t>
            </w:r>
          </w:p>
        </w:tc>
        <w:tc>
          <w:tcPr>
            <w:shd w:fill="F8F0EB" w:val="clear"/>
            <w:tcMar>
              <w:top w:type="dxa" w:w="60"/>
              <w:left w:type="dxa" w:w="120"/>
              <w:bottom w:type="dxa" w:w="60"/>
              <w:right w:type="dxa" w:w="120"/>
            </w:tcMar>
          </w:tcPr>
          <w:p>
            <w:r>
              <w:rPr>
                <w:rFonts w:ascii="Calibri" w:eastAsia="Microsoft YaHei"/>
                <w:color w:val="000000"/>
                <w:sz w:val="21"/>
                <w:szCs w:val="21"/>
              </w:rPr>
              <w:t xml:space="preserve">4 小時</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財富保全基礎</w:t>
            </w:r>
          </w:p>
        </w:tc>
        <w:tc>
          <w:tcPr>
            <w:shd w:fill="FFFFFF" w:val="clear"/>
            <w:tcMar>
              <w:top w:type="dxa" w:w="60"/>
              <w:left w:type="dxa" w:w="120"/>
              <w:bottom w:type="dxa" w:w="60"/>
              <w:right w:type="dxa" w:w="120"/>
            </w:tcMar>
          </w:tcPr>
          <w:p>
            <w:r>
              <w:rPr>
                <w:rFonts w:ascii="Calibri" w:eastAsia="Microsoft YaHei"/>
                <w:color w:val="000000"/>
                <w:sz w:val="21"/>
                <w:szCs w:val="21"/>
              </w:rPr>
              <w:t xml:space="preserve">資產配置原則、風險分散、基本分析</w:t>
            </w:r>
          </w:p>
        </w:tc>
        <w:tc>
          <w:tcPr>
            <w:shd w:fill="FFFFFF" w:val="clear"/>
            <w:tcMar>
              <w:top w:type="dxa" w:w="60"/>
              <w:left w:type="dxa" w:w="120"/>
              <w:bottom w:type="dxa" w:w="60"/>
              <w:right w:type="dxa" w:w="120"/>
            </w:tcMar>
          </w:tcPr>
          <w:p>
            <w:r>
              <w:rPr>
                <w:rFonts w:ascii="Calibri" w:eastAsia="Microsoft YaHei"/>
                <w:color w:val="000000"/>
                <w:sz w:val="21"/>
                <w:szCs w:val="21"/>
              </w:rPr>
              <w:t xml:space="preserve">4 小時</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高端客戶服務</w:t>
            </w:r>
          </w:p>
        </w:tc>
        <w:tc>
          <w:tcPr>
            <w:shd w:fill="F8F0EB" w:val="clear"/>
            <w:tcMar>
              <w:top w:type="dxa" w:w="60"/>
              <w:left w:type="dxa" w:w="120"/>
              <w:bottom w:type="dxa" w:w="60"/>
              <w:right w:type="dxa" w:w="120"/>
            </w:tcMar>
          </w:tcPr>
          <w:p>
            <w:r>
              <w:rPr>
                <w:rFonts w:ascii="Calibri" w:eastAsia="Microsoft YaHei"/>
                <w:color w:val="000000"/>
                <w:sz w:val="21"/>
                <w:szCs w:val="21"/>
              </w:rPr>
              <w:t xml:space="preserve">家族需求診斷、定制化方案、長期關係管理</w:t>
            </w:r>
          </w:p>
        </w:tc>
        <w:tc>
          <w:tcPr>
            <w:shd w:fill="F8F0EB" w:val="clear"/>
            <w:tcMar>
              <w:top w:type="dxa" w:w="60"/>
              <w:left w:type="dxa" w:w="120"/>
              <w:bottom w:type="dxa" w:w="60"/>
              <w:right w:type="dxa" w:w="120"/>
            </w:tcMar>
          </w:tcPr>
          <w:p>
            <w:r>
              <w:rPr>
                <w:rFonts w:ascii="Calibri" w:eastAsia="Microsoft YaHei"/>
                <w:color w:val="000000"/>
                <w:sz w:val="21"/>
                <w:szCs w:val="21"/>
              </w:rPr>
              <w:t xml:space="preserve">3 小時</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數據分析實務</w:t>
            </w:r>
          </w:p>
        </w:tc>
        <w:tc>
          <w:tcPr>
            <w:shd w:fill="FFFFFF" w:val="clear"/>
            <w:tcMar>
              <w:top w:type="dxa" w:w="60"/>
              <w:left w:type="dxa" w:w="120"/>
              <w:bottom w:type="dxa" w:w="60"/>
              <w:right w:type="dxa" w:w="120"/>
            </w:tcMar>
          </w:tcPr>
          <w:p>
            <w:r>
              <w:rPr>
                <w:rFonts w:ascii="Calibri" w:eastAsia="Microsoft YaHei"/>
                <w:color w:val="000000"/>
                <w:sz w:val="21"/>
                <w:szCs w:val="21"/>
              </w:rPr>
              <w:t xml:space="preserve">CRM 數據解讀、市場趋勢分析、報告撰寫</w:t>
            </w:r>
          </w:p>
        </w:tc>
        <w:tc>
          <w:tcPr>
            <w:shd w:fill="FFFFFF" w:val="clear"/>
            <w:tcMar>
              <w:top w:type="dxa" w:w="60"/>
              <w:left w:type="dxa" w:w="120"/>
              <w:bottom w:type="dxa" w:w="60"/>
              <w:right w:type="dxa" w:w="120"/>
            </w:tcMar>
          </w:tcPr>
          <w:p>
            <w:r>
              <w:rPr>
                <w:rFonts w:ascii="Calibri" w:eastAsia="Microsoft YaHei"/>
                <w:color w:val="000000"/>
                <w:sz w:val="21"/>
                <w:szCs w:val="21"/>
              </w:rPr>
              <w:t xml:space="preserve">3 小時</w:t>
            </w:r>
          </w:p>
        </w:tc>
      </w:tr>
    </w:tbl>
    <w:p>
      <w:pPr>
        <w:spacing w:before="80"/>
      </w:pPr>
    </w:p>
    <w:p>
      <w:pPr>
        <w:pStyle w:val="Heading2"/>
        <w:spacing w:after="120" w:before="240" w:line="312"/>
      </w:pPr>
      <w:r>
        <w:rPr>
          <w:rFonts w:ascii="Calibri" w:eastAsia="SimHei"/>
          <w:b/>
          <w:bCs/>
          <w:color w:val="000000"/>
          <w:sz w:val="28"/>
          <w:szCs w:val="28"/>
        </w:rPr>
        <w:t xml:space="preserve">3.3 高級課程（MCFOA Fellow）</w:t>
      </w:r>
    </w:p>
    <w:p>
      <w:pPr>
        <w:spacing w:line="312"/>
        <w:ind w:firstLine="480"/>
        <w:jc w:val="both"/>
      </w:pPr>
      <w:r>
        <w:rPr>
          <w:rFonts w:ascii="Calibri" w:eastAsia="Microsoft YaHei"/>
          <w:color w:val="000000"/>
          <w:sz w:val="24"/>
          <w:szCs w:val="24"/>
        </w:rPr>
        <w:t xml:space="preserve">高級課程專為 Plan C 高端會員和家族辦公室核心成員設計，內容涵蓋離岸財富架構、合規監管和領導力發展。這個級別的學員將具備独立為高淨值客戶提供家族辦公室服務的能力，並能夠帶領團隊運營和業務擴展。高級課程的一個重要特色是包含實際案例研訋和專家導師制，確保學員不僅掌握理論知識，更能在實際場景中靈活運用。</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模塊</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內容</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時長</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離岸財富架構</w:t>
            </w:r>
          </w:p>
        </w:tc>
        <w:tc>
          <w:tcPr>
            <w:shd w:fill="F8F0EB" w:val="clear"/>
            <w:tcMar>
              <w:top w:type="dxa" w:w="60"/>
              <w:left w:type="dxa" w:w="120"/>
              <w:bottom w:type="dxa" w:w="60"/>
              <w:right w:type="dxa" w:w="120"/>
            </w:tcMar>
          </w:tcPr>
          <w:p>
            <w:r>
              <w:rPr>
                <w:rFonts w:ascii="Calibri" w:eastAsia="Microsoft YaHei"/>
                <w:color w:val="000000"/>
                <w:sz w:val="21"/>
                <w:szCs w:val="21"/>
              </w:rPr>
              <w:t xml:space="preserve">信託設立、離岸結構、稅務規劃基礎</w:t>
            </w:r>
          </w:p>
        </w:tc>
        <w:tc>
          <w:tcPr>
            <w:shd w:fill="F8F0EB" w:val="clear"/>
            <w:tcMar>
              <w:top w:type="dxa" w:w="60"/>
              <w:left w:type="dxa" w:w="120"/>
              <w:bottom w:type="dxa" w:w="60"/>
              <w:right w:type="dxa" w:w="120"/>
            </w:tcMar>
          </w:tcPr>
          <w:p>
            <w:r>
              <w:rPr>
                <w:rFonts w:ascii="Calibri" w:eastAsia="Microsoft YaHei"/>
                <w:color w:val="000000"/>
                <w:sz w:val="21"/>
                <w:szCs w:val="21"/>
              </w:rPr>
              <w:t xml:space="preserve">4 小時</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合規與監管</w:t>
            </w:r>
          </w:p>
        </w:tc>
        <w:tc>
          <w:tcPr>
            <w:shd w:fill="FFFFFF" w:val="clear"/>
            <w:tcMar>
              <w:top w:type="dxa" w:w="60"/>
              <w:left w:type="dxa" w:w="120"/>
              <w:bottom w:type="dxa" w:w="60"/>
              <w:right w:type="dxa" w:w="120"/>
            </w:tcMar>
          </w:tcPr>
          <w:p>
            <w:r>
              <w:rPr>
                <w:rFonts w:ascii="Calibri" w:eastAsia="Microsoft YaHei"/>
                <w:color w:val="000000"/>
                <w:sz w:val="21"/>
                <w:szCs w:val="21"/>
              </w:rPr>
              <w:t xml:space="preserve">香港 SFC 框架、AML 反洗錢、保險條例</w:t>
            </w:r>
          </w:p>
        </w:tc>
        <w:tc>
          <w:tcPr>
            <w:shd w:fill="FFFFFF" w:val="clear"/>
            <w:tcMar>
              <w:top w:type="dxa" w:w="60"/>
              <w:left w:type="dxa" w:w="120"/>
              <w:bottom w:type="dxa" w:w="60"/>
              <w:right w:type="dxa" w:w="120"/>
            </w:tcMar>
          </w:tcPr>
          <w:p>
            <w:r>
              <w:rPr>
                <w:rFonts w:ascii="Calibri" w:eastAsia="Microsoft YaHei"/>
                <w:color w:val="000000"/>
                <w:sz w:val="21"/>
                <w:szCs w:val="21"/>
              </w:rPr>
              <w:t xml:space="preserve">3 小時</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領導力與教學</w:t>
            </w:r>
          </w:p>
        </w:tc>
        <w:tc>
          <w:tcPr>
            <w:shd w:fill="F8F0EB" w:val="clear"/>
            <w:tcMar>
              <w:top w:type="dxa" w:w="60"/>
              <w:left w:type="dxa" w:w="120"/>
              <w:bottom w:type="dxa" w:w="60"/>
              <w:right w:type="dxa" w:w="120"/>
            </w:tcMar>
          </w:tcPr>
          <w:p>
            <w:r>
              <w:rPr>
                <w:rFonts w:ascii="Calibri" w:eastAsia="Microsoft YaHei"/>
                <w:color w:val="000000"/>
                <w:sz w:val="21"/>
                <w:szCs w:val="21"/>
              </w:rPr>
              <w:t xml:space="preserve">團隊建設、培訓體系、績效管理</w:t>
            </w:r>
          </w:p>
        </w:tc>
        <w:tc>
          <w:tcPr>
            <w:shd w:fill="F8F0EB" w:val="clear"/>
            <w:tcMar>
              <w:top w:type="dxa" w:w="60"/>
              <w:left w:type="dxa" w:w="120"/>
              <w:bottom w:type="dxa" w:w="60"/>
              <w:right w:type="dxa" w:w="120"/>
            </w:tcMar>
          </w:tcPr>
          <w:p>
            <w:r>
              <w:rPr>
                <w:rFonts w:ascii="Calibri" w:eastAsia="Microsoft YaHei"/>
                <w:color w:val="000000"/>
                <w:sz w:val="21"/>
                <w:szCs w:val="21"/>
              </w:rPr>
              <w:t xml:space="preserve">3 小時</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專家研訋導師</w:t>
            </w:r>
          </w:p>
        </w:tc>
        <w:tc>
          <w:tcPr>
            <w:shd w:fill="FFFFFF" w:val="clear"/>
            <w:tcMar>
              <w:top w:type="dxa" w:w="60"/>
              <w:left w:type="dxa" w:w="120"/>
              <w:bottom w:type="dxa" w:w="60"/>
              <w:right w:type="dxa" w:w="120"/>
            </w:tcMar>
          </w:tcPr>
          <w:p>
            <w:r>
              <w:rPr>
                <w:rFonts w:ascii="Calibri" w:eastAsia="Microsoft YaHei"/>
                <w:color w:val="000000"/>
                <w:sz w:val="21"/>
                <w:szCs w:val="21"/>
              </w:rPr>
              <w:t xml:space="preserve">實際案例研訋、一對一導師、成果展示</w:t>
            </w:r>
          </w:p>
        </w:tc>
        <w:tc>
          <w:tcPr>
            <w:shd w:fill="FFFFFF" w:val="clear"/>
            <w:tcMar>
              <w:top w:type="dxa" w:w="60"/>
              <w:left w:type="dxa" w:w="120"/>
              <w:bottom w:type="dxa" w:w="60"/>
              <w:right w:type="dxa" w:w="120"/>
            </w:tcMar>
          </w:tcPr>
          <w:p>
            <w:r>
              <w:rPr>
                <w:rFonts w:ascii="Calibri" w:eastAsia="Microsoft YaHei"/>
                <w:color w:val="000000"/>
                <w:sz w:val="21"/>
                <w:szCs w:val="21"/>
              </w:rPr>
              <w:t xml:space="preserve">6 小時</w:t>
            </w:r>
          </w:p>
        </w:tc>
      </w:tr>
    </w:tbl>
    <w:p>
      <w:pPr>
        <w:spacing w:before="80"/>
      </w:pPr>
    </w:p>
    <w:p>
      <w:pPr>
        <w:pStyle w:val="Heading1"/>
        <w:spacing w:after="160" w:before="360" w:line="312"/>
      </w:pPr>
      <w:r>
        <w:rPr>
          <w:rFonts w:ascii="Calibri" w:eastAsia="SimHei"/>
          <w:b/>
          <w:bCs/>
          <w:color w:val="000000"/>
          <w:sz w:val="32"/>
          <w:szCs w:val="32"/>
        </w:rPr>
        <w:t xml:space="preserve">四、考評機制</w:t>
      </w:r>
    </w:p>
    <w:p>
      <w:pPr>
        <w:pStyle w:val="Heading2"/>
        <w:spacing w:after="120" w:before="240" w:line="312"/>
      </w:pPr>
      <w:r>
        <w:rPr>
          <w:rFonts w:ascii="Calibri" w:eastAsia="SimHei"/>
          <w:b/>
          <w:bCs/>
          <w:color w:val="000000"/>
          <w:sz w:val="28"/>
          <w:szCs w:val="28"/>
        </w:rPr>
        <w:t xml:space="preserve">4.1 考評方式</w:t>
      </w:r>
    </w:p>
    <w:p>
      <w:pPr>
        <w:spacing w:line="312"/>
        <w:ind w:firstLine="480"/>
        <w:jc w:val="both"/>
      </w:pPr>
      <w:r>
        <w:rPr>
          <w:rFonts w:ascii="Calibri" w:eastAsia="Microsoft YaHei"/>
          <w:color w:val="000000"/>
          <w:sz w:val="24"/>
          <w:szCs w:val="24"/>
        </w:rPr>
        <w:t xml:space="preserve">考評機制設計為筆試加實務的形式，確保學員不僅掌握理論知識，更能在實際業務中靈活運用。各級別的考評標準和方式根據其專業深度而有所不同，初級側重基礎知識的掌握，中級強調分析能力，高級則要求專案研究和實截展示。</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級別</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筆試佔比</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實務佔比</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考核形式</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初級 Associate</w:t>
            </w:r>
          </w:p>
        </w:tc>
        <w:tc>
          <w:tcPr>
            <w:shd w:fill="F8F0EB" w:val="clear"/>
            <w:tcMar>
              <w:top w:type="dxa" w:w="60"/>
              <w:left w:type="dxa" w:w="120"/>
              <w:bottom w:type="dxa" w:w="60"/>
              <w:right w:type="dxa" w:w="120"/>
            </w:tcMar>
          </w:tcPr>
          <w:p>
            <w:r>
              <w:rPr>
                <w:rFonts w:ascii="Calibri" w:eastAsia="Microsoft YaHei"/>
                <w:color w:val="000000"/>
                <w:sz w:val="21"/>
                <w:szCs w:val="21"/>
              </w:rPr>
              <w:t xml:space="preserve">60%</w:t>
            </w:r>
          </w:p>
        </w:tc>
        <w:tc>
          <w:tcPr>
            <w:shd w:fill="F8F0EB" w:val="clear"/>
            <w:tcMar>
              <w:top w:type="dxa" w:w="60"/>
              <w:left w:type="dxa" w:w="120"/>
              <w:bottom w:type="dxa" w:w="60"/>
              <w:right w:type="dxa" w:w="120"/>
            </w:tcMar>
          </w:tcPr>
          <w:p>
            <w:r>
              <w:rPr>
                <w:rFonts w:ascii="Calibri" w:eastAsia="Microsoft YaHei"/>
                <w:color w:val="000000"/>
                <w:sz w:val="21"/>
                <w:szCs w:val="21"/>
              </w:rPr>
              <w:t xml:space="preserve">40%</w:t>
            </w:r>
          </w:p>
        </w:tc>
        <w:tc>
          <w:tcPr>
            <w:shd w:fill="F8F0EB" w:val="clear"/>
            <w:tcMar>
              <w:top w:type="dxa" w:w="60"/>
              <w:left w:type="dxa" w:w="120"/>
              <w:bottom w:type="dxa" w:w="60"/>
              <w:right w:type="dxa" w:w="120"/>
            </w:tcMar>
          </w:tcPr>
          <w:p>
            <w:r>
              <w:rPr>
                <w:rFonts w:ascii="Calibri" w:eastAsia="Microsoft YaHei"/>
                <w:color w:val="000000"/>
                <w:sz w:val="21"/>
                <w:szCs w:val="21"/>
              </w:rPr>
              <w:t xml:space="preserve">選擇題 + 簡答題，教學情景模擬</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中級 Professional</w:t>
            </w:r>
          </w:p>
        </w:tc>
        <w:tc>
          <w:tcPr>
            <w:shd w:fill="FFFFFF" w:val="clear"/>
            <w:tcMar>
              <w:top w:type="dxa" w:w="60"/>
              <w:left w:type="dxa" w:w="120"/>
              <w:bottom w:type="dxa" w:w="60"/>
              <w:right w:type="dxa" w:w="120"/>
            </w:tcMar>
          </w:tcPr>
          <w:p>
            <w:r>
              <w:rPr>
                <w:rFonts w:ascii="Calibri" w:eastAsia="Microsoft YaHei"/>
                <w:color w:val="000000"/>
                <w:sz w:val="21"/>
                <w:szCs w:val="21"/>
              </w:rPr>
              <w:t xml:space="preserve">50%</w:t>
            </w:r>
          </w:p>
        </w:tc>
        <w:tc>
          <w:tcPr>
            <w:shd w:fill="FFFFFF" w:val="clear"/>
            <w:tcMar>
              <w:top w:type="dxa" w:w="60"/>
              <w:left w:type="dxa" w:w="120"/>
              <w:bottom w:type="dxa" w:w="60"/>
              <w:right w:type="dxa" w:w="120"/>
            </w:tcMar>
          </w:tcPr>
          <w:p>
            <w:r>
              <w:rPr>
                <w:rFonts w:ascii="Calibri" w:eastAsia="Microsoft YaHei"/>
                <w:color w:val="000000"/>
                <w:sz w:val="21"/>
                <w:szCs w:val="21"/>
              </w:rPr>
              <w:t xml:space="preserve">50%</w:t>
            </w:r>
          </w:p>
        </w:tc>
        <w:tc>
          <w:tcPr>
            <w:shd w:fill="FFFFFF" w:val="clear"/>
            <w:tcMar>
              <w:top w:type="dxa" w:w="60"/>
              <w:left w:type="dxa" w:w="120"/>
              <w:bottom w:type="dxa" w:w="60"/>
              <w:right w:type="dxa" w:w="120"/>
            </w:tcMar>
          </w:tcPr>
          <w:p>
            <w:r>
              <w:rPr>
                <w:rFonts w:ascii="Calibri" w:eastAsia="Microsoft YaHei"/>
                <w:color w:val="000000"/>
                <w:sz w:val="21"/>
                <w:szCs w:val="21"/>
              </w:rPr>
              <w:t xml:space="preserve">案例分析 + 風險報告撰寫</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高級 Fellow</w:t>
            </w:r>
          </w:p>
        </w:tc>
        <w:tc>
          <w:tcPr>
            <w:shd w:fill="F8F0EB" w:val="clear"/>
            <w:tcMar>
              <w:top w:type="dxa" w:w="60"/>
              <w:left w:type="dxa" w:w="120"/>
              <w:bottom w:type="dxa" w:w="60"/>
              <w:right w:type="dxa" w:w="120"/>
            </w:tcMar>
          </w:tcPr>
          <w:p>
            <w:r>
              <w:rPr>
                <w:rFonts w:ascii="Calibri" w:eastAsia="Microsoft YaHei"/>
                <w:color w:val="000000"/>
                <w:sz w:val="21"/>
                <w:szCs w:val="21"/>
              </w:rPr>
              <w:t xml:space="preserve">30%</w:t>
            </w:r>
          </w:p>
        </w:tc>
        <w:tc>
          <w:tcPr>
            <w:shd w:fill="F8F0EB" w:val="clear"/>
            <w:tcMar>
              <w:top w:type="dxa" w:w="60"/>
              <w:left w:type="dxa" w:w="120"/>
              <w:bottom w:type="dxa" w:w="60"/>
              <w:right w:type="dxa" w:w="120"/>
            </w:tcMar>
          </w:tcPr>
          <w:p>
            <w:r>
              <w:rPr>
                <w:rFonts w:ascii="Calibri" w:eastAsia="Microsoft YaHei"/>
                <w:color w:val="000000"/>
                <w:sz w:val="21"/>
                <w:szCs w:val="21"/>
              </w:rPr>
              <w:t xml:space="preserve">70%</w:t>
            </w:r>
          </w:p>
        </w:tc>
        <w:tc>
          <w:tcPr>
            <w:shd w:fill="F8F0EB" w:val="clear"/>
            <w:tcMar>
              <w:top w:type="dxa" w:w="60"/>
              <w:left w:type="dxa" w:w="120"/>
              <w:bottom w:type="dxa" w:w="60"/>
              <w:right w:type="dxa" w:w="120"/>
            </w:tcMar>
          </w:tcPr>
          <w:p>
            <w:r>
              <w:rPr>
                <w:rFonts w:ascii="Calibri" w:eastAsia="Microsoft YaHei"/>
                <w:color w:val="000000"/>
                <w:sz w:val="21"/>
                <w:szCs w:val="21"/>
              </w:rPr>
              <w:t xml:space="preserve">專題研究報告 + 對岩答辩</w:t>
            </w:r>
          </w:p>
        </w:tc>
      </w:tr>
    </w:tbl>
    <w:p>
      <w:pPr>
        <w:spacing w:before="80"/>
      </w:pPr>
    </w:p>
    <w:p>
      <w:pPr>
        <w:pStyle w:val="Heading2"/>
        <w:spacing w:after="120" w:before="240" w:line="312"/>
      </w:pPr>
      <w:r>
        <w:rPr>
          <w:rFonts w:ascii="Calibri" w:eastAsia="SimHei"/>
          <w:b/>
          <w:bCs/>
          <w:color w:val="000000"/>
          <w:sz w:val="28"/>
          <w:szCs w:val="28"/>
        </w:rPr>
        <w:t xml:space="preserve">4.2 升級與服務</w:t>
      </w:r>
    </w:p>
    <w:p>
      <w:pPr>
        <w:spacing w:line="312"/>
        <w:ind w:firstLine="480"/>
        <w:jc w:val="both"/>
      </w:pPr>
      <w:r>
        <w:rPr>
          <w:rFonts w:ascii="Calibri" w:eastAsia="Microsoft YaHei"/>
          <w:color w:val="000000"/>
          <w:sz w:val="24"/>
          <w:szCs w:val="24"/>
        </w:rPr>
        <w:t xml:space="preserve">認可有效期為两年，到期後需進行續期考核。續期方式為提交專業發展報告或參加進修課程，確保認可顧問的專業知識與行業發展保持同步。這個制度的設計既能保證認可的時效性，又能推動顧問持續學習和成長。同時，續期考核也是一個重要的觸點，可以過濾經緊營運狀況不佳的團隊成員，維護整體服務品質。</w:t>
      </w:r>
    </w:p>
    <w:p>
      <w:pPr>
        <w:pStyle w:val="Heading1"/>
        <w:spacing w:after="160" w:before="360" w:line="312"/>
      </w:pPr>
      <w:r>
        <w:rPr>
          <w:rFonts w:ascii="Calibri" w:eastAsia="SimHei"/>
          <w:b/>
          <w:bCs/>
          <w:color w:val="000000"/>
          <w:sz w:val="32"/>
          <w:szCs w:val="32"/>
        </w:rPr>
        <w:t xml:space="preserve">五、與現有會員體系的整合</w:t>
      </w:r>
    </w:p>
    <w:p>
      <w:pPr>
        <w:pStyle w:val="Heading2"/>
        <w:spacing w:after="120" w:before="240" w:line="312"/>
      </w:pPr>
      <w:r>
        <w:rPr>
          <w:rFonts w:ascii="Calibri" w:eastAsia="SimHei"/>
          <w:b/>
          <w:bCs/>
          <w:color w:val="000000"/>
          <w:sz w:val="28"/>
          <w:szCs w:val="28"/>
        </w:rPr>
        <w:t xml:space="preserve">5.1 對應關係</w:t>
      </w:r>
    </w:p>
    <w:p>
      <w:pPr>
        <w:spacing w:line="312"/>
        <w:ind w:firstLine="480"/>
        <w:jc w:val="both"/>
      </w:pPr>
      <w:r>
        <w:rPr>
          <w:rFonts w:ascii="Calibri" w:eastAsia="Microsoft YaHei"/>
          <w:color w:val="000000"/>
          <w:sz w:val="24"/>
          <w:szCs w:val="24"/>
        </w:rPr>
        <w:t xml:space="preserve">MCFOA 認可體制與現有 MCLUB 會員體系的整合是整個方案的核心優勢。現有的 VFK 四種方案和 MCLUB 會員級別已經建立了完善的客戶分層結構，MCFOA 認可只是在這個結構之上增加專業資格的認可層。這意味著現有會員不需要額外投入時間和金錢去另外考取獨立的認可，而是在此步階級到時自然地獲得相應級別的專業認可。</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VFK 方案</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投資金額</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BV 積分</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MCLUB 會員</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MCFOA 對應</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方案一</w:t>
            </w:r>
          </w:p>
        </w:tc>
        <w:tc>
          <w:tcPr>
            <w:shd w:fill="F8F0EB" w:val="clear"/>
            <w:tcMar>
              <w:top w:type="dxa" w:w="60"/>
              <w:left w:type="dxa" w:w="120"/>
              <w:bottom w:type="dxa" w:w="60"/>
              <w:right w:type="dxa" w:w="120"/>
            </w:tcMar>
          </w:tcPr>
          <w:p>
            <w:r>
              <w:rPr>
                <w:rFonts w:ascii="Calibri" w:eastAsia="Microsoft YaHei"/>
                <w:color w:val="000000"/>
                <w:sz w:val="21"/>
                <w:szCs w:val="21"/>
              </w:rPr>
              <w:t xml:space="preserve">$1,980</w:t>
            </w:r>
          </w:p>
        </w:tc>
        <w:tc>
          <w:tcPr>
            <w:shd w:fill="F8F0EB" w:val="clear"/>
            <w:tcMar>
              <w:top w:type="dxa" w:w="60"/>
              <w:left w:type="dxa" w:w="120"/>
              <w:bottom w:type="dxa" w:w="60"/>
              <w:right w:type="dxa" w:w="120"/>
            </w:tcMar>
          </w:tcPr>
          <w:p>
            <w:r>
              <w:rPr>
                <w:rFonts w:ascii="Calibri" w:eastAsia="Microsoft YaHei"/>
                <w:color w:val="000000"/>
                <w:sz w:val="21"/>
                <w:szCs w:val="21"/>
              </w:rPr>
              <w:t xml:space="preserve">150 BV</w:t>
            </w:r>
          </w:p>
        </w:tc>
        <w:tc>
          <w:tcPr>
            <w:shd w:fill="F8F0EB" w:val="clear"/>
            <w:tcMar>
              <w:top w:type="dxa" w:w="60"/>
              <w:left w:type="dxa" w:w="120"/>
              <w:bottom w:type="dxa" w:w="60"/>
              <w:right w:type="dxa" w:w="120"/>
            </w:tcMar>
          </w:tcPr>
          <w:p>
            <w:r>
              <w:rPr>
                <w:rFonts w:ascii="Calibri" w:eastAsia="Microsoft YaHei"/>
                <w:color w:val="000000"/>
                <w:sz w:val="21"/>
                <w:szCs w:val="21"/>
              </w:rPr>
              <w:t xml:space="preserve">Plan A 入門級</w:t>
            </w:r>
          </w:p>
        </w:tc>
        <w:tc>
          <w:tcPr>
            <w:shd w:fill="F8F0EB" w:val="clear"/>
            <w:tcMar>
              <w:top w:type="dxa" w:w="60"/>
              <w:left w:type="dxa" w:w="120"/>
              <w:bottom w:type="dxa" w:w="60"/>
              <w:right w:type="dxa" w:w="120"/>
            </w:tcMar>
          </w:tcPr>
          <w:p>
            <w:r>
              <w:rPr>
                <w:rFonts w:ascii="Calibri" w:eastAsia="Microsoft YaHei"/>
                <w:color w:val="000000"/>
                <w:sz w:val="21"/>
                <w:szCs w:val="21"/>
              </w:rPr>
              <w:t xml:space="preserve">可申請 Associate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方案二</w:t>
            </w:r>
          </w:p>
        </w:tc>
        <w:tc>
          <w:tcPr>
            <w:shd w:fill="FFFFFF" w:val="clear"/>
            <w:tcMar>
              <w:top w:type="dxa" w:w="60"/>
              <w:left w:type="dxa" w:w="120"/>
              <w:bottom w:type="dxa" w:w="60"/>
              <w:right w:type="dxa" w:w="120"/>
            </w:tcMar>
          </w:tcPr>
          <w:p>
            <w:r>
              <w:rPr>
                <w:rFonts w:ascii="Calibri" w:eastAsia="Microsoft YaHei"/>
                <w:color w:val="000000"/>
                <w:sz w:val="21"/>
                <w:szCs w:val="21"/>
              </w:rPr>
              <w:t xml:space="preserve">$8,800</w:t>
            </w:r>
          </w:p>
        </w:tc>
        <w:tc>
          <w:tcPr>
            <w:shd w:fill="FFFFFF" w:val="clear"/>
            <w:tcMar>
              <w:top w:type="dxa" w:w="60"/>
              <w:left w:type="dxa" w:w="120"/>
              <w:bottom w:type="dxa" w:w="60"/>
              <w:right w:type="dxa" w:w="120"/>
            </w:tcMar>
          </w:tcPr>
          <w:p>
            <w:r>
              <w:rPr>
                <w:rFonts w:ascii="Calibri" w:eastAsia="Microsoft YaHei"/>
                <w:color w:val="000000"/>
                <w:sz w:val="21"/>
                <w:szCs w:val="21"/>
              </w:rPr>
              <w:t xml:space="preserve">750 BV</w:t>
            </w:r>
          </w:p>
        </w:tc>
        <w:tc>
          <w:tcPr>
            <w:shd w:fill="FFFFFF" w:val="clear"/>
            <w:tcMar>
              <w:top w:type="dxa" w:w="60"/>
              <w:left w:type="dxa" w:w="120"/>
              <w:bottom w:type="dxa" w:w="60"/>
              <w:right w:type="dxa" w:w="120"/>
            </w:tcMar>
          </w:tcPr>
          <w:p>
            <w:r>
              <w:rPr>
                <w:rFonts w:ascii="Calibri" w:eastAsia="Microsoft YaHei"/>
                <w:color w:val="000000"/>
                <w:sz w:val="21"/>
                <w:szCs w:val="21"/>
              </w:rPr>
              <w:t xml:space="preserve">Plan B 進階級</w:t>
            </w:r>
          </w:p>
        </w:tc>
        <w:tc>
          <w:tcPr>
            <w:shd w:fill="FFFFFF" w:val="clear"/>
            <w:tcMar>
              <w:top w:type="dxa" w:w="60"/>
              <w:left w:type="dxa" w:w="120"/>
              <w:bottom w:type="dxa" w:w="60"/>
              <w:right w:type="dxa" w:w="120"/>
            </w:tcMar>
          </w:tcPr>
          <w:p>
            <w:r>
              <w:rPr>
                <w:rFonts w:ascii="Calibri" w:eastAsia="Microsoft YaHei"/>
                <w:color w:val="000000"/>
                <w:sz w:val="21"/>
                <w:szCs w:val="21"/>
              </w:rPr>
              <w:t xml:space="preserve">可申請 Associate</w:t>
            </w:r>
          </w:p>
        </w:tc>
      </w:tr>
      <w:tr>
        <w:trPr>
          <w:cantSplit/>
        </w:trPr>
        <w:tc>
          <w:tcPr>
            <w:shd w:fill="F8F0EB" w:val="clear"/>
            <w:tcMar>
              <w:top w:type="dxa" w:w="60"/>
              <w:left w:type="dxa" w:w="120"/>
              <w:bottom w:type="dxa" w:w="60"/>
              <w:right w:type="dxa" w:w="120"/>
            </w:tcMar>
          </w:tcPr>
          <w:p>
            <w:r>
              <w:rPr>
                <w:rFonts w:ascii="Calibri" w:eastAsia="Microsoft YaHei"/>
                <w:color w:val="000000"/>
                <w:sz w:val="21"/>
                <w:szCs w:val="21"/>
              </w:rPr>
              <w:t xml:space="preserve">方案三</w:t>
            </w:r>
          </w:p>
        </w:tc>
        <w:tc>
          <w:tcPr>
            <w:shd w:fill="F8F0EB" w:val="clear"/>
            <w:tcMar>
              <w:top w:type="dxa" w:w="60"/>
              <w:left w:type="dxa" w:w="120"/>
              <w:bottom w:type="dxa" w:w="60"/>
              <w:right w:type="dxa" w:w="120"/>
            </w:tcMar>
          </w:tcPr>
          <w:p>
            <w:r>
              <w:rPr>
                <w:rFonts w:ascii="Calibri" w:eastAsia="Microsoft YaHei"/>
                <w:color w:val="000000"/>
                <w:sz w:val="21"/>
                <w:szCs w:val="21"/>
              </w:rPr>
              <w:t xml:space="preserve">$16,800</w:t>
            </w:r>
          </w:p>
        </w:tc>
        <w:tc>
          <w:tcPr>
            <w:shd w:fill="F8F0EB" w:val="clear"/>
            <w:tcMar>
              <w:top w:type="dxa" w:w="60"/>
              <w:left w:type="dxa" w:w="120"/>
              <w:bottom w:type="dxa" w:w="60"/>
              <w:right w:type="dxa" w:w="120"/>
            </w:tcMar>
          </w:tcPr>
          <w:p>
            <w:r>
              <w:rPr>
                <w:rFonts w:ascii="Calibri" w:eastAsia="Microsoft YaHei"/>
                <w:color w:val="000000"/>
                <w:sz w:val="21"/>
                <w:szCs w:val="21"/>
              </w:rPr>
              <w:t xml:space="preserve">1,500 BV</w:t>
            </w:r>
          </w:p>
        </w:tc>
        <w:tc>
          <w:tcPr>
            <w:shd w:fill="F8F0EB" w:val="clear"/>
            <w:tcMar>
              <w:top w:type="dxa" w:w="60"/>
              <w:left w:type="dxa" w:w="120"/>
              <w:bottom w:type="dxa" w:w="60"/>
              <w:right w:type="dxa" w:w="120"/>
            </w:tcMar>
          </w:tcPr>
          <w:p>
            <w:r>
              <w:rPr>
                <w:rFonts w:ascii="Calibri" w:eastAsia="Microsoft YaHei"/>
                <w:color w:val="000000"/>
                <w:sz w:val="21"/>
                <w:szCs w:val="21"/>
              </w:rPr>
              <w:t xml:space="preserve">Plan B+ 中高級</w:t>
            </w:r>
          </w:p>
        </w:tc>
        <w:tc>
          <w:tcPr>
            <w:shd w:fill="F8F0EB" w:val="clear"/>
            <w:tcMar>
              <w:top w:type="dxa" w:w="60"/>
              <w:left w:type="dxa" w:w="120"/>
              <w:bottom w:type="dxa" w:w="60"/>
              <w:right w:type="dxa" w:w="120"/>
            </w:tcMar>
          </w:tcPr>
          <w:p>
            <w:r>
              <w:rPr>
                <w:rFonts w:ascii="Calibri" w:eastAsia="Microsoft YaHei"/>
                <w:color w:val="000000"/>
                <w:sz w:val="21"/>
                <w:szCs w:val="21"/>
              </w:rPr>
              <w:t xml:space="preserve">可申請 Professional</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方案四</w:t>
            </w:r>
          </w:p>
        </w:tc>
        <w:tc>
          <w:tcPr>
            <w:shd w:fill="FFFFFF" w:val="clear"/>
            <w:tcMar>
              <w:top w:type="dxa" w:w="60"/>
              <w:left w:type="dxa" w:w="120"/>
              <w:bottom w:type="dxa" w:w="60"/>
              <w:right w:type="dxa" w:w="120"/>
            </w:tcMar>
          </w:tcPr>
          <w:p>
            <w:r>
              <w:rPr>
                <w:rFonts w:ascii="Calibri" w:eastAsia="Microsoft YaHei"/>
                <w:color w:val="000000"/>
                <w:sz w:val="21"/>
                <w:szCs w:val="21"/>
              </w:rPr>
              <w:t xml:space="preserve">$33,800</w:t>
            </w:r>
          </w:p>
        </w:tc>
        <w:tc>
          <w:tcPr>
            <w:shd w:fill="FFFFFF" w:val="clear"/>
            <w:tcMar>
              <w:top w:type="dxa" w:w="60"/>
              <w:left w:type="dxa" w:w="120"/>
              <w:bottom w:type="dxa" w:w="60"/>
              <w:right w:type="dxa" w:w="120"/>
            </w:tcMar>
          </w:tcPr>
          <w:p>
            <w:r>
              <w:rPr>
                <w:rFonts w:ascii="Calibri" w:eastAsia="Microsoft YaHei"/>
                <w:color w:val="000000"/>
                <w:sz w:val="21"/>
                <w:szCs w:val="21"/>
              </w:rPr>
              <w:t xml:space="preserve">3,000 BV</w:t>
            </w:r>
          </w:p>
        </w:tc>
        <w:tc>
          <w:tcPr>
            <w:shd w:fill="FFFFFF" w:val="clear"/>
            <w:tcMar>
              <w:top w:type="dxa" w:w="60"/>
              <w:left w:type="dxa" w:w="120"/>
              <w:bottom w:type="dxa" w:w="60"/>
              <w:right w:type="dxa" w:w="120"/>
            </w:tcMar>
          </w:tcPr>
          <w:p>
            <w:r>
              <w:rPr>
                <w:rFonts w:ascii="Calibri" w:eastAsia="Microsoft YaHei"/>
                <w:color w:val="000000"/>
                <w:sz w:val="21"/>
                <w:szCs w:val="21"/>
              </w:rPr>
              <w:t xml:space="preserve">Plan C 高端</w:t>
            </w:r>
          </w:p>
        </w:tc>
        <w:tc>
          <w:tcPr>
            <w:shd w:fill="FFFFFF" w:val="clear"/>
            <w:tcMar>
              <w:top w:type="dxa" w:w="60"/>
              <w:left w:type="dxa" w:w="120"/>
              <w:bottom w:type="dxa" w:w="60"/>
              <w:right w:type="dxa" w:w="120"/>
            </w:tcMar>
          </w:tcPr>
          <w:p>
            <w:r>
              <w:rPr>
                <w:rFonts w:ascii="Calibri" w:eastAsia="Microsoft YaHei"/>
                <w:color w:val="000000"/>
                <w:sz w:val="21"/>
                <w:szCs w:val="21"/>
              </w:rPr>
              <w:t xml:space="preserve">可申請 Fellow</w:t>
            </w:r>
          </w:p>
        </w:tc>
      </w:tr>
    </w:tbl>
    <w:p>
      <w:pPr>
        <w:spacing w:before="80"/>
      </w:pPr>
    </w:p>
    <w:p>
      <w:pPr>
        <w:pStyle w:val="Heading2"/>
        <w:spacing w:after="120" w:before="240" w:line="312"/>
      </w:pPr>
      <w:r>
        <w:rPr>
          <w:rFonts w:ascii="Calibri" w:eastAsia="SimHei"/>
          <w:b/>
          <w:bCs/>
          <w:color w:val="000000"/>
          <w:sz w:val="28"/>
          <w:szCs w:val="28"/>
        </w:rPr>
        <w:t xml:space="preserve">5.2 詳細整合方式</w:t>
      </w:r>
    </w:p>
    <w:p>
      <w:pPr>
        <w:spacing w:line="312"/>
        <w:ind w:firstLine="480"/>
        <w:jc w:val="both"/>
      </w:pPr>
      <w:r>
        <w:rPr>
          <w:rFonts w:ascii="Calibri" w:eastAsia="Microsoft YaHei"/>
          <w:color w:val="000000"/>
          <w:sz w:val="24"/>
          <w:szCs w:val="24"/>
        </w:rPr>
        <w:t xml:space="preserve">在實際運作中，認可的申請和审核可以通過 MCLUB CRM 平台實現。現有的 CRM 系統已經包含客戶管理、訂單管理、产品管理、佣金管理等功能模塊，只需在現有架構上新增一個「認可管理」模塊，即可實現認可申請、审核、發證和續期管理的全流程數位化。這樣不僅能提高運營效率，還能通過 CRM 平台的數據分析功能，追蹤認可顧問的服務表現和客戶反饋。</w:t>
      </w:r>
    </w:p>
    <w:p>
      <w:pPr>
        <w:pStyle w:val="Heading1"/>
        <w:spacing w:after="160" w:before="360" w:line="312"/>
      </w:pPr>
      <w:r>
        <w:rPr>
          <w:rFonts w:ascii="Calibri" w:eastAsia="SimHei"/>
          <w:b/>
          <w:bCs/>
          <w:color w:val="000000"/>
          <w:sz w:val="32"/>
          <w:szCs w:val="32"/>
        </w:rPr>
        <w:t xml:space="preserve">六、實施路徑建議</w:t>
      </w:r>
    </w:p>
    <w:p>
      <w:pPr>
        <w:pStyle w:val="Heading2"/>
        <w:spacing w:after="120" w:before="240" w:line="312"/>
      </w:pPr>
      <w:r>
        <w:rPr>
          <w:rFonts w:ascii="Calibri" w:eastAsia="SimHei"/>
          <w:b/>
          <w:bCs/>
          <w:color w:val="000000"/>
          <w:sz w:val="28"/>
          <w:szCs w:val="28"/>
        </w:rPr>
        <w:t xml:space="preserve">6.1 短期行動（第一阶段：1–3 個月）</w:t>
      </w:r>
    </w:p>
    <w:p>
      <w:pPr>
        <w:spacing w:line="312"/>
        <w:ind w:firstLine="480"/>
        <w:jc w:val="both"/>
      </w:pPr>
      <w:r>
        <w:rPr>
          <w:rFonts w:ascii="Calibri" w:eastAsia="Microsoft YaHei"/>
          <w:color w:val="000000"/>
          <w:sz w:val="24"/>
          <w:szCs w:val="24"/>
        </w:rPr>
        <w:t xml:space="preserve">短期行動的重點是確立認可體制的核心框架和基礎課程內容。首先需要完成初級課程的教材開發，包括 PZC Group 簡介、VFK 產品知識、客戶服務流程和團隊運營基礎等模塊。同時，需要在 MCLUB CRM 平台上新增認可管理模塊，實現基本的申請、审核和發證功能。建議先選擇一小批內部測試用戶進行試點，收集反饋後再進行調整和優化。</w:t>
      </w:r>
    </w:p>
    <w:p>
      <w:pPr>
        <w:pStyle w:val="Heading2"/>
        <w:spacing w:after="120" w:before="240" w:line="312"/>
      </w:pPr>
      <w:r>
        <w:rPr>
          <w:rFonts w:ascii="Calibri" w:eastAsia="SimHei"/>
          <w:b/>
          <w:bCs/>
          <w:color w:val="000000"/>
          <w:sz w:val="28"/>
          <w:szCs w:val="28"/>
        </w:rPr>
        <w:t xml:space="preserve">6.2 中期發展（第二阶段：3–6 個月）</w:t>
      </w:r>
    </w:p>
    <w:p>
      <w:pPr>
        <w:spacing w:line="312"/>
        <w:ind w:firstLine="480"/>
        <w:jc w:val="both"/>
      </w:pPr>
      <w:r>
        <w:rPr>
          <w:rFonts w:ascii="Calibri" w:eastAsia="Microsoft YaHei"/>
          <w:color w:val="000000"/>
          <w:sz w:val="24"/>
          <w:szCs w:val="24"/>
        </w:rPr>
        <w:t xml:space="preserve">中期發展階段將推出中級和高級課程，並建立完整的考評體系。同時，可以考慮將認可體制向外部合作伙伴開放，例如同行業的健康產品推廣平台或財富管理服務提供者。這個階段的重點工作包括：開發中級教材（包含 FX Risk Modelling 實務教材）、設計並實施筆試和實務考評流程、建立考試題庫和評分標準、在 CRM 平台上完善認可續期管理功能。</w:t>
      </w:r>
    </w:p>
    <w:p>
      <w:pPr>
        <w:pStyle w:val="Heading2"/>
        <w:spacing w:after="120" w:before="240" w:line="312"/>
      </w:pPr>
      <w:r>
        <w:rPr>
          <w:rFonts w:ascii="Calibri" w:eastAsia="SimHei"/>
          <w:b/>
          <w:bCs/>
          <w:color w:val="000000"/>
          <w:sz w:val="28"/>
          <w:szCs w:val="28"/>
        </w:rPr>
        <w:t xml:space="preserve">6.3 長期目標（第三阶段：6 個月以後）</w:t>
      </w:r>
    </w:p>
    <w:p>
      <w:pPr>
        <w:spacing w:line="312"/>
        <w:ind w:firstLine="480"/>
        <w:jc w:val="both"/>
      </w:pPr>
      <w:r>
        <w:rPr>
          <w:rFonts w:ascii="Calibri" w:eastAsia="Microsoft YaHei"/>
          <w:color w:val="000000"/>
          <w:sz w:val="24"/>
          <w:szCs w:val="24"/>
        </w:rPr>
        <w:t xml:space="preserve">長期目標是將 MCFOA 打造成為家族辦公室行業內具公識度的專業認可品牌。可以考慮尋求學術機構合作，如香港大學專業進修學院（HKU SPACE）或城市大學專業進修學院，合作開諮 MCFOA 認可課程，提升認可的學術公信力。另外，也可以探索區塊鏈認證技術，以數位證書的形式發行 MCFOA 認可，提高驗證效率和防偽能力。</w:t>
      </w:r>
    </w:p>
    <w:p>
      <w:pPr>
        <w:pStyle w:val="Heading1"/>
        <w:spacing w:after="160" w:before="360" w:line="312"/>
      </w:pPr>
      <w:r>
        <w:rPr>
          <w:rFonts w:ascii="Calibri" w:eastAsia="SimHei"/>
          <w:b/>
          <w:bCs/>
          <w:color w:val="000000"/>
          <w:sz w:val="32"/>
          <w:szCs w:val="32"/>
        </w:rPr>
        <w:t xml:space="preserve">七、注意事項</w:t>
      </w:r>
    </w:p>
    <w:p>
      <w:pPr>
        <w:pStyle w:val="Heading2"/>
        <w:spacing w:after="120" w:before="240" w:line="312"/>
      </w:pPr>
      <w:r>
        <w:rPr>
          <w:rFonts w:ascii="Calibri" w:eastAsia="SimHei"/>
          <w:b/>
          <w:bCs/>
          <w:color w:val="000000"/>
          <w:sz w:val="28"/>
          <w:szCs w:val="28"/>
        </w:rPr>
        <w:t xml:space="preserve">7.1 監管合規</w:t>
      </w:r>
    </w:p>
    <w:p>
      <w:pPr>
        <w:spacing w:line="312"/>
        <w:ind w:firstLine="480"/>
        <w:jc w:val="both"/>
      </w:pPr>
      <w:r>
        <w:rPr>
          <w:rFonts w:ascii="Calibri" w:eastAsia="Microsoft YaHei"/>
          <w:color w:val="000000"/>
          <w:sz w:val="24"/>
          <w:szCs w:val="24"/>
        </w:rPr>
        <w:t xml:space="preserve">在建立認可體制時，必須特別注意香港對金融監管的規定。MCFOA 認可並不等同於 SFC 持牌的金融服務，因此在課程內容和宣傳中必須明確劃定边界。具體而言，MCFOA 認可顧問不應提供需要 SFC 牌照才能提供的服務，例如證券投資建議、促銷集鹊投資計劃等。課程內容應以知識傳授和專業技能培養為主，而非直接提供投資建議服務。建議在正式推出前詳細誋詢法律顧問的意見，確保整個認可體制在監管合規的安全範圍內運作。</w:t>
      </w:r>
    </w:p>
    <w:p>
      <w:pPr>
        <w:pStyle w:val="Heading2"/>
        <w:spacing w:after="120" w:before="240" w:line="312"/>
      </w:pPr>
      <w:r>
        <w:rPr>
          <w:rFonts w:ascii="Calibri" w:eastAsia="SimHei"/>
          <w:b/>
          <w:bCs/>
          <w:color w:val="000000"/>
          <w:sz w:val="28"/>
          <w:szCs w:val="28"/>
        </w:rPr>
        <w:t xml:space="preserve">7.2 品牌差異化</w:t>
      </w:r>
    </w:p>
    <w:p>
      <w:pPr>
        <w:spacing w:line="312"/>
        <w:ind w:firstLine="480"/>
        <w:jc w:val="both"/>
      </w:pPr>
      <w:r>
        <w:rPr>
          <w:rFonts w:ascii="Calibri" w:eastAsia="Microsoft YaHei"/>
          <w:color w:val="000000"/>
          <w:sz w:val="24"/>
          <w:szCs w:val="24"/>
        </w:rPr>
        <w:t xml:space="preserve">MCFOA 認可體制的成功取決於其能否與市場上其他理財認可（如 CFP、IFP、RFP 等）形成明確差異化。「健康財富合一」的定位是最核心的差異化資產，但還需要在宣傳和教材中不断強化這個概念。建議在課程設計中突出 VFK 健康食品推廣計劃的實際運作經驗、FX Risk Modelling 的犬家技術優勢，以及 MCLUB CRM 平台的數位化運營能力，讓學員感受到這個認可的實用價值和独特性。</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000000"/>
      <w:sz w:val="32"/>
      <w:szCs w:val="32"/>
    </w:rPr>
  </w:style>
  <w:style w:type="paragraph" w:styleId="Heading2">
    <w:name w:val="Heading 2"/>
    <w:basedOn w:val="Normal"/>
    <w:next w:val="Normal"/>
    <w:qFormat/>
    <w:pPr>
      <w:spacing w:after="120" w:before="240" w:line="312"/>
    </w:pPr>
    <w:rPr>
      <w:rFonts w:ascii="Calibri" w:eastAsia="SimHei"/>
      <w:b/>
      <w:bCs/>
      <w:color w:val="000000"/>
      <w:sz w:val="28"/>
      <w:szCs w:val="28"/>
    </w:rPr>
  </w:style>
  <w:style w:type="paragraph" w:styleId="Heading3">
    <w:name w:val="Heading 3"/>
    <w:basedOn w:val="Normal"/>
    <w:next w:val="Normal"/>
    <w:qFormat/>
    <w:pPr>
      <w:spacing w:after="100" w:before="200" w:line="312"/>
    </w:pPr>
    <w:rPr>
      <w:rFonts w:ascii="Calibri" w:eastAsia="SimHei"/>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2026-06-09T03:11:11.902Z</dcterms:created>
  <dcterms:modified xsi:type="dcterms:W3CDTF">2026-06-09T03:11:11.902Z</dcterms:modified>
</cp:coreProperties>
</file>

<file path=docProps/custom.xml><?xml version="1.0" encoding="utf-8"?>
<Properties xmlns="http://schemas.openxmlformats.org/officeDocument/2006/custom-properties" xmlns:vt="http://schemas.openxmlformats.org/officeDocument/2006/docPropsVTypes"/>
</file>