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Borders>
              <w:top w:val="none" w:color="FFFFFF" w:sz="0"/>
              <w:left w:val="none" w:color="FFFFFF" w:sz="0"/>
              <w:bottom w:val="none" w:color="FFFFFF" w:sz="0"/>
              <w:right w:val="none" w:color="FFFFFF" w:sz="0"/>
            </w:tcBorders>
            <w:shd w:fill="1A1A1A" w:val="clear"/>
            <w:tcMar>
              <w:left w:type="dxa" w:w="1440"/>
              <w:right w:type="dxa" w:w="1440"/>
            </w:tcMar>
            <w:vAlign w:val="top"/>
          </w:tcPr>
          <w:p>
            <w:pPr>
              <w:spacing w:before="4800"/>
            </w:pPr>
          </w:p>
          <w:p>
            <w:pPr>
              <w:pBdr>
                <w:bottom w:val="single" w:color="C9A84C" w:sz="12" w:space="12"/>
              </w:pBdr>
              <w:spacing w:after="400"/>
              <w:ind w:left="0" w:right="5000"/>
            </w:pPr>
          </w:p>
          <w:p>
            <w:pPr>
              <w:spacing w:after="100" w:line="828" w:lineRule="atLeast"/>
            </w:pPr>
            <w:r>
              <w:rPr>
                <w:rFonts w:ascii="Times New Roman" w:eastAsia="SimHei"/>
                <w:b/>
                <w:bCs/>
                <w:color w:val="FFFFFF"/>
                <w:sz w:val="72"/>
                <w:szCs w:val="72"/>
              </w:rPr>
              <w:t xml:space="preserve">匯率壓力測試報告</w:t>
            </w:r>
          </w:p>
          <w:p>
            <w:pPr>
              <w:spacing w:after="300" w:line="480" w:lineRule="atLeast"/>
            </w:pPr>
            <w:r>
              <w:rPr>
                <w:rFonts w:ascii="Times New Roman" w:eastAsia="Microsoft YaHei"/>
                <w:color w:val="B0B8C0"/>
                <w:sz w:val="32"/>
                <w:szCs w:val="32"/>
              </w:rPr>
              <w:t xml:space="preserve">FX Stress Test Report</w:t>
            </w:r>
          </w:p>
          <w:p>
            <w:pPr>
              <w:pBdr>
                <w:bottom w:val="single" w:color="C9A84C" w:sz="6" w:space="20"/>
              </w:pBdr>
              <w:spacing w:after="600"/>
              <w:ind w:left="0" w:right="5000"/>
            </w:pPr>
          </w:p>
          <w:p>
            <w:pPr>
              <w:spacing w:after="40" w:line="400" w:lineRule="atLeast"/>
            </w:pPr>
            <w:r>
              <w:rPr>
                <w:rFonts w:ascii="Times New Roman" w:eastAsia="Microsoft YaHei"/>
                <w:color w:val="90989F"/>
                <w:sz w:val="22"/>
                <w:szCs w:val="22"/>
              </w:rPr>
              <w:t xml:space="preserve">MCLUB 百盛大通家族辦公室</w:t>
            </w:r>
          </w:p>
          <w:p>
            <w:pPr>
              <w:spacing w:after="40" w:line="400" w:lineRule="atLeast"/>
            </w:pPr>
            <w:r>
              <w:rPr>
                <w:rFonts w:ascii="Times New Roman" w:eastAsia="Microsoft YaHei"/>
                <w:color w:val="90989F"/>
                <w:sz w:val="22"/>
                <w:szCs w:val="22"/>
              </w:rPr>
              <w:t xml:space="preserve">FX Risk Modeling Service — 產品 1</w:t>
            </w:r>
          </w:p>
          <w:p>
            <w:pPr>
              <w:spacing w:after="40" w:line="400" w:lineRule="atLeast"/>
            </w:pPr>
            <w:r>
              <w:rPr>
                <w:rFonts w:ascii="Times New Roman" w:eastAsia="Microsoft YaHei"/>
                <w:color w:val="90989F"/>
                <w:sz w:val="22"/>
                <w:szCs w:val="22"/>
              </w:rPr>
              <w:t xml:space="preserve">2026 年 6 月</w:t>
            </w:r>
          </w:p>
          <w:p>
            <w:pPr>
              <w:spacing w:before="2000"/>
            </w:pPr>
          </w:p>
          <w:p>
            <w:r>
              <w:rPr>
                <w:rFonts w:ascii="Times New Roman" w:eastAsia="Microsoft YaHei"/>
                <w:i/>
                <w:iCs/>
                <w:color w:val="687078"/>
                <w:sz w:val="18"/>
                <w:szCs w:val="18"/>
              </w:rPr>
              <w:t xml:space="preserve">CONFIDENTIAL</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eastAsia="SimHei"/>
          <w:b/>
          <w:bCs/>
          <w:sz w:val="32"/>
          <w:szCs w:val="32"/>
        </w:rPr>
        <w:t xml:space="preserve">目  錄</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章節一、執行摘要</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章節二、背景與市場情境</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匯率風險的現實威脅</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監管要求與合規驅動</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章節三、壓力測試方法論架</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3.1 壓力測試的核心原理</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3.2 三層情境架構</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3.3 歷史參照情境</w:t>
            </w:r>
            <w:r>
              <w:tab/>
            </w:r>
            <w:r>
              <w:fldChar w:fldCharType="begin"/>
            </w:r>
            <w:r>
              <w:instrText xml:space="preserve"> PAGEREF _Toc100007 \h </w:instrText>
            </w:r>
            <w:r>
              <w:fldChar w:fldCharType="separate"/>
            </w:r>
            <w:r>
              <w:t>4</w:t>
            </w:r>
            <w:r>
              <w:fldChar w:fldCharType="end"/>
            </w:r>
          </w:hyperlink>
        </w:p>
        <w:p>
          <w:pPr>
            <w:pStyle w:val="9"/>
            <w:tabs>
              <w:tab w:val="right" w:leader="dot" w:pos="9026"/>
            </w:tabs>
            <w:spacing w:before="120" w:after="60"/>
          </w:pPr>
          <w:hyperlink w:anchor="_Toc100008" w:history="1">
            <w:r>
              <w:rPr>
                <w:rStyle w:val="Hyperlink"/>
              </w:rPr>
              <w:t>章節四、測試方法與技術架構</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4.1 模型運算流程</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4.2 資產覆蓋範圍</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4.3 技術實現方式</w:t>
            </w:r>
            <w:r>
              <w:tab/>
            </w:r>
            <w:r>
              <w:fldChar w:fldCharType="begin"/>
            </w:r>
            <w:r>
              <w:instrText xml:space="preserve"> PAGEREF _Toc100011 \h </w:instrText>
            </w:r>
            <w:r>
              <w:fldChar w:fldCharType="separate"/>
            </w:r>
            <w:r>
              <w:t>5</w:t>
            </w:r>
            <w:r>
              <w:fldChar w:fldCharType="end"/>
            </w:r>
          </w:hyperlink>
        </w:p>
        <w:p>
          <w:pPr>
            <w:pStyle w:val="9"/>
            <w:tabs>
              <w:tab w:val="right" w:leader="dot" w:pos="9026"/>
            </w:tabs>
            <w:spacing w:before="120" w:after="60"/>
          </w:pPr>
          <w:hyperlink w:anchor="_Toc100012" w:history="1">
            <w:r>
              <w:rPr>
                <w:rStyle w:val="Hyperlink"/>
              </w:rPr>
              <w:t>章節五、服務內容與交付物</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5.1 服務流程</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5.2 交付物清單</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5.3 報告架構設計</w:t>
            </w:r>
            <w:r>
              <w:tab/>
            </w:r>
            <w:r>
              <w:fldChar w:fldCharType="begin"/>
            </w:r>
            <w:r>
              <w:instrText xml:space="preserve"> PAGEREF _Toc100015 \h </w:instrText>
            </w:r>
            <w:r>
              <w:fldChar w:fldCharType="separate"/>
            </w:r>
            <w:r>
              <w:t>6</w:t>
            </w:r>
            <w:r>
              <w:fldChar w:fldCharType="end"/>
            </w:r>
          </w:hyperlink>
        </w:p>
        <w:p>
          <w:pPr>
            <w:pStyle w:val="9"/>
            <w:tabs>
              <w:tab w:val="right" w:leader="dot" w:pos="9026"/>
            </w:tabs>
            <w:spacing w:before="120" w:after="60"/>
          </w:pPr>
          <w:hyperlink w:anchor="_Toc100016" w:history="1">
            <w:r>
              <w:rPr>
                <w:rStyle w:val="Hyperlink"/>
              </w:rPr>
              <w:t>章節六、全球實踐案例</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6.1 案例一：日本物業投資組合壓力測試</w:t>
            </w:r>
            <w:r>
              <w:tab/>
            </w:r>
            <w:r>
              <w:fldChar w:fldCharType="begin"/>
            </w:r>
            <w:r>
              <w:instrText xml:space="preserve"> PAGEREF _Toc100017 \h </w:instrText>
            </w:r>
            <w:r>
              <w:fldChar w:fldCharType="separate"/>
            </w:r>
            <w:r>
              <w:t>7</w:t>
            </w:r>
            <w:r>
              <w:fldChar w:fldCharType="end"/>
            </w:r>
          </w:hyperlink>
        </w:p>
        <w:p>
          <w:pPr>
            <w:pStyle w:val="11"/>
            <w:ind w:left="360"/>
            <w:tabs>
              <w:tab w:val="right" w:leader="dot" w:pos="9026"/>
            </w:tabs>
            <w:spacing w:before="120" w:after="60"/>
          </w:pPr>
          <w:hyperlink w:anchor="_Toc100018" w:history="1">
            <w:r>
              <w:rPr>
                <w:rStyle w:val="Hyperlink"/>
              </w:rPr>
              <w:t>6.2 案例二：多幣別信託資產組合測試</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6.3 案例三：中港匯率聯動報告</w:t>
            </w:r>
            <w:r>
              <w:tab/>
            </w:r>
            <w:r>
              <w:fldChar w:fldCharType="begin"/>
            </w:r>
            <w:r>
              <w:instrText xml:space="preserve"> PAGEREF _Toc100019 \h </w:instrText>
            </w:r>
            <w:r>
              <w:fldChar w:fldCharType="separate"/>
            </w:r>
            <w:r>
              <w:t>7</w:t>
            </w:r>
            <w:r>
              <w:fldChar w:fldCharType="end"/>
            </w:r>
          </w:hyperlink>
        </w:p>
        <w:p>
          <w:pPr>
            <w:pStyle w:val="9"/>
            <w:tabs>
              <w:tab w:val="right" w:leader="dot" w:pos="9026"/>
            </w:tabs>
            <w:spacing w:before="120" w:after="60"/>
          </w:pPr>
          <w:hyperlink w:anchor="_Toc100020" w:history="1">
            <w:r>
              <w:rPr>
                <w:rStyle w:val="Hyperlink"/>
              </w:rPr>
              <w:t>章節七、定價模式</w:t>
            </w:r>
            <w:r>
              <w:tab/>
            </w:r>
            <w:r>
              <w:fldChar w:fldCharType="begin"/>
            </w:r>
            <w:r>
              <w:instrText xml:space="preserve"> PAGEREF _Toc100020 \h </w:instrText>
            </w:r>
            <w:r>
              <w:fldChar w:fldCharType="separate"/>
            </w:r>
            <w:r>
              <w:t>7</w:t>
            </w:r>
            <w:r>
              <w:fldChar w:fldCharType="end"/>
            </w:r>
          </w:hyperlink>
        </w:p>
        <w:p>
          <w:pPr>
            <w:pStyle w:val="11"/>
            <w:ind w:left="360"/>
            <w:tabs>
              <w:tab w:val="right" w:leader="dot" w:pos="9026"/>
            </w:tabs>
            <w:spacing w:before="120" w:after="60"/>
          </w:pPr>
          <w:hyperlink w:anchor="_Toc100021" w:history="1">
            <w:r>
              <w:rPr>
                <w:rStyle w:val="Hyperlink"/>
              </w:rPr>
              <w:t>7.1 服務層級</w:t>
            </w:r>
            <w:r>
              <w:tab/>
            </w:r>
            <w:r>
              <w:fldChar w:fldCharType="begin"/>
            </w:r>
            <w:r>
              <w:instrText xml:space="preserve"> PAGEREF _Toc100021 \h </w:instrText>
            </w:r>
            <w:r>
              <w:fldChar w:fldCharType="separate"/>
            </w:r>
            <w:r>
              <w:t>7</w:t>
            </w:r>
            <w:r>
              <w:fldChar w:fldCharType="end"/>
            </w:r>
          </w:hyperlink>
        </w:p>
        <w:p>
          <w:pPr>
            <w:pStyle w:val="11"/>
            <w:ind w:left="360"/>
            <w:tabs>
              <w:tab w:val="right" w:leader="dot" w:pos="9026"/>
            </w:tabs>
            <w:spacing w:before="120" w:after="60"/>
          </w:pPr>
          <w:hyperlink w:anchor="_Toc100022" w:history="1">
            <w:r>
              <w:rPr>
                <w:rStyle w:val="Hyperlink"/>
              </w:rPr>
              <w:t>7.2 增值服務</w:t>
            </w:r>
            <w:r>
              <w:tab/>
            </w:r>
            <w:r>
              <w:fldChar w:fldCharType="begin"/>
            </w:r>
            <w:r>
              <w:instrText xml:space="preserve"> PAGEREF _Toc100022 \h </w:instrText>
            </w:r>
            <w:r>
              <w:fldChar w:fldCharType="separate"/>
            </w:r>
            <w:r>
              <w:t>8</w:t>
            </w:r>
            <w:r>
              <w:fldChar w:fldCharType="end"/>
            </w:r>
          </w:hyperlink>
        </w:p>
        <w:p>
          <w:pPr>
            <w:pStyle w:val="9"/>
            <w:tabs>
              <w:tab w:val="right" w:leader="dot" w:pos="9026"/>
            </w:tabs>
            <w:spacing w:before="120" w:after="60"/>
          </w:pPr>
          <w:hyperlink w:anchor="_Toc100023" w:history="1">
            <w:r>
              <w:rPr>
                <w:rStyle w:val="Hyperlink"/>
              </w:rPr>
              <w:t>章節八、與 MCLUB 家族辦公室服務整合</w:t>
            </w:r>
            <w:r>
              <w:tab/>
            </w:r>
            <w:r>
              <w:fldChar w:fldCharType="begin"/>
            </w:r>
            <w:r>
              <w:instrText xml:space="preserve"> PAGEREF _Toc100023 \h </w:instrText>
            </w:r>
            <w:r>
              <w:fldChar w:fldCharType="separate"/>
            </w:r>
            <w:r>
              <w:t>8</w:t>
            </w:r>
            <w:r>
              <w:fldChar w:fldCharType="end"/>
            </w:r>
          </w:hyperlink>
        </w:p>
        <w:p>
          <w:pPr>
            <w:pStyle w:val="11"/>
            <w:ind w:left="360"/>
            <w:tabs>
              <w:tab w:val="right" w:leader="dot" w:pos="9026"/>
            </w:tabs>
            <w:spacing w:before="120" w:after="60"/>
          </w:pPr>
          <w:hyperlink w:anchor="_Toc100024" w:history="1">
            <w:r>
              <w:rPr>
                <w:rStyle w:val="Hyperlink"/>
              </w:rPr>
              <w:t>8.1 與對衝方案配對的衔接</w:t>
            </w:r>
            <w:r>
              <w:tab/>
            </w:r>
            <w:r>
              <w:fldChar w:fldCharType="begin"/>
            </w:r>
            <w:r>
              <w:instrText xml:space="preserve"> PAGEREF _Toc100024 \h </w:instrText>
            </w:r>
            <w:r>
              <w:fldChar w:fldCharType="separate"/>
            </w:r>
            <w:r>
              <w:t>8</w:t>
            </w:r>
            <w:r>
              <w:fldChar w:fldCharType="end"/>
            </w:r>
          </w:hyperlink>
        </w:p>
        <w:p>
          <w:pPr>
            <w:pStyle w:val="11"/>
            <w:ind w:left="360"/>
            <w:tabs>
              <w:tab w:val="right" w:leader="dot" w:pos="9026"/>
            </w:tabs>
            <w:spacing w:before="120" w:after="60"/>
          </w:pPr>
          <w:hyperlink w:anchor="_Toc100025" w:history="1">
            <w:r>
              <w:rPr>
                <w:rStyle w:val="Hyperlink"/>
              </w:rPr>
              <w:t>8.2 與多幣種資產儀表板的資料共享</w:t>
            </w:r>
            <w:r>
              <w:tab/>
            </w:r>
            <w:r>
              <w:fldChar w:fldCharType="begin"/>
            </w:r>
            <w:r>
              <w:instrText xml:space="preserve"> PAGEREF _Toc100025 \h </w:instrText>
            </w:r>
            <w:r>
              <w:fldChar w:fldCharType="separate"/>
            </w:r>
            <w:r>
              <w:t>9</w:t>
            </w:r>
            <w:r>
              <w:fldChar w:fldCharType="end"/>
            </w:r>
          </w:hyperlink>
        </w:p>
        <w:p>
          <w:pPr>
            <w:pStyle w:val="11"/>
            <w:ind w:left="360"/>
            <w:tabs>
              <w:tab w:val="right" w:leader="dot" w:pos="9026"/>
            </w:tabs>
            <w:spacing w:before="120" w:after="60"/>
          </w:pPr>
          <w:hyperlink w:anchor="_Toc100026" w:history="1">
            <w:r>
              <w:rPr>
                <w:rStyle w:val="Hyperlink"/>
              </w:rPr>
              <w:t>8.3 與匯率風險工作坊的知識衔接</w:t>
            </w:r>
            <w:r>
              <w:tab/>
            </w:r>
            <w:r>
              <w:fldChar w:fldCharType="begin"/>
            </w:r>
            <w:r>
              <w:instrText xml:space="preserve"> PAGEREF _Toc100026 \h </w:instrText>
            </w:r>
            <w:r>
              <w:fldChar w:fldCharType="separate"/>
            </w:r>
            <w:r>
              <w:t>9</w:t>
            </w:r>
            <w:r>
              <w:fldChar w:fldCharType="end"/>
            </w:r>
          </w:hyperlink>
        </w:p>
        <w:p>
          <w:pPr>
            <w:pStyle w:val="9"/>
            <w:tabs>
              <w:tab w:val="right" w:leader="dot" w:pos="9026"/>
            </w:tabs>
            <w:spacing w:before="120" w:after="60"/>
          </w:pPr>
          <w:hyperlink w:anchor="_Toc100027" w:history="1">
            <w:r>
              <w:rPr>
                <w:rStyle w:val="Hyperlink"/>
              </w:rPr>
              <w:t>章節九、競爭優勢</w:t>
            </w:r>
            <w:r>
              <w:tab/>
            </w:r>
            <w:r>
              <w:fldChar w:fldCharType="begin"/>
            </w:r>
            <w:r>
              <w:instrText xml:space="preserve"> PAGEREF _Toc100027 \h </w:instrText>
            </w:r>
            <w:r>
              <w:fldChar w:fldCharType="separate"/>
            </w:r>
            <w:r>
              <w:t>9</w:t>
            </w:r>
            <w:r>
              <w:fldChar w:fldCharType="end"/>
            </w:r>
          </w:hyperlink>
        </w:p>
        <w:p>
          <w:pPr>
            <w:pStyle w:val="11"/>
            <w:ind w:left="360"/>
            <w:tabs>
              <w:tab w:val="right" w:leader="dot" w:pos="9026"/>
            </w:tabs>
            <w:spacing w:before="120" w:after="60"/>
          </w:pPr>
          <w:hyperlink w:anchor="_Toc100028" w:history="1">
            <w:r>
              <w:rPr>
                <w:rStyle w:val="Hyperlink"/>
              </w:rPr>
              <w:t>9.1 専業家族辦公室對象</w:t>
            </w:r>
            <w:r>
              <w:tab/>
            </w:r>
            <w:r>
              <w:fldChar w:fldCharType="begin"/>
            </w:r>
            <w:r>
              <w:instrText xml:space="preserve"> PAGEREF _Toc100028 \h </w:instrText>
            </w:r>
            <w:r>
              <w:fldChar w:fldCharType="separate"/>
            </w:r>
            <w:r>
              <w:t>9</w:t>
            </w:r>
            <w:r>
              <w:fldChar w:fldCharType="end"/>
            </w:r>
          </w:hyperlink>
        </w:p>
        <w:p>
          <w:pPr>
            <w:pStyle w:val="11"/>
            <w:ind w:left="360"/>
            <w:tabs>
              <w:tab w:val="right" w:leader="dot" w:pos="9026"/>
            </w:tabs>
            <w:spacing w:before="120" w:after="60"/>
          </w:pPr>
          <w:hyperlink w:anchor="_Toc100029" w:history="1">
            <w:r>
              <w:rPr>
                <w:rStyle w:val="Hyperlink"/>
              </w:rPr>
              <w:t>9.2 技術優勢總結</w:t>
            </w:r>
            <w:r>
              <w:tab/>
            </w:r>
            <w:r>
              <w:fldChar w:fldCharType="begin"/>
            </w:r>
            <w:r>
              <w:instrText xml:space="preserve"> PAGEREF _Toc100029 \h </w:instrText>
            </w:r>
            <w:r>
              <w:fldChar w:fldCharType="separate"/>
            </w:r>
            <w:r>
              <w:t>10</w:t>
            </w:r>
            <w:r>
              <w:fldChar w:fldCharType="end"/>
            </w:r>
          </w:hyperlink>
        </w:p>
        <w:p>
          <w:pPr>
            <w:pStyle w:val="9"/>
            <w:tabs>
              <w:tab w:val="right" w:leader="dot" w:pos="9026"/>
            </w:tabs>
            <w:spacing w:before="120" w:after="60"/>
          </w:pPr>
          <w:hyperlink w:anchor="_Toc100030" w:history="1">
            <w:r>
              <w:rPr>
                <w:rStyle w:val="Hyperlink"/>
              </w:rPr>
              <w:t>章節十、結論與行動建議</w:t>
            </w:r>
            <w:r>
              <w:tab/>
            </w:r>
            <w:r>
              <w:fldChar w:fldCharType="begin"/>
            </w:r>
            <w:r>
              <w:instrText xml:space="preserve"> PAGEREF _Toc100030 \h </w:instrText>
            </w:r>
            <w:r>
              <w:fldChar w:fldCharType="separate"/>
            </w:r>
            <w:r>
              <w:t>10</w:t>
            </w:r>
            <w:r>
              <w:fldChar w:fldCharType="end"/>
            </w:r>
          </w:hyperlink>
        </w:p>
        <w:p>
          <w:r>
            <w:fldChar w:fldCharType="end"/>
          </w:r>
        </w:p>
      </w:sdtContent>
    </w:sdt>
    <w:p>
      <w:pPr>
        <w:spacing w:before="200"/>
      </w:pPr>
      <w:r>
        <w:rPr>
          <w:i/>
          <w:iCs/>
          <w:color w:val="888888"/>
          <w:sz w:val="18"/>
          <w:szCs w:val="18"/>
        </w:rPr>
        <w:t xml:space="preserve">Note: This Table of Contents is generated via field codes. To ensure page number accuracy after editing, please right-click the TOC and select "Update Field."</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200" w:before="480" w:line="312"/>
      </w:pPr>
      <w:bookmarkStart w:id="100000" w:name="_Toc100000"/>
      <w:r>
        <w:rPr>
          <w:rFonts w:ascii="Times New Roman" w:eastAsia="SimHei"/>
          <w:b/>
          <w:bCs/>
          <w:color w:val="0F2027"/>
          <w:sz w:val="32"/>
          <w:szCs w:val="32"/>
        </w:rPr>
        <w:t xml:space="preserve">章節一、執行摘要</w:t>
      </w:r>
      <w:bookmarkEnd w:id="100000"/>
    </w:p>
    <w:p>
      <w:pPr>
        <w:spacing w:after="80" w:line="312"/>
        <w:ind w:firstLine="480"/>
        <w:jc w:val="both"/>
      </w:pPr>
      <w:r>
        <w:rPr>
          <w:rFonts w:ascii="Times New Roman" w:eastAsia="SimSun"/>
          <w:color w:val="000000"/>
          <w:sz w:val="24"/>
          <w:szCs w:val="24"/>
        </w:rPr>
        <w:t xml:space="preserve">匯率壓力測試報告是 MCLUB FX Risk Modeling Service 的核心產品之一，專為家族辦公室客戶提供專業級匯率風險評估服務。在全球化資產配置的背景下，匯率波動已成為影響家族財富的關鍵變數之一。無論是持有多幣別資產、跨境投資組合，還是季度性多幣稭務報稅配，匯率的快速變動都可能對家族財富產生數百萬乃至數千萬港元的潜在衝擊。壓力測試報告透過情境模擬與數據分析，量化匯率極端變動對客戶資產組合的影響，協助決策者制定更穩健的對衝策略。</w:t>
      </w:r>
    </w:p>
    <w:p>
      <w:pPr>
        <w:spacing w:after="80" w:line="312"/>
        <w:ind w:firstLine="480"/>
        <w:jc w:val="both"/>
      </w:pPr>
      <w:r>
        <w:rPr>
          <w:rFonts w:ascii="Times New Roman" w:eastAsia="SimSun"/>
          <w:color w:val="000000"/>
          <w:sz w:val="24"/>
          <w:szCs w:val="24"/>
        </w:rPr>
        <w:t xml:space="preserve">本報告詳細介紹匯率壓力測試的概念框架、測試方法論、全球案例參照、服務內容與交付物、定價模式，以及與 MCLUB 家族辦公室其他服務的整合方案。透過系統化的壓力測試流程，客戶能夠清晰了解其多幣別資產組合在不同宿宅情境下的風險新髦度，並獲得具體的行動建議。</w:t>
      </w:r>
    </w:p>
    <w:p>
      <w:pPr>
        <w:pStyle w:val="Heading1"/>
        <w:spacing w:after="200" w:before="480" w:line="312"/>
      </w:pPr>
      <w:bookmarkStart w:id="100001" w:name="_Toc100001"/>
      <w:r>
        <w:rPr>
          <w:rFonts w:ascii="Times New Roman" w:eastAsia="SimHei"/>
          <w:b/>
          <w:bCs/>
          <w:color w:val="0F2027"/>
          <w:sz w:val="32"/>
          <w:szCs w:val="32"/>
        </w:rPr>
        <w:t xml:space="preserve">章節二、背景與市場情境</w:t>
      </w:r>
      <w:bookmarkEnd w:id="100001"/>
    </w:p>
    <w:p>
      <w:pPr>
        <w:pStyle w:val="Heading2"/>
        <w:spacing w:after="160" w:before="360" w:line="312"/>
      </w:pPr>
      <w:bookmarkStart w:id="100002" w:name="_Toc100002"/>
      <w:r>
        <w:rPr>
          <w:rFonts w:ascii="Times New Roman" w:eastAsia="SimHei"/>
          <w:b/>
          <w:bCs/>
          <w:color w:val="0F2027"/>
          <w:sz w:val="28"/>
          <w:szCs w:val="28"/>
        </w:rPr>
        <w:t xml:space="preserve">2.1 匯率風險的現實威脅</w:t>
      </w:r>
      <w:bookmarkEnd w:id="100002"/>
    </w:p>
    <w:p>
      <w:pPr>
        <w:spacing w:after="80" w:line="312"/>
        <w:ind w:firstLine="480"/>
        <w:jc w:val="both"/>
      </w:pPr>
      <w:r>
        <w:rPr>
          <w:rFonts w:ascii="Times New Roman" w:eastAsia="SimSun"/>
          <w:color w:val="000000"/>
          <w:sz w:val="24"/>
          <w:szCs w:val="24"/>
        </w:rPr>
        <w:t xml:space="preserve">根據國際清算銀行（BIS）的統計數據，全球每日外匯交易量超過 7.5 兆美元，匯率波動已成為影響跨境財富的首要因素。對於持有多幣別資產的家族辦公室客戶而言，匯率風險不僅影響投資組合的名義報酬率，更可能導致跨境資產轉移、信託架構資產重配、稅務合規成本增加等連鎖效應。例如，2022 年日圓匯率從 115 快速貶至 150 以上，2023 年美元對港元突破 7.8 關口，這些事件均對持有相關幣別資產的家族造成了顯著的財富波動。</w:t>
      </w:r>
    </w:p>
    <w:p>
      <w:pPr>
        <w:spacing w:after="80" w:line="312"/>
        <w:ind w:firstLine="480"/>
        <w:jc w:val="both"/>
      </w:pPr>
      <w:r>
        <w:rPr>
          <w:rFonts w:ascii="Times New Roman" w:eastAsia="SimSun"/>
          <w:color w:val="000000"/>
          <w:sz w:val="24"/>
          <w:szCs w:val="24"/>
        </w:rPr>
        <w:t xml:space="preserve">對於香港及亞太地區的高淨值客戶而言，匯率風險的特殊性在於：客戶通常持有港元、美元、人民幣、日圓、歐元等多種貨幣資產，資產分佈跨越香港、中國內地、日本、歐洲及東南亞等多個司法管轄區，稅務報稅需要以多種貨幣進行換算，而匯率波動直接影響实際稅後報酬。在這樣的背景下，專業的匯率壓力測試不是可選項，而是家族財富管理的必要工具。</w:t>
      </w:r>
    </w:p>
    <w:p>
      <w:pPr>
        <w:pStyle w:val="Heading2"/>
        <w:spacing w:after="160" w:before="360" w:line="312"/>
      </w:pPr>
      <w:bookmarkStart w:id="100003" w:name="_Toc100003"/>
      <w:r>
        <w:rPr>
          <w:rFonts w:ascii="Times New Roman" w:eastAsia="SimHei"/>
          <w:b/>
          <w:bCs/>
          <w:color w:val="0F2027"/>
          <w:sz w:val="28"/>
          <w:szCs w:val="28"/>
        </w:rPr>
        <w:t xml:space="preserve">2.2 監管要求與合規驅動</w:t>
      </w:r>
      <w:bookmarkEnd w:id="100003"/>
    </w:p>
    <w:p>
      <w:pPr>
        <w:spacing w:after="80" w:line="312"/>
        <w:ind w:firstLine="480"/>
        <w:jc w:val="both"/>
      </w:pPr>
      <w:r>
        <w:rPr>
          <w:rFonts w:ascii="Times New Roman" w:eastAsia="SimSun"/>
          <w:color w:val="000000"/>
          <w:sz w:val="24"/>
          <w:szCs w:val="24"/>
        </w:rPr>
        <w:t xml:space="preserve">國際監管機構已將匯率風險紛入正式監管框架。巴塞爾委員會 III（Basel III）明確要求金融機構進行匯率風險壓力測試，香港金融管理局（HKMA）也對認可機構提出了類似要求。對於家族辦公室而言，即使不是監管機構，信託受託人、審計師及合覇團隊也越來越多地要求匯率風險評估作為年度審計和信託審查的必備文件。這意味著匯率壓力測試報告不僅是風險管理工具，更是合覇合規的重要組成部分。</w:t>
      </w:r>
    </w:p>
    <w:p>
      <w:pPr>
        <w:spacing w:after="80" w:line="312"/>
        <w:ind w:firstLine="480"/>
        <w:jc w:val="both"/>
      </w:pPr>
      <w:r>
        <w:rPr>
          <w:rFonts w:ascii="Times New Roman" w:eastAsia="SimSun"/>
          <w:color w:val="000000"/>
          <w:sz w:val="24"/>
          <w:szCs w:val="24"/>
        </w:rPr>
        <w:t xml:space="preserve">在實務層面，許多家族辦公室在進行跨境投資決策時，往往缺乏系統化的匯率風險評估流程，僅依賴經驗判斷或簡單的匯率預測。這種做法無法量化極端情境下的潜在損失，也無法滿足信託審計的合覇要求。MCLUB 的匯率壓力測試報告服務正是為解決這一痛點而設計，提供專業、可量化、可審計的匯率風險評估文件。</w:t>
      </w:r>
    </w:p>
    <w:p>
      <w:pPr>
        <w:pStyle w:val="Heading1"/>
        <w:spacing w:after="200" w:before="480" w:line="312"/>
      </w:pPr>
      <w:bookmarkStart w:id="100004" w:name="_Toc100004"/>
      <w:r>
        <w:rPr>
          <w:rFonts w:ascii="Times New Roman" w:eastAsia="SimHei"/>
          <w:b/>
          <w:bCs/>
          <w:color w:val="0F2027"/>
          <w:sz w:val="32"/>
          <w:szCs w:val="32"/>
        </w:rPr>
        <w:t xml:space="preserve">章節三、壓力測試方法論架</w:t>
      </w:r>
      <w:bookmarkEnd w:id="100004"/>
    </w:p>
    <w:p>
      <w:pPr>
        <w:pStyle w:val="Heading2"/>
        <w:spacing w:after="160" w:before="360" w:line="312"/>
      </w:pPr>
      <w:bookmarkStart w:id="100005" w:name="_Toc100005"/>
      <w:r>
        <w:rPr>
          <w:rFonts w:ascii="Times New Roman" w:eastAsia="SimHei"/>
          <w:b/>
          <w:bCs/>
          <w:color w:val="0F2027"/>
          <w:sz w:val="28"/>
          <w:szCs w:val="28"/>
        </w:rPr>
        <w:t xml:space="preserve">3.1 壓力測試的核心原理</w:t>
      </w:r>
      <w:bookmarkEnd w:id="100005"/>
    </w:p>
    <w:p>
      <w:pPr>
        <w:spacing w:after="80" w:line="312"/>
        <w:ind w:firstLine="480"/>
        <w:jc w:val="both"/>
      </w:pPr>
      <w:r>
        <w:rPr>
          <w:rFonts w:ascii="Times New Roman" w:eastAsia="SimSun"/>
          <w:color w:val="000000"/>
          <w:sz w:val="24"/>
          <w:szCs w:val="24"/>
        </w:rPr>
        <w:t xml:space="preserve">匯率壓力測試的核心原理是透過情境分析（Scenario Analysis）來評估極端但合理的匯率變動對資產組合的影響。與傳統的風險值（Value at Risk, VaR）不同，壓力測試不依賴於歷史樣本的機率分佈假設，而是主動構建極端情境，評估在這些情境下資產組合的表現。這種方法能夠揭示歷史數據無法涵蓋的尾部風險（Tail Risk），特別是那些小機率但影響巨大的事件。</w:t>
      </w:r>
    </w:p>
    <w:p>
      <w:pPr>
        <w:spacing w:after="80" w:line="312"/>
        <w:ind w:firstLine="480"/>
        <w:jc w:val="both"/>
      </w:pPr>
      <w:r>
        <w:rPr>
          <w:rFonts w:ascii="Times New Roman" w:eastAsia="SimSun"/>
          <w:color w:val="000000"/>
          <w:sz w:val="24"/>
          <w:szCs w:val="24"/>
        </w:rPr>
        <w:t xml:space="preserve">壓力測試的技術基礎包括三個核心步驟：第一，情境定義（Scenario Definition），即根據歷史事件、宏觀經濡前瞻或監管要求設定匯率變動的範圍與方向；第二，資產重估（Revaluation），即將情境匯率應用於客戶的實際資產組合，計算每項資產的重估價值；第三，損益分析（Loss Analysis），即比較基準情境與壓力情境下的資產價值差異，量化潜在搏益。整個過程具有可追溯性與可複製性，確保結果可以被審計師及監管機構驗證。</w:t>
      </w:r>
    </w:p>
    <w:p>
      <w:pPr>
        <w:pStyle w:val="Heading2"/>
        <w:spacing w:after="160" w:before="360" w:line="312"/>
      </w:pPr>
      <w:bookmarkStart w:id="100006" w:name="_Toc100006"/>
      <w:r>
        <w:rPr>
          <w:rFonts w:ascii="Times New Roman" w:eastAsia="SimHei"/>
          <w:b/>
          <w:bCs/>
          <w:color w:val="0F2027"/>
          <w:sz w:val="28"/>
          <w:szCs w:val="28"/>
        </w:rPr>
        <w:t xml:space="preserve">3.2 三層情境架構</w:t>
      </w:r>
      <w:bookmarkEnd w:id="100006"/>
    </w:p>
    <w:p>
      <w:pPr>
        <w:spacing w:after="80" w:line="312"/>
        <w:ind w:firstLine="480"/>
        <w:jc w:val="both"/>
      </w:pPr>
      <w:r>
        <w:rPr>
          <w:rFonts w:ascii="Times New Roman" w:eastAsia="SimSun"/>
          <w:color w:val="000000"/>
          <w:sz w:val="24"/>
          <w:szCs w:val="24"/>
        </w:rPr>
        <w:t xml:space="preserve">MCLUB 採用國際認可的三層情境架構，分別對應不同程度的匯率衝擊，確保客戶能夠全面理解從游覽性變動到極端危機的全譜風險。三個層次的設計邏輯是：基準情境作為對照組，中度情境反映合理可能的市場變化，極端情境則測試系統性風險的承受能力。這種分層方法讓決策者不僅知道「最壞情況是什麼」，還能理解「不同嚴重程度下的影響分佈」，從而做出更精準的對衝決策。</w:t>
      </w:r>
    </w:p>
    <w:p>
      <w:pPr>
        <w:spacing w:before="120"/>
      </w:pPr>
    </w:p>
    <w:p>
      <w:pPr>
        <w:keepNext/>
        <w:spacing w:after="80"/>
        <w:jc w:val="center"/>
      </w:pPr>
      <w:r>
        <w:rPr>
          <w:rFonts w:ascii="Times New Roman" w:eastAsia="SimHei"/>
          <w:b/>
          <w:bCs/>
          <w:color w:val="0F2027"/>
          <w:sz w:val="21"/>
          <w:szCs w:val="21"/>
        </w:rPr>
        <w:t xml:space="preserve">表 1：三層壓力測試情境架構</w:t>
      </w:r>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gridCol w:w="100"/>
      </w:tblGrid>
      <w:tr>
        <w:trPr>
          <w:cantSplit/>
          <w:tblHeader/>
        </w:trPr>
        <w:tc>
          <w:tcPr>
            <w:tcW w:type="pct" w:w="20%"/>
            <w:shd w:fill="C9A84C" w:val="clear"/>
            <w:tcMar>
              <w:top w:type="dxa" w:w="60"/>
              <w:left w:type="dxa" w:w="120"/>
              <w:bottom w:type="dxa" w:w="60"/>
              <w:right w:type="dxa" w:w="120"/>
            </w:tcMar>
          </w:tcPr>
          <w:p>
            <w:pPr>
              <w:jc w:val="center"/>
            </w:pPr>
            <w:r>
              <w:rPr>
                <w:rFonts w:ascii="Times New Roman" w:eastAsia="SimHei"/>
                <w:b/>
                <w:bCs/>
                <w:color w:val="1A1A1A"/>
                <w:sz w:val="21"/>
                <w:szCs w:val="21"/>
              </w:rPr>
              <w:t xml:space="preserve">情境層次</w:t>
            </w:r>
          </w:p>
        </w:tc>
        <w:tc>
          <w:tcPr>
            <w:tcW w:type="pct" w:w="20%"/>
            <w:shd w:fill="C9A84C" w:val="clear"/>
            <w:tcMar>
              <w:top w:type="dxa" w:w="60"/>
              <w:left w:type="dxa" w:w="120"/>
              <w:bottom w:type="dxa" w:w="60"/>
              <w:right w:type="dxa" w:w="120"/>
            </w:tcMar>
          </w:tcPr>
          <w:p>
            <w:pPr>
              <w:jc w:val="center"/>
            </w:pPr>
            <w:r>
              <w:rPr>
                <w:rFonts w:ascii="Times New Roman" w:eastAsia="SimHei"/>
                <w:b/>
                <w:bCs/>
                <w:color w:val="1A1A1A"/>
                <w:sz w:val="21"/>
                <w:szCs w:val="21"/>
              </w:rPr>
              <w:t xml:space="preserve">匯率變動幅度</w:t>
            </w:r>
          </w:p>
        </w:tc>
        <w:tc>
          <w:tcPr>
            <w:tcW w:type="pct" w:w="30%"/>
            <w:shd w:fill="C9A84C" w:val="clear"/>
            <w:tcMar>
              <w:top w:type="dxa" w:w="60"/>
              <w:left w:type="dxa" w:w="120"/>
              <w:bottom w:type="dxa" w:w="60"/>
              <w:right w:type="dxa" w:w="120"/>
            </w:tcMar>
          </w:tcPr>
          <w:p>
            <w:pPr>
              <w:jc w:val="center"/>
            </w:pPr>
            <w:r>
              <w:rPr>
                <w:rFonts w:ascii="Times New Roman" w:eastAsia="SimHei"/>
                <w:b/>
                <w:bCs/>
                <w:color w:val="1A1A1A"/>
                <w:sz w:val="21"/>
                <w:szCs w:val="21"/>
              </w:rPr>
              <w:t xml:space="preserve">對應情境</w:t>
            </w:r>
          </w:p>
        </w:tc>
        <w:tc>
          <w:tcPr>
            <w:tcW w:type="pct" w:w="30%"/>
            <w:shd w:fill="C9A84C" w:val="clear"/>
            <w:tcMar>
              <w:top w:type="dxa" w:w="60"/>
              <w:left w:type="dxa" w:w="120"/>
              <w:bottom w:type="dxa" w:w="60"/>
              <w:right w:type="dxa" w:w="120"/>
            </w:tcMar>
          </w:tcPr>
          <w:p>
            <w:pPr>
              <w:jc w:val="center"/>
            </w:pPr>
            <w:r>
              <w:rPr>
                <w:rFonts w:ascii="Times New Roman" w:eastAsia="SimHei"/>
                <w:b/>
                <w:bCs/>
                <w:color w:val="1A1A1A"/>
                <w:sz w:val="21"/>
                <w:szCs w:val="21"/>
              </w:rPr>
              <w:t xml:space="preserve">應用場景</w:t>
            </w:r>
          </w:p>
        </w:tc>
      </w:tr>
      <w:tr>
        <w:trPr>
          <w:cantSplit/>
        </w:trPr>
        <w:tc>
          <w:tcPr>
            <w:tcW w:type="pct" w:w="20%"/>
            <w:shd w:fill="F5F2E8" w:val="clear"/>
            <w:tcMar>
              <w:top w:type="dxa" w:w="60"/>
              <w:left w:type="dxa" w:w="120"/>
              <w:bottom w:type="dxa" w:w="60"/>
              <w:right w:type="dxa" w:w="120"/>
            </w:tcMar>
          </w:tcPr>
          <w:p>
            <w:r>
              <w:rPr>
                <w:rFonts w:ascii="Times New Roman" w:eastAsia="SimSun"/>
                <w:color w:val="000000"/>
                <w:sz w:val="21"/>
                <w:szCs w:val="21"/>
              </w:rPr>
              <w:t xml:space="preserve">基準情境
Baseline</w:t>
            </w:r>
          </w:p>
        </w:tc>
        <w:tc>
          <w:tcPr>
            <w:tcW w:type="pct" w:w="20%"/>
            <w:shd w:fill="F5F2E8" w:val="clear"/>
            <w:tcMar>
              <w:top w:type="dxa" w:w="60"/>
              <w:left w:type="dxa" w:w="120"/>
              <w:bottom w:type="dxa" w:w="60"/>
              <w:right w:type="dxa" w:w="120"/>
            </w:tcMar>
          </w:tcPr>
          <w:p>
            <w:r>
              <w:rPr>
                <w:rFonts w:ascii="Times New Roman" w:eastAsia="SimSun"/>
                <w:color w:val="000000"/>
                <w:sz w:val="21"/>
                <w:szCs w:val="21"/>
              </w:rPr>
              <w:t xml:space="preserve">當前匯率±5%</w:t>
            </w:r>
          </w:p>
        </w:tc>
        <w:tc>
          <w:tcPr>
            <w:tcW w:type="pct" w:w="30%"/>
            <w:shd w:fill="F5F2E8" w:val="clear"/>
            <w:tcMar>
              <w:top w:type="dxa" w:w="60"/>
              <w:left w:type="dxa" w:w="120"/>
              <w:bottom w:type="dxa" w:w="60"/>
              <w:right w:type="dxa" w:w="120"/>
            </w:tcMar>
          </w:tcPr>
          <w:p>
            <w:r>
              <w:rPr>
                <w:rFonts w:ascii="Times New Roman" w:eastAsia="SimSun"/>
                <w:color w:val="000000"/>
                <w:sz w:val="21"/>
                <w:szCs w:val="21"/>
              </w:rPr>
              <w:t xml:space="preserve">市場正常波動</w:t>
            </w:r>
          </w:p>
        </w:tc>
        <w:tc>
          <w:tcPr>
            <w:tcW w:type="pct" w:w="30%"/>
            <w:shd w:fill="F5F2E8" w:val="clear"/>
            <w:tcMar>
              <w:top w:type="dxa" w:w="60"/>
              <w:left w:type="dxa" w:w="120"/>
              <w:bottom w:type="dxa" w:w="60"/>
              <w:right w:type="dxa" w:w="120"/>
            </w:tcMar>
          </w:tcPr>
          <w:p>
            <w:r>
              <w:rPr>
                <w:rFonts w:ascii="Times New Roman" w:eastAsia="SimSun"/>
                <w:color w:val="000000"/>
                <w:sz w:val="21"/>
                <w:szCs w:val="21"/>
              </w:rPr>
              <w:t xml:space="preserve">日常監控、季度報告</w:t>
            </w:r>
          </w:p>
        </w:tc>
      </w:tr>
      <w:tr>
        <w:trPr>
          <w:cantSplit/>
        </w:trPr>
        <w:tc>
          <w:tcPr>
            <w:tcW w:type="pct" w:w="20%"/>
            <w:shd w:fill="FFFFFF" w:val="clear"/>
            <w:tcMar>
              <w:top w:type="dxa" w:w="60"/>
              <w:left w:type="dxa" w:w="120"/>
              <w:bottom w:type="dxa" w:w="60"/>
              <w:right w:type="dxa" w:w="120"/>
            </w:tcMar>
          </w:tcPr>
          <w:p>
            <w:r>
              <w:rPr>
                <w:rFonts w:ascii="Times New Roman" w:eastAsia="SimSun"/>
                <w:color w:val="000000"/>
                <w:sz w:val="21"/>
                <w:szCs w:val="21"/>
              </w:rPr>
              <w:t xml:space="preserve">中度情境
Moderate</w:t>
            </w:r>
          </w:p>
        </w:tc>
        <w:tc>
          <w:tcPr>
            <w:tcW w:type="pct" w:w="20%"/>
            <w:shd w:fill="FFFFFF" w:val="clear"/>
            <w:tcMar>
              <w:top w:type="dxa" w:w="60"/>
              <w:left w:type="dxa" w:w="120"/>
              <w:bottom w:type="dxa" w:w="60"/>
              <w:right w:type="dxa" w:w="120"/>
            </w:tcMar>
          </w:tcPr>
          <w:p>
            <w:r>
              <w:rPr>
                <w:rFonts w:ascii="Times New Roman" w:eastAsia="SimSun"/>
                <w:color w:val="000000"/>
                <w:sz w:val="21"/>
                <w:szCs w:val="21"/>
              </w:rPr>
              <w:t xml:space="preserve">±10%～±15%</w:t>
            </w:r>
          </w:p>
        </w:tc>
        <w:tc>
          <w:tcPr>
            <w:tcW w:type="pct" w:w="30%"/>
            <w:shd w:fill="FFFFFF" w:val="clear"/>
            <w:tcMar>
              <w:top w:type="dxa" w:w="60"/>
              <w:left w:type="dxa" w:w="120"/>
              <w:bottom w:type="dxa" w:w="60"/>
              <w:right w:type="dxa" w:w="120"/>
            </w:tcMar>
          </w:tcPr>
          <w:p>
            <w:r>
              <w:rPr>
                <w:rFonts w:ascii="Times New Roman" w:eastAsia="SimSun"/>
                <w:color w:val="000000"/>
                <w:sz w:val="21"/>
                <w:szCs w:val="21"/>
              </w:rPr>
              <w:t xml:space="preserve">區域性經濡衝擊、貨幣政策調整</w:t>
            </w:r>
          </w:p>
        </w:tc>
        <w:tc>
          <w:tcPr>
            <w:tcW w:type="pct" w:w="30%"/>
            <w:shd w:fill="FFFFFF" w:val="clear"/>
            <w:tcMar>
              <w:top w:type="dxa" w:w="60"/>
              <w:left w:type="dxa" w:w="120"/>
              <w:bottom w:type="dxa" w:w="60"/>
              <w:right w:type="dxa" w:w="120"/>
            </w:tcMar>
          </w:tcPr>
          <w:p>
            <w:r>
              <w:rPr>
                <w:rFonts w:ascii="Times New Roman" w:eastAsia="SimSun"/>
                <w:color w:val="000000"/>
                <w:sz w:val="21"/>
                <w:szCs w:val="21"/>
              </w:rPr>
              <w:t xml:space="preserve">年度風險評估、信託審計</w:t>
            </w:r>
          </w:p>
        </w:tc>
      </w:tr>
      <w:tr>
        <w:trPr>
          <w:cantSplit/>
        </w:trPr>
        <w:tc>
          <w:tcPr>
            <w:tcW w:type="pct" w:w="20%"/>
            <w:shd w:fill="F5F2E8" w:val="clear"/>
            <w:tcMar>
              <w:top w:type="dxa" w:w="60"/>
              <w:left w:type="dxa" w:w="120"/>
              <w:bottom w:type="dxa" w:w="60"/>
              <w:right w:type="dxa" w:w="120"/>
            </w:tcMar>
          </w:tcPr>
          <w:p>
            <w:r>
              <w:rPr>
                <w:rFonts w:ascii="Times New Roman" w:eastAsia="SimSun"/>
                <w:color w:val="000000"/>
                <w:sz w:val="21"/>
                <w:szCs w:val="21"/>
              </w:rPr>
              <w:t xml:space="preserve">極端情境
Severe</w:t>
            </w:r>
          </w:p>
        </w:tc>
        <w:tc>
          <w:tcPr>
            <w:tcW w:type="pct" w:w="20%"/>
            <w:shd w:fill="F5F2E8" w:val="clear"/>
            <w:tcMar>
              <w:top w:type="dxa" w:w="60"/>
              <w:left w:type="dxa" w:w="120"/>
              <w:bottom w:type="dxa" w:w="60"/>
              <w:right w:type="dxa" w:w="120"/>
            </w:tcMar>
          </w:tcPr>
          <w:p>
            <w:r>
              <w:rPr>
                <w:rFonts w:ascii="Times New Roman" w:eastAsia="SimSun"/>
                <w:color w:val="000000"/>
                <w:sz w:val="21"/>
                <w:szCs w:val="21"/>
              </w:rPr>
              <w:t xml:space="preserve">±20%或以上</w:t>
            </w:r>
          </w:p>
        </w:tc>
        <w:tc>
          <w:tcPr>
            <w:tcW w:type="pct" w:w="30%"/>
            <w:shd w:fill="F5F2E8" w:val="clear"/>
            <w:tcMar>
              <w:top w:type="dxa" w:w="60"/>
              <w:left w:type="dxa" w:w="120"/>
              <w:bottom w:type="dxa" w:w="60"/>
              <w:right w:type="dxa" w:w="120"/>
            </w:tcMar>
          </w:tcPr>
          <w:p>
            <w:r>
              <w:rPr>
                <w:rFonts w:ascii="Times New Roman" w:eastAsia="SimSun"/>
                <w:color w:val="000000"/>
                <w:sz w:val="21"/>
                <w:szCs w:val="21"/>
              </w:rPr>
              <w:t xml:space="preserve">金融危機、戰爭、主權危機</w:t>
            </w:r>
          </w:p>
        </w:tc>
        <w:tc>
          <w:tcPr>
            <w:tcW w:type="pct" w:w="30%"/>
            <w:shd w:fill="F5F2E8" w:val="clear"/>
            <w:tcMar>
              <w:top w:type="dxa" w:w="60"/>
              <w:left w:type="dxa" w:w="120"/>
              <w:bottom w:type="dxa" w:w="60"/>
              <w:right w:type="dxa" w:w="120"/>
            </w:tcMar>
          </w:tcPr>
          <w:p>
            <w:r>
              <w:rPr>
                <w:rFonts w:ascii="Times New Roman" w:eastAsia="SimSun"/>
                <w:color w:val="000000"/>
                <w:sz w:val="21"/>
                <w:szCs w:val="21"/>
              </w:rPr>
              <w:t xml:space="preserve">壓力測試合覇、楗性測試</w:t>
            </w:r>
          </w:p>
        </w:tc>
      </w:tr>
    </w:tbl>
    <w:p>
      <w:pPr>
        <w:spacing w:before="120"/>
      </w:pPr>
    </w:p>
    <w:p>
      <w:pPr>
        <w:pStyle w:val="Heading2"/>
        <w:spacing w:after="160" w:before="360" w:line="312"/>
      </w:pPr>
      <w:bookmarkStart w:id="100007" w:name="_Toc100007"/>
      <w:r>
        <w:rPr>
          <w:rFonts w:ascii="Times New Roman" w:eastAsia="SimHei"/>
          <w:b/>
          <w:bCs/>
          <w:color w:val="0F2027"/>
          <w:sz w:val="28"/>
          <w:szCs w:val="28"/>
        </w:rPr>
        <w:t xml:space="preserve">3.3 歷史參照情境</w:t>
      </w:r>
      <w:bookmarkEnd w:id="100007"/>
    </w:p>
    <w:p>
      <w:pPr>
        <w:spacing w:after="80" w:line="312"/>
        <w:ind w:firstLine="480"/>
        <w:jc w:val="both"/>
      </w:pPr>
      <w:r>
        <w:rPr>
          <w:rFonts w:ascii="Times New Roman" w:eastAsia="SimSun"/>
          <w:color w:val="000000"/>
          <w:sz w:val="24"/>
          <w:szCs w:val="24"/>
        </w:rPr>
        <w:t xml:space="preserve">除了標準化的三層架構外，MCLUB 還提供歷史參照情境，即根據過去實際發生的金融危機事件來構建測試場景。這種方法的優勢在於：情境具有真實性和說服力，審計師和監管機構更容易接受；它能夠揭示歷史重演的風險，帶有「如果歷史重複，我們的損失是多少」的明確含義。以下是常用的歷史參照情境：</w:t>
      </w:r>
    </w:p>
    <w:p>
      <w:pPr>
        <w:spacing w:before="120"/>
      </w:pPr>
    </w:p>
    <w:p>
      <w:pPr>
        <w:keepNext/>
        <w:spacing w:after="80"/>
        <w:jc w:val="center"/>
      </w:pPr>
      <w:r>
        <w:rPr>
          <w:rFonts w:ascii="Times New Roman" w:eastAsia="SimHei"/>
          <w:b/>
          <w:bCs/>
          <w:color w:val="0F2027"/>
          <w:sz w:val="21"/>
          <w:szCs w:val="21"/>
        </w:rPr>
        <w:t xml:space="preserve">表 2：歷史參照情境示例</w:t>
      </w:r>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gridCol w:w="100"/>
      </w:tblGrid>
      <w:tr>
        <w:trPr>
          <w:cantSplit/>
          <w:tblHeader/>
        </w:trPr>
        <w:tc>
          <w:tcPr>
            <w:tcW w:type="pct" w:w="25%"/>
            <w:shd w:fill="C9A84C" w:val="clear"/>
            <w:tcMar>
              <w:top w:type="dxa" w:w="60"/>
              <w:left w:type="dxa" w:w="120"/>
              <w:bottom w:type="dxa" w:w="60"/>
              <w:right w:type="dxa" w:w="120"/>
            </w:tcMar>
          </w:tcPr>
          <w:p>
            <w:pPr>
              <w:jc w:val="center"/>
            </w:pPr>
            <w:r>
              <w:rPr>
                <w:rFonts w:ascii="Times New Roman" w:eastAsia="SimHei"/>
                <w:b/>
                <w:bCs/>
                <w:color w:val="1A1A1A"/>
                <w:sz w:val="21"/>
                <w:szCs w:val="21"/>
              </w:rPr>
              <w:t xml:space="preserve">歷史事件</w:t>
            </w:r>
          </w:p>
        </w:tc>
        <w:tc>
          <w:tcPr>
            <w:tcW w:type="pct" w:w="15%"/>
            <w:shd w:fill="C9A84C" w:val="clear"/>
            <w:tcMar>
              <w:top w:type="dxa" w:w="60"/>
              <w:left w:type="dxa" w:w="120"/>
              <w:bottom w:type="dxa" w:w="60"/>
              <w:right w:type="dxa" w:w="120"/>
            </w:tcMar>
          </w:tcPr>
          <w:p>
            <w:pPr>
              <w:jc w:val="center"/>
            </w:pPr>
            <w:r>
              <w:rPr>
                <w:rFonts w:ascii="Times New Roman" w:eastAsia="SimHei"/>
                <w:b/>
                <w:bCs/>
                <w:color w:val="1A1A1A"/>
                <w:sz w:val="21"/>
                <w:szCs w:val="21"/>
              </w:rPr>
              <w:t xml:space="preserve">時間</w:t>
            </w:r>
          </w:p>
        </w:tc>
        <w:tc>
          <w:tcPr>
            <w:tcW w:type="pct" w:w="30%"/>
            <w:shd w:fill="C9A84C" w:val="clear"/>
            <w:tcMar>
              <w:top w:type="dxa" w:w="60"/>
              <w:left w:type="dxa" w:w="120"/>
              <w:bottom w:type="dxa" w:w="60"/>
              <w:right w:type="dxa" w:w="120"/>
            </w:tcMar>
          </w:tcPr>
          <w:p>
            <w:pPr>
              <w:jc w:val="center"/>
            </w:pPr>
            <w:r>
              <w:rPr>
                <w:rFonts w:ascii="Times New Roman" w:eastAsia="SimHei"/>
                <w:b/>
                <w:bCs/>
                <w:color w:val="1A1A1A"/>
                <w:sz w:val="21"/>
                <w:szCs w:val="21"/>
              </w:rPr>
              <w:t xml:space="preserve">受影響幣別</w:t>
            </w:r>
          </w:p>
        </w:tc>
        <w:tc>
          <w:tcPr>
            <w:tcW w:type="pct" w:w="30%"/>
            <w:shd w:fill="C9A84C" w:val="clear"/>
            <w:tcMar>
              <w:top w:type="dxa" w:w="60"/>
              <w:left w:type="dxa" w:w="120"/>
              <w:bottom w:type="dxa" w:w="60"/>
              <w:right w:type="dxa" w:w="120"/>
            </w:tcMar>
          </w:tcPr>
          <w:p>
            <w:pPr>
              <w:jc w:val="center"/>
            </w:pPr>
            <w:r>
              <w:rPr>
                <w:rFonts w:ascii="Times New Roman" w:eastAsia="SimHei"/>
                <w:b/>
                <w:bCs/>
                <w:color w:val="1A1A1A"/>
                <w:sz w:val="21"/>
                <w:szCs w:val="21"/>
              </w:rPr>
              <w:t xml:space="preserve">匯率變動範圍</w:t>
            </w:r>
          </w:p>
        </w:tc>
      </w:tr>
      <w:tr>
        <w:trPr>
          <w:cantSplit/>
        </w:trPr>
        <w:tc>
          <w:tcPr>
            <w:tcW w:type="pct" w:w="25%"/>
            <w:shd w:fill="F5F2E8" w:val="clear"/>
            <w:tcMar>
              <w:top w:type="dxa" w:w="60"/>
              <w:left w:type="dxa" w:w="120"/>
              <w:bottom w:type="dxa" w:w="60"/>
              <w:right w:type="dxa" w:w="120"/>
            </w:tcMar>
          </w:tcPr>
          <w:p>
            <w:r>
              <w:rPr>
                <w:rFonts w:ascii="Times New Roman" w:eastAsia="SimSun"/>
                <w:color w:val="000000"/>
                <w:sz w:val="21"/>
                <w:szCs w:val="21"/>
              </w:rPr>
              <w:t xml:space="preserve">亞洲金融危機</w:t>
            </w:r>
          </w:p>
        </w:tc>
        <w:tc>
          <w:tcPr>
            <w:tcW w:type="pct" w:w="15%"/>
            <w:shd w:fill="F5F2E8" w:val="clear"/>
            <w:tcMar>
              <w:top w:type="dxa" w:w="60"/>
              <w:left w:type="dxa" w:w="120"/>
              <w:bottom w:type="dxa" w:w="60"/>
              <w:right w:type="dxa" w:w="120"/>
            </w:tcMar>
          </w:tcPr>
          <w:p>
            <w:r>
              <w:rPr>
                <w:rFonts w:ascii="Times New Roman" w:eastAsia="SimSun"/>
                <w:color w:val="000000"/>
                <w:sz w:val="21"/>
                <w:szCs w:val="21"/>
              </w:rPr>
              <w:t xml:space="preserve">1997–1998</w:t>
            </w:r>
          </w:p>
        </w:tc>
        <w:tc>
          <w:tcPr>
            <w:tcW w:type="pct" w:w="30%"/>
            <w:shd w:fill="F5F2E8" w:val="clear"/>
            <w:tcMar>
              <w:top w:type="dxa" w:w="60"/>
              <w:left w:type="dxa" w:w="120"/>
              <w:bottom w:type="dxa" w:w="60"/>
              <w:right w:type="dxa" w:w="120"/>
            </w:tcMar>
          </w:tcPr>
          <w:p>
            <w:r>
              <w:rPr>
                <w:rFonts w:ascii="Times New Roman" w:eastAsia="SimSun"/>
                <w:color w:val="000000"/>
                <w:sz w:val="21"/>
                <w:szCs w:val="21"/>
              </w:rPr>
              <w:t xml:space="preserve">THB、KRW、MYR、HKD</w:t>
            </w:r>
          </w:p>
        </w:tc>
        <w:tc>
          <w:tcPr>
            <w:tcW w:type="pct" w:w="30%"/>
            <w:shd w:fill="F5F2E8" w:val="clear"/>
            <w:tcMar>
              <w:top w:type="dxa" w:w="60"/>
              <w:left w:type="dxa" w:w="120"/>
              <w:bottom w:type="dxa" w:w="60"/>
              <w:right w:type="dxa" w:w="120"/>
            </w:tcMar>
          </w:tcPr>
          <w:p>
            <w:r>
              <w:rPr>
                <w:rFonts w:ascii="Times New Roman" w:eastAsia="SimSun"/>
                <w:color w:val="000000"/>
                <w:sz w:val="21"/>
                <w:szCs w:val="21"/>
              </w:rPr>
              <w:t xml:space="preserve">泰铐貶值 50%+，HKD 觸及 7.75</w:t>
            </w:r>
          </w:p>
        </w:tc>
      </w:tr>
      <w:tr>
        <w:trPr>
          <w:cantSplit/>
        </w:trPr>
        <w:tc>
          <w:tcPr>
            <w:tcW w:type="pct" w:w="25%"/>
            <w:shd w:fill="FFFFFF" w:val="clear"/>
            <w:tcMar>
              <w:top w:type="dxa" w:w="60"/>
              <w:left w:type="dxa" w:w="120"/>
              <w:bottom w:type="dxa" w:w="60"/>
              <w:right w:type="dxa" w:w="120"/>
            </w:tcMar>
          </w:tcPr>
          <w:p>
            <w:r>
              <w:rPr>
                <w:rFonts w:ascii="Times New Roman" w:eastAsia="SimSun"/>
                <w:color w:val="000000"/>
                <w:sz w:val="21"/>
                <w:szCs w:val="21"/>
              </w:rPr>
              <w:t xml:space="preserve">全球金融危機</w:t>
            </w:r>
          </w:p>
        </w:tc>
        <w:tc>
          <w:tcPr>
            <w:tcW w:type="pct" w:w="15%"/>
            <w:shd w:fill="FFFFFF" w:val="clear"/>
            <w:tcMar>
              <w:top w:type="dxa" w:w="60"/>
              <w:left w:type="dxa" w:w="120"/>
              <w:bottom w:type="dxa" w:w="60"/>
              <w:right w:type="dxa" w:w="120"/>
            </w:tcMar>
          </w:tcPr>
          <w:p>
            <w:r>
              <w:rPr>
                <w:rFonts w:ascii="Times New Roman" w:eastAsia="SimSun"/>
                <w:color w:val="000000"/>
                <w:sz w:val="21"/>
                <w:szCs w:val="21"/>
              </w:rPr>
              <w:t xml:space="preserve">2008–2009</w:t>
            </w:r>
          </w:p>
        </w:tc>
        <w:tc>
          <w:tcPr>
            <w:tcW w:type="pct" w:w="30%"/>
            <w:shd w:fill="FFFFFF" w:val="clear"/>
            <w:tcMar>
              <w:top w:type="dxa" w:w="60"/>
              <w:left w:type="dxa" w:w="120"/>
              <w:bottom w:type="dxa" w:w="60"/>
              <w:right w:type="dxa" w:w="120"/>
            </w:tcMar>
          </w:tcPr>
          <w:p>
            <w:r>
              <w:rPr>
                <w:rFonts w:ascii="Times New Roman" w:eastAsia="SimSun"/>
                <w:color w:val="000000"/>
                <w:sz w:val="21"/>
                <w:szCs w:val="21"/>
              </w:rPr>
              <w:t xml:space="preserve">AUD、GBP、EUR、HKD</w:t>
            </w:r>
          </w:p>
        </w:tc>
        <w:tc>
          <w:tcPr>
            <w:tcW w:type="pct" w:w="30%"/>
            <w:shd w:fill="FFFFFF" w:val="clear"/>
            <w:tcMar>
              <w:top w:type="dxa" w:w="60"/>
              <w:left w:type="dxa" w:w="120"/>
              <w:bottom w:type="dxa" w:w="60"/>
              <w:right w:type="dxa" w:w="120"/>
            </w:tcMar>
          </w:tcPr>
          <w:p>
            <w:r>
              <w:rPr>
                <w:rFonts w:ascii="Times New Roman" w:eastAsia="SimSun"/>
                <w:color w:val="000000"/>
                <w:sz w:val="21"/>
                <w:szCs w:val="21"/>
              </w:rPr>
              <w:t xml:space="preserve">AUD 對 USD 貶值 30%+</w:t>
            </w:r>
          </w:p>
        </w:tc>
      </w:tr>
      <w:tr>
        <w:trPr>
          <w:cantSplit/>
        </w:trPr>
        <w:tc>
          <w:tcPr>
            <w:tcW w:type="pct" w:w="25%"/>
            <w:shd w:fill="F5F2E8" w:val="clear"/>
            <w:tcMar>
              <w:top w:type="dxa" w:w="60"/>
              <w:left w:type="dxa" w:w="120"/>
              <w:bottom w:type="dxa" w:w="60"/>
              <w:right w:type="dxa" w:w="120"/>
            </w:tcMar>
          </w:tcPr>
          <w:p>
            <w:r>
              <w:rPr>
                <w:rFonts w:ascii="Times New Roman" w:eastAsia="SimSun"/>
                <w:color w:val="000000"/>
                <w:sz w:val="21"/>
                <w:szCs w:val="21"/>
              </w:rPr>
              <w:t xml:space="preserve">歐州主權危機</w:t>
            </w:r>
          </w:p>
        </w:tc>
        <w:tc>
          <w:tcPr>
            <w:tcW w:type="pct" w:w="15%"/>
            <w:shd w:fill="F5F2E8" w:val="clear"/>
            <w:tcMar>
              <w:top w:type="dxa" w:w="60"/>
              <w:left w:type="dxa" w:w="120"/>
              <w:bottom w:type="dxa" w:w="60"/>
              <w:right w:type="dxa" w:w="120"/>
            </w:tcMar>
          </w:tcPr>
          <w:p>
            <w:r>
              <w:rPr>
                <w:rFonts w:ascii="Times New Roman" w:eastAsia="SimSun"/>
                <w:color w:val="000000"/>
                <w:sz w:val="21"/>
                <w:szCs w:val="21"/>
              </w:rPr>
              <w:t xml:space="preserve">2010–2012</w:t>
            </w:r>
          </w:p>
        </w:tc>
        <w:tc>
          <w:tcPr>
            <w:tcW w:type="pct" w:w="30%"/>
            <w:shd w:fill="F5F2E8" w:val="clear"/>
            <w:tcMar>
              <w:top w:type="dxa" w:w="60"/>
              <w:left w:type="dxa" w:w="120"/>
              <w:bottom w:type="dxa" w:w="60"/>
              <w:right w:type="dxa" w:w="120"/>
            </w:tcMar>
          </w:tcPr>
          <w:p>
            <w:r>
              <w:rPr>
                <w:rFonts w:ascii="Times New Roman" w:eastAsia="SimSun"/>
                <w:color w:val="000000"/>
                <w:sz w:val="21"/>
                <w:szCs w:val="21"/>
              </w:rPr>
              <w:t xml:space="preserve">EUR、CHF、GBP</w:t>
            </w:r>
          </w:p>
        </w:tc>
        <w:tc>
          <w:tcPr>
            <w:tcW w:type="pct" w:w="30%"/>
            <w:shd w:fill="F5F2E8" w:val="clear"/>
            <w:tcMar>
              <w:top w:type="dxa" w:w="60"/>
              <w:left w:type="dxa" w:w="120"/>
              <w:bottom w:type="dxa" w:w="60"/>
              <w:right w:type="dxa" w:w="120"/>
            </w:tcMar>
          </w:tcPr>
          <w:p>
            <w:r>
              <w:rPr>
                <w:rFonts w:ascii="Times New Roman" w:eastAsia="SimSun"/>
                <w:color w:val="000000"/>
                <w:sz w:val="21"/>
                <w:szCs w:val="21"/>
              </w:rPr>
              <w:t xml:space="preserve">EUR/CHF 底部起趕</w:t>
            </w:r>
          </w:p>
        </w:tc>
      </w:tr>
      <w:tr>
        <w:trPr>
          <w:cantSplit/>
        </w:trPr>
        <w:tc>
          <w:tcPr>
            <w:tcW w:type="pct" w:w="25%"/>
            <w:shd w:fill="FFFFFF" w:val="clear"/>
            <w:tcMar>
              <w:top w:type="dxa" w:w="60"/>
              <w:left w:type="dxa" w:w="120"/>
              <w:bottom w:type="dxa" w:w="60"/>
              <w:right w:type="dxa" w:w="120"/>
            </w:tcMar>
          </w:tcPr>
          <w:p>
            <w:r>
              <w:rPr>
                <w:rFonts w:ascii="Times New Roman" w:eastAsia="SimSun"/>
                <w:color w:val="000000"/>
                <w:sz w:val="21"/>
                <w:szCs w:val="21"/>
              </w:rPr>
              <w:t xml:space="preserve">日圓匯率大幅波動</w:t>
            </w:r>
          </w:p>
        </w:tc>
        <w:tc>
          <w:tcPr>
            <w:tcW w:type="pct" w:w="15%"/>
            <w:shd w:fill="FFFFFF" w:val="clear"/>
            <w:tcMar>
              <w:top w:type="dxa" w:w="60"/>
              <w:left w:type="dxa" w:w="120"/>
              <w:bottom w:type="dxa" w:w="60"/>
              <w:right w:type="dxa" w:w="120"/>
            </w:tcMar>
          </w:tcPr>
          <w:p>
            <w:r>
              <w:rPr>
                <w:rFonts w:ascii="Times New Roman" w:eastAsia="SimSun"/>
                <w:color w:val="000000"/>
                <w:sz w:val="21"/>
                <w:szCs w:val="21"/>
              </w:rPr>
              <w:t xml:space="preserve">2022–2023</w:t>
            </w:r>
          </w:p>
        </w:tc>
        <w:tc>
          <w:tcPr>
            <w:tcW w:type="pct" w:w="30%"/>
            <w:shd w:fill="FFFFFF" w:val="clear"/>
            <w:tcMar>
              <w:top w:type="dxa" w:w="60"/>
              <w:left w:type="dxa" w:w="120"/>
              <w:bottom w:type="dxa" w:w="60"/>
              <w:right w:type="dxa" w:w="120"/>
            </w:tcMar>
          </w:tcPr>
          <w:p>
            <w:r>
              <w:rPr>
                <w:rFonts w:ascii="Times New Roman" w:eastAsia="SimSun"/>
                <w:color w:val="000000"/>
                <w:sz w:val="21"/>
                <w:szCs w:val="21"/>
              </w:rPr>
              <w:t xml:space="preserve">JPY、HKD、USD</w:t>
            </w:r>
          </w:p>
        </w:tc>
        <w:tc>
          <w:tcPr>
            <w:tcW w:type="pct" w:w="30%"/>
            <w:shd w:fill="FFFFFF" w:val="clear"/>
            <w:tcMar>
              <w:top w:type="dxa" w:w="60"/>
              <w:left w:type="dxa" w:w="120"/>
              <w:bottom w:type="dxa" w:w="60"/>
              <w:right w:type="dxa" w:w="120"/>
            </w:tcMar>
          </w:tcPr>
          <w:p>
            <w:r>
              <w:rPr>
                <w:rFonts w:ascii="Times New Roman" w:eastAsia="SimSun"/>
                <w:color w:val="000000"/>
                <w:sz w:val="21"/>
                <w:szCs w:val="21"/>
              </w:rPr>
              <w:t xml:space="preserve">USD/JPY 從 115 升至 151+</w:t>
            </w:r>
          </w:p>
        </w:tc>
      </w:tr>
      <w:tr>
        <w:trPr>
          <w:cantSplit/>
        </w:trPr>
        <w:tc>
          <w:tcPr>
            <w:tcW w:type="pct" w:w="25%"/>
            <w:shd w:fill="F5F2E8" w:val="clear"/>
            <w:tcMar>
              <w:top w:type="dxa" w:w="60"/>
              <w:left w:type="dxa" w:w="120"/>
              <w:bottom w:type="dxa" w:w="60"/>
              <w:right w:type="dxa" w:w="120"/>
            </w:tcMar>
          </w:tcPr>
          <w:p>
            <w:r>
              <w:rPr>
                <w:rFonts w:ascii="Times New Roman" w:eastAsia="SimSun"/>
                <w:color w:val="000000"/>
                <w:sz w:val="21"/>
                <w:szCs w:val="21"/>
              </w:rPr>
              <w:t xml:space="preserve">美元港元觸及 7.8</w:t>
            </w:r>
          </w:p>
        </w:tc>
        <w:tc>
          <w:tcPr>
            <w:tcW w:type="pct" w:w="15%"/>
            <w:shd w:fill="F5F2E8" w:val="clear"/>
            <w:tcMar>
              <w:top w:type="dxa" w:w="60"/>
              <w:left w:type="dxa" w:w="120"/>
              <w:bottom w:type="dxa" w:w="60"/>
              <w:right w:type="dxa" w:w="120"/>
            </w:tcMar>
          </w:tcPr>
          <w:p>
            <w:r>
              <w:rPr>
                <w:rFonts w:ascii="Times New Roman" w:eastAsia="SimSun"/>
                <w:color w:val="000000"/>
                <w:sz w:val="21"/>
                <w:szCs w:val="21"/>
              </w:rPr>
              <w:t xml:space="preserve">2023</w:t>
            </w:r>
          </w:p>
        </w:tc>
        <w:tc>
          <w:tcPr>
            <w:tcW w:type="pct" w:w="30%"/>
            <w:shd w:fill="F5F2E8" w:val="clear"/>
            <w:tcMar>
              <w:top w:type="dxa" w:w="60"/>
              <w:left w:type="dxa" w:w="120"/>
              <w:bottom w:type="dxa" w:w="60"/>
              <w:right w:type="dxa" w:w="120"/>
            </w:tcMar>
          </w:tcPr>
          <w:p>
            <w:r>
              <w:rPr>
                <w:rFonts w:ascii="Times New Roman" w:eastAsia="SimSun"/>
                <w:color w:val="000000"/>
                <w:sz w:val="21"/>
                <w:szCs w:val="21"/>
              </w:rPr>
              <w:t xml:space="preserve">HKD、USD、CNY</w:t>
            </w:r>
          </w:p>
        </w:tc>
        <w:tc>
          <w:tcPr>
            <w:tcW w:type="pct" w:w="30%"/>
            <w:shd w:fill="F5F2E8" w:val="clear"/>
            <w:tcMar>
              <w:top w:type="dxa" w:w="60"/>
              <w:left w:type="dxa" w:w="120"/>
              <w:bottom w:type="dxa" w:w="60"/>
              <w:right w:type="dxa" w:w="120"/>
            </w:tcMar>
          </w:tcPr>
          <w:p>
            <w:r>
              <w:rPr>
                <w:rFonts w:ascii="Times New Roman" w:eastAsia="SimSun"/>
                <w:color w:val="000000"/>
                <w:sz w:val="21"/>
                <w:szCs w:val="21"/>
              </w:rPr>
              <w:t xml:space="preserve">USD/HKD 突破 7.8 強方兌換保證</w:t>
            </w:r>
          </w:p>
        </w:tc>
      </w:tr>
    </w:tbl>
    <w:p>
      <w:pPr>
        <w:spacing w:before="120"/>
      </w:pPr>
    </w:p>
    <w:p>
      <w:pPr>
        <w:pStyle w:val="Heading1"/>
        <w:spacing w:after="200" w:before="480" w:line="312"/>
      </w:pPr>
      <w:bookmarkStart w:id="100008" w:name="_Toc100008"/>
      <w:r>
        <w:rPr>
          <w:rFonts w:ascii="Times New Roman" w:eastAsia="SimHei"/>
          <w:b/>
          <w:bCs/>
          <w:color w:val="0F2027"/>
          <w:sz w:val="32"/>
          <w:szCs w:val="32"/>
        </w:rPr>
        <w:t xml:space="preserve">章節四、測試方法與技術架構</w:t>
      </w:r>
      <w:bookmarkEnd w:id="100008"/>
    </w:p>
    <w:p>
      <w:pPr>
        <w:pStyle w:val="Heading2"/>
        <w:spacing w:after="160" w:before="360" w:line="312"/>
      </w:pPr>
      <w:bookmarkStart w:id="100009" w:name="_Toc100009"/>
      <w:r>
        <w:rPr>
          <w:rFonts w:ascii="Times New Roman" w:eastAsia="SimHei"/>
          <w:b/>
          <w:bCs/>
          <w:color w:val="0F2027"/>
          <w:sz w:val="28"/>
          <w:szCs w:val="28"/>
        </w:rPr>
        <w:t xml:space="preserve">4.1 模型運算流程</w:t>
      </w:r>
      <w:bookmarkEnd w:id="100009"/>
    </w:p>
    <w:p>
      <w:pPr>
        <w:spacing w:after="80" w:line="312"/>
        <w:ind w:firstLine="480"/>
        <w:jc w:val="both"/>
      </w:pPr>
      <w:r>
        <w:rPr>
          <w:rFonts w:ascii="Times New Roman" w:eastAsia="SimSun"/>
          <w:color w:val="000000"/>
          <w:sz w:val="24"/>
          <w:szCs w:val="24"/>
        </w:rPr>
        <w:t xml:space="preserve">MCLUB 匯率壓力測試採用五步模型運算流程，從資料採集到最終報告產出，每個步驟均有嚴格的賦證機制。第一步為資產資料採集，包括客戶的多幣別資產清單、各項資產的幣別歸屬、名義價值、成本價值、到期日等資訊。第二步為情境參數設定，根據客戶持有的幣別組合，將各情境的匯率變動分配至對應的幣對。第三步為資產重估，使用情境匯率對每項資產進行重新計價。第四步為損益計算，比較基準情境與各壓力情境下的資產價值差異。第五步為報告產出，將分析結果組織為結構化報告，包含建議與行動方案。</w:t>
      </w:r>
    </w:p>
    <w:p>
      <w:pPr>
        <w:spacing w:after="80" w:line="312"/>
        <w:ind w:firstLine="480"/>
        <w:jc w:val="both"/>
      </w:pPr>
      <w:r>
        <w:rPr>
          <w:rFonts w:ascii="Times New Roman" w:eastAsia="SimSun"/>
          <w:color w:val="000000"/>
          <w:sz w:val="24"/>
          <w:szCs w:val="24"/>
        </w:rPr>
        <w:t xml:space="preserve">每個步驟的賦證機制包括：資料採集階段的雙重輸入驗證（客戶確認 + 分析師復核），情境參數設定的合理性審查（參考歷史數據與監管指引），以及最終報告的內部賦證宩核。這種嚴格的賦證流程確保了報告的準確性和可信性，能夠經受信託審計和監管審查的檢驗。</w:t>
      </w:r>
    </w:p>
    <w:p>
      <w:pPr>
        <w:pStyle w:val="Heading2"/>
        <w:spacing w:after="160" w:before="360" w:line="312"/>
      </w:pPr>
      <w:bookmarkStart w:id="100010" w:name="_Toc100010"/>
      <w:r>
        <w:rPr>
          <w:rFonts w:ascii="Times New Roman" w:eastAsia="SimHei"/>
          <w:b/>
          <w:bCs/>
          <w:color w:val="0F2027"/>
          <w:sz w:val="28"/>
          <w:szCs w:val="28"/>
        </w:rPr>
        <w:t xml:space="preserve">4.2 資產覆蓋範圍</w:t>
      </w:r>
      <w:bookmarkEnd w:id="100010"/>
    </w:p>
    <w:p>
      <w:pPr>
        <w:spacing w:after="80" w:line="312"/>
        <w:ind w:firstLine="480"/>
        <w:jc w:val="both"/>
      </w:pPr>
      <w:r>
        <w:rPr>
          <w:rFonts w:ascii="Times New Roman" w:eastAsia="SimSun"/>
          <w:color w:val="000000"/>
          <w:sz w:val="24"/>
          <w:szCs w:val="24"/>
        </w:rPr>
        <w:t xml:space="preserve">壓力測試的資產覆蓋範圍包括客戶持有的所有受匯率影響的資產類別，主要分為以下六大類別。第一類是現金與存款，包括多幣別銀行存款、定期存款及現金等價值物，其匯率風險暴露直接且立即。第二類是定息證券，包括各幣別政府債券、公司債券及可轉換債券，其價值受匯率與利率變動雙重影響。第三類是股權警別投資，包括境內外股票、ETF 及私募基金，其匯率影響透過該幣別資產的本幣計價來傳導。第四類是不動產與物業投資，包括海外物業、日本物業等，租金收入與資產價值均受匯率影響。第五類是外匯衍生產品，包括過期合約、匯率期權、貨幣交換等，這些產品的匯率敏感度最高。第六類是跨境應收應付帳款，包括多幣別應收帳款、應付帳款及跨境分公司往來，其匯率影響取決於幣種錯配程度。</w:t>
      </w:r>
    </w:p>
    <w:p>
      <w:pPr>
        <w:pStyle w:val="Heading2"/>
        <w:spacing w:after="160" w:before="360" w:line="312"/>
      </w:pPr>
      <w:bookmarkStart w:id="100011" w:name="_Toc100011"/>
      <w:r>
        <w:rPr>
          <w:rFonts w:ascii="Times New Roman" w:eastAsia="SimHei"/>
          <w:b/>
          <w:bCs/>
          <w:color w:val="0F2027"/>
          <w:sz w:val="28"/>
          <w:szCs w:val="28"/>
        </w:rPr>
        <w:t xml:space="preserve">4.3 技術實現方式</w:t>
      </w:r>
      <w:bookmarkEnd w:id="100011"/>
    </w:p>
    <w:p>
      <w:pPr>
        <w:spacing w:after="80" w:line="312"/>
        <w:ind w:firstLine="480"/>
        <w:jc w:val="both"/>
      </w:pPr>
      <w:r>
        <w:rPr>
          <w:rFonts w:ascii="Times New Roman" w:eastAsia="SimSun"/>
          <w:color w:val="000000"/>
          <w:sz w:val="24"/>
          <w:szCs w:val="24"/>
        </w:rPr>
        <w:t xml:space="preserve">在技術實現層面，MCLUB 採用「匯率敏感度分析 + 情境模擬」的雙載方法。匯率敏感度分析（FX Sensitivity Analysis）計算每項資產對匯率變動 1% 的價值變化（Delta），形成敏感度矩斷，讓分析師快速識別風險集中點。情境模擬則將情境匯率應用於實際資產組合，計算各情境下的資產混合價值。兩種方法結合使用，既能提供微觀層面的敏感度資訊，又能提供宏觀層面的情境損益數據，形成完整的分析圖景。</w:t>
      </w:r>
    </w:p>
    <w:p>
      <w:pPr>
        <w:spacing w:after="80" w:line="312"/>
        <w:ind w:firstLine="480"/>
        <w:jc w:val="both"/>
      </w:pPr>
      <w:r>
        <w:rPr>
          <w:rFonts w:ascii="Times New Roman" w:eastAsia="SimSun"/>
          <w:color w:val="000000"/>
          <w:sz w:val="24"/>
          <w:szCs w:val="24"/>
        </w:rPr>
        <w:t xml:space="preserve">對於特定類型的資產，我們還採用更精細的計價模型。例如，對於含匯率衍生產品的資產，使用 Black-Scholes 或 Garman-Kohlhagen 模型進行重估；對於不動產投資，考慮租金收入的匯率轉換影響及資本化率變動；對於跨境應收應付帳款，考慮結算時間差異帶來的匯率風險斷口。每種資產類型的計價方法均在報告中明確披露，確保透明度和可審計性。</w:t>
      </w:r>
    </w:p>
    <w:p>
      <w:pPr>
        <w:pStyle w:val="Heading1"/>
        <w:spacing w:after="200" w:before="480" w:line="312"/>
      </w:pPr>
      <w:bookmarkStart w:id="100012" w:name="_Toc100012"/>
      <w:r>
        <w:rPr>
          <w:rFonts w:ascii="Times New Roman" w:eastAsia="SimHei"/>
          <w:b/>
          <w:bCs/>
          <w:color w:val="0F2027"/>
          <w:sz w:val="32"/>
          <w:szCs w:val="32"/>
        </w:rPr>
        <w:t xml:space="preserve">章節五、服務內容與交付物</w:t>
      </w:r>
      <w:bookmarkEnd w:id="100012"/>
    </w:p>
    <w:p>
      <w:pPr>
        <w:pStyle w:val="Heading2"/>
        <w:spacing w:after="160" w:before="360" w:line="312"/>
      </w:pPr>
      <w:bookmarkStart w:id="100013" w:name="_Toc100013"/>
      <w:r>
        <w:rPr>
          <w:rFonts w:ascii="Times New Roman" w:eastAsia="SimHei"/>
          <w:b/>
          <w:bCs/>
          <w:color w:val="0F2027"/>
          <w:sz w:val="28"/>
          <w:szCs w:val="28"/>
        </w:rPr>
        <w:t xml:space="preserve">5.1 服務流程</w:t>
      </w:r>
      <w:bookmarkEnd w:id="100013"/>
    </w:p>
    <w:p>
      <w:pPr>
        <w:spacing w:after="80" w:line="312"/>
        <w:ind w:firstLine="480"/>
        <w:jc w:val="both"/>
      </w:pPr>
      <w:r>
        <w:rPr>
          <w:rFonts w:ascii="Times New Roman" w:eastAsia="SimSun"/>
          <w:color w:val="000000"/>
          <w:sz w:val="24"/>
          <w:szCs w:val="24"/>
        </w:rPr>
        <w:t xml:space="preserve">MCLUB 匯率壓力測試報告的服務流程分為四個階段，從初步接觸到最終交付，每個階段均有明確的工作內容和時間節點。第一階段為需求診斷（Week 1），與客戶進行深度診斷，了解資產組合結構、幣別暴露、風險偏好及特殊關注點。第二階段為資料採集與測試執行（Week 2–3），收集客戶資產數據，設定情境參數，執行壓力測試模型。第三階段為結果審視與報告撰寫（Week 3–4），對測試結果進行內部審視，撰寫正式報告並製定建議。第四階段為報告交付與解讀（Week 4），向客戶正式交付報告，進行詳細解讀並討論後續行動方案。</w:t>
      </w:r>
    </w:p>
    <w:p>
      <w:pPr>
        <w:pStyle w:val="Heading2"/>
        <w:spacing w:after="160" w:before="360" w:line="312"/>
      </w:pPr>
      <w:bookmarkStart w:id="100014" w:name="_Toc100014"/>
      <w:r>
        <w:rPr>
          <w:rFonts w:ascii="Times New Roman" w:eastAsia="SimHei"/>
          <w:b/>
          <w:bCs/>
          <w:color w:val="0F2027"/>
          <w:sz w:val="28"/>
          <w:szCs w:val="28"/>
        </w:rPr>
        <w:t xml:space="preserve">5.2 交付物清單</w:t>
      </w:r>
      <w:bookmarkEnd w:id="100014"/>
    </w:p>
    <w:p>
      <w:pPr>
        <w:spacing w:before="120"/>
      </w:pPr>
    </w:p>
    <w:p>
      <w:pPr>
        <w:keepNext/>
        <w:spacing w:after="80"/>
        <w:jc w:val="center"/>
      </w:pPr>
      <w:r>
        <w:rPr>
          <w:rFonts w:ascii="Times New Roman" w:eastAsia="SimHei"/>
          <w:b/>
          <w:bCs/>
          <w:color w:val="0F2027"/>
          <w:sz w:val="21"/>
          <w:szCs w:val="21"/>
        </w:rPr>
        <w:t xml:space="preserve">表 3：服務交付物清單</w:t>
      </w:r>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tblGrid>
      <w:tr>
        <w:trPr>
          <w:cantSplit/>
          <w:tblHeader/>
        </w:trPr>
        <w:tc>
          <w:tcPr>
            <w:tcW w:type="pct" w:w="25%"/>
            <w:shd w:fill="C9A84C" w:val="clear"/>
            <w:tcMar>
              <w:top w:type="dxa" w:w="60"/>
              <w:left w:type="dxa" w:w="120"/>
              <w:bottom w:type="dxa" w:w="60"/>
              <w:right w:type="dxa" w:w="120"/>
            </w:tcMar>
          </w:tcPr>
          <w:p>
            <w:pPr>
              <w:jc w:val="center"/>
            </w:pPr>
            <w:r>
              <w:rPr>
                <w:rFonts w:ascii="Times New Roman" w:eastAsia="SimHei"/>
                <w:b/>
                <w:bCs/>
                <w:color w:val="1A1A1A"/>
                <w:sz w:val="21"/>
                <w:szCs w:val="21"/>
              </w:rPr>
              <w:t xml:space="preserve">交付物</w:t>
            </w:r>
          </w:p>
        </w:tc>
        <w:tc>
          <w:tcPr>
            <w:tcW w:type="pct" w:w="50%"/>
            <w:shd w:fill="C9A84C" w:val="clear"/>
            <w:tcMar>
              <w:top w:type="dxa" w:w="60"/>
              <w:left w:type="dxa" w:w="120"/>
              <w:bottom w:type="dxa" w:w="60"/>
              <w:right w:type="dxa" w:w="120"/>
            </w:tcMar>
          </w:tcPr>
          <w:p>
            <w:pPr>
              <w:jc w:val="center"/>
            </w:pPr>
            <w:r>
              <w:rPr>
                <w:rFonts w:ascii="Times New Roman" w:eastAsia="SimHei"/>
                <w:b/>
                <w:bCs/>
                <w:color w:val="1A1A1A"/>
                <w:sz w:val="21"/>
                <w:szCs w:val="21"/>
              </w:rPr>
              <w:t xml:space="preserve">內容說明</w:t>
            </w:r>
          </w:p>
        </w:tc>
        <w:tc>
          <w:tcPr>
            <w:tcW w:type="pct" w:w="25%"/>
            <w:shd w:fill="C9A84C" w:val="clear"/>
            <w:tcMar>
              <w:top w:type="dxa" w:w="60"/>
              <w:left w:type="dxa" w:w="120"/>
              <w:bottom w:type="dxa" w:w="60"/>
              <w:right w:type="dxa" w:w="120"/>
            </w:tcMar>
          </w:tcPr>
          <w:p>
            <w:pPr>
              <w:jc w:val="center"/>
            </w:pPr>
            <w:r>
              <w:rPr>
                <w:rFonts w:ascii="Times New Roman" w:eastAsia="SimHei"/>
                <w:b/>
                <w:bCs/>
                <w:color w:val="1A1A1A"/>
                <w:sz w:val="21"/>
                <w:szCs w:val="21"/>
              </w:rPr>
              <w:t xml:space="preserve">格式</w:t>
            </w:r>
          </w:p>
        </w:tc>
      </w:tr>
      <w:tr>
        <w:trPr>
          <w:cantSplit/>
        </w:trPr>
        <w:tc>
          <w:tcPr>
            <w:tcW w:type="pct" w:w="25%"/>
            <w:shd w:fill="F5F2E8" w:val="clear"/>
            <w:tcMar>
              <w:top w:type="dxa" w:w="60"/>
              <w:left w:type="dxa" w:w="120"/>
              <w:bottom w:type="dxa" w:w="60"/>
              <w:right w:type="dxa" w:w="120"/>
            </w:tcMar>
          </w:tcPr>
          <w:p>
            <w:r>
              <w:rPr>
                <w:rFonts w:ascii="Times New Roman" w:eastAsia="SimSun"/>
                <w:color w:val="000000"/>
                <w:sz w:val="21"/>
                <w:szCs w:val="21"/>
              </w:rPr>
              <w:t xml:space="preserve">壓力測試主報告</w:t>
            </w:r>
          </w:p>
        </w:tc>
        <w:tc>
          <w:tcPr>
            <w:tcW w:type="pct" w:w="50%"/>
            <w:shd w:fill="F5F2E8" w:val="clear"/>
            <w:tcMar>
              <w:top w:type="dxa" w:w="60"/>
              <w:left w:type="dxa" w:w="120"/>
              <w:bottom w:type="dxa" w:w="60"/>
              <w:right w:type="dxa" w:w="120"/>
            </w:tcMar>
          </w:tcPr>
          <w:p>
            <w:r>
              <w:rPr>
                <w:rFonts w:ascii="Times New Roman" w:eastAsia="SimSun"/>
                <w:color w:val="000000"/>
                <w:sz w:val="21"/>
                <w:szCs w:val="21"/>
              </w:rPr>
              <w:t xml:space="preserve">完整的測試結果、情境分析、損益量化、建議行動方案</w:t>
            </w:r>
          </w:p>
        </w:tc>
        <w:tc>
          <w:tcPr>
            <w:tcW w:type="pct" w:w="25%"/>
            <w:shd w:fill="F5F2E8" w:val="clear"/>
            <w:tcMar>
              <w:top w:type="dxa" w:w="60"/>
              <w:left w:type="dxa" w:w="120"/>
              <w:bottom w:type="dxa" w:w="60"/>
              <w:right w:type="dxa" w:w="120"/>
            </w:tcMar>
          </w:tcPr>
          <w:p>
            <w:r>
              <w:rPr>
                <w:rFonts w:ascii="Times New Roman" w:eastAsia="SimSun"/>
                <w:color w:val="000000"/>
                <w:sz w:val="21"/>
                <w:szCs w:val="21"/>
              </w:rPr>
              <w:t xml:space="preserve">PDF + DOCX</w:t>
            </w:r>
          </w:p>
        </w:tc>
      </w:tr>
      <w:tr>
        <w:trPr>
          <w:cantSplit/>
        </w:trPr>
        <w:tc>
          <w:tcPr>
            <w:tcW w:type="pct" w:w="25%"/>
            <w:shd w:fill="FFFFFF" w:val="clear"/>
            <w:tcMar>
              <w:top w:type="dxa" w:w="60"/>
              <w:left w:type="dxa" w:w="120"/>
              <w:bottom w:type="dxa" w:w="60"/>
              <w:right w:type="dxa" w:w="120"/>
            </w:tcMar>
          </w:tcPr>
          <w:p>
            <w:r>
              <w:rPr>
                <w:rFonts w:ascii="Times New Roman" w:eastAsia="SimSun"/>
                <w:color w:val="000000"/>
                <w:sz w:val="21"/>
                <w:szCs w:val="21"/>
              </w:rPr>
              <w:t xml:space="preserve">資產敏感度矩敷</w:t>
            </w:r>
          </w:p>
        </w:tc>
        <w:tc>
          <w:tcPr>
            <w:tcW w:type="pct" w:w="50%"/>
            <w:shd w:fill="FFFFFF" w:val="clear"/>
            <w:tcMar>
              <w:top w:type="dxa" w:w="60"/>
              <w:left w:type="dxa" w:w="120"/>
              <w:bottom w:type="dxa" w:w="60"/>
              <w:right w:type="dxa" w:w="120"/>
            </w:tcMar>
          </w:tcPr>
          <w:p>
            <w:r>
              <w:rPr>
                <w:rFonts w:ascii="Times New Roman" w:eastAsia="SimSun"/>
                <w:color w:val="000000"/>
                <w:sz w:val="21"/>
                <w:szCs w:val="21"/>
              </w:rPr>
              <w:t xml:space="preserve">各幣別資產對 1% 匯率變動的價值變化</w:t>
            </w:r>
          </w:p>
        </w:tc>
        <w:tc>
          <w:tcPr>
            <w:tcW w:type="pct" w:w="25%"/>
            <w:shd w:fill="FFFFFF" w:val="clear"/>
            <w:tcMar>
              <w:top w:type="dxa" w:w="60"/>
              <w:left w:type="dxa" w:w="120"/>
              <w:bottom w:type="dxa" w:w="60"/>
              <w:right w:type="dxa" w:w="120"/>
            </w:tcMar>
          </w:tcPr>
          <w:p>
            <w:r>
              <w:rPr>
                <w:rFonts w:ascii="Times New Roman" w:eastAsia="SimSun"/>
                <w:color w:val="000000"/>
                <w:sz w:val="21"/>
                <w:szCs w:val="21"/>
              </w:rPr>
              <w:t xml:space="preserve">Excel</w:t>
            </w:r>
          </w:p>
        </w:tc>
      </w:tr>
      <w:tr>
        <w:trPr>
          <w:cantSplit/>
        </w:trPr>
        <w:tc>
          <w:tcPr>
            <w:tcW w:type="pct" w:w="25%"/>
            <w:shd w:fill="F5F2E8" w:val="clear"/>
            <w:tcMar>
              <w:top w:type="dxa" w:w="60"/>
              <w:left w:type="dxa" w:w="120"/>
              <w:bottom w:type="dxa" w:w="60"/>
              <w:right w:type="dxa" w:w="120"/>
            </w:tcMar>
          </w:tcPr>
          <w:p>
            <w:r>
              <w:rPr>
                <w:rFonts w:ascii="Times New Roman" w:eastAsia="SimSun"/>
                <w:color w:val="000000"/>
                <w:sz w:val="21"/>
                <w:szCs w:val="21"/>
              </w:rPr>
              <w:t xml:space="preserve">情境匯率參數表</w:t>
            </w:r>
          </w:p>
        </w:tc>
        <w:tc>
          <w:tcPr>
            <w:tcW w:type="pct" w:w="50%"/>
            <w:shd w:fill="F5F2E8" w:val="clear"/>
            <w:tcMar>
              <w:top w:type="dxa" w:w="60"/>
              <w:left w:type="dxa" w:w="120"/>
              <w:bottom w:type="dxa" w:w="60"/>
              <w:right w:type="dxa" w:w="120"/>
            </w:tcMar>
          </w:tcPr>
          <w:p>
            <w:r>
              <w:rPr>
                <w:rFonts w:ascii="Times New Roman" w:eastAsia="SimSun"/>
                <w:color w:val="000000"/>
                <w:sz w:val="21"/>
                <w:szCs w:val="21"/>
              </w:rPr>
              <w:t xml:space="preserve">每個情境的匯率變動假設詳情</w:t>
            </w:r>
          </w:p>
        </w:tc>
        <w:tc>
          <w:tcPr>
            <w:tcW w:type="pct" w:w="25%"/>
            <w:shd w:fill="F5F2E8" w:val="clear"/>
            <w:tcMar>
              <w:top w:type="dxa" w:w="60"/>
              <w:left w:type="dxa" w:w="120"/>
              <w:bottom w:type="dxa" w:w="60"/>
              <w:right w:type="dxa" w:w="120"/>
            </w:tcMar>
          </w:tcPr>
          <w:p>
            <w:r>
              <w:rPr>
                <w:rFonts w:ascii="Times New Roman" w:eastAsia="SimSun"/>
                <w:color w:val="000000"/>
                <w:sz w:val="21"/>
                <w:szCs w:val="21"/>
              </w:rPr>
              <w:t xml:space="preserve">Excel</w:t>
            </w:r>
          </w:p>
        </w:tc>
      </w:tr>
      <w:tr>
        <w:trPr>
          <w:cantSplit/>
        </w:trPr>
        <w:tc>
          <w:tcPr>
            <w:tcW w:type="pct" w:w="25%"/>
            <w:shd w:fill="FFFFFF" w:val="clear"/>
            <w:tcMar>
              <w:top w:type="dxa" w:w="60"/>
              <w:left w:type="dxa" w:w="120"/>
              <w:bottom w:type="dxa" w:w="60"/>
              <w:right w:type="dxa" w:w="120"/>
            </w:tcMar>
          </w:tcPr>
          <w:p>
            <w:r>
              <w:rPr>
                <w:rFonts w:ascii="Times New Roman" w:eastAsia="SimSun"/>
                <w:color w:val="000000"/>
                <w:sz w:val="21"/>
                <w:szCs w:val="21"/>
              </w:rPr>
              <w:t xml:space="preserve">管理層摘要</w:t>
            </w:r>
          </w:p>
        </w:tc>
        <w:tc>
          <w:tcPr>
            <w:tcW w:type="pct" w:w="50%"/>
            <w:shd w:fill="FFFFFF" w:val="clear"/>
            <w:tcMar>
              <w:top w:type="dxa" w:w="60"/>
              <w:left w:type="dxa" w:w="120"/>
              <w:bottom w:type="dxa" w:w="60"/>
              <w:right w:type="dxa" w:w="120"/>
            </w:tcMar>
          </w:tcPr>
          <w:p>
            <w:r>
              <w:rPr>
                <w:rFonts w:ascii="Times New Roman" w:eastAsia="SimSun"/>
                <w:color w:val="000000"/>
                <w:sz w:val="21"/>
                <w:szCs w:val="21"/>
              </w:rPr>
              <w:t xml:space="preserve">一頁式執行摘要，便於向董事會匯報</w:t>
            </w:r>
          </w:p>
        </w:tc>
        <w:tc>
          <w:tcPr>
            <w:tcW w:type="pct" w:w="25%"/>
            <w:shd w:fill="FFFFFF" w:val="clear"/>
            <w:tcMar>
              <w:top w:type="dxa" w:w="60"/>
              <w:left w:type="dxa" w:w="120"/>
              <w:bottom w:type="dxa" w:w="60"/>
              <w:right w:type="dxa" w:w="120"/>
            </w:tcMar>
          </w:tcPr>
          <w:p>
            <w:r>
              <w:rPr>
                <w:rFonts w:ascii="Times New Roman" w:eastAsia="SimSun"/>
                <w:color w:val="000000"/>
                <w:sz w:val="21"/>
                <w:szCs w:val="21"/>
              </w:rPr>
              <w:t xml:space="preserve">PDF</w:t>
            </w:r>
          </w:p>
        </w:tc>
      </w:tr>
      <w:tr>
        <w:trPr>
          <w:cantSplit/>
        </w:trPr>
        <w:tc>
          <w:tcPr>
            <w:tcW w:type="pct" w:w="25%"/>
            <w:shd w:fill="F5F2E8" w:val="clear"/>
            <w:tcMar>
              <w:top w:type="dxa" w:w="60"/>
              <w:left w:type="dxa" w:w="120"/>
              <w:bottom w:type="dxa" w:w="60"/>
              <w:right w:type="dxa" w:w="120"/>
            </w:tcMar>
          </w:tcPr>
          <w:p>
            <w:r>
              <w:rPr>
                <w:rFonts w:ascii="Times New Roman" w:eastAsia="SimSun"/>
                <w:color w:val="000000"/>
                <w:sz w:val="21"/>
                <w:szCs w:val="21"/>
              </w:rPr>
              <w:t xml:space="preserve">原始數據儲存檔</w:t>
            </w:r>
          </w:p>
        </w:tc>
        <w:tc>
          <w:tcPr>
            <w:tcW w:type="pct" w:w="50%"/>
            <w:shd w:fill="F5F2E8" w:val="clear"/>
            <w:tcMar>
              <w:top w:type="dxa" w:w="60"/>
              <w:left w:type="dxa" w:w="120"/>
              <w:bottom w:type="dxa" w:w="60"/>
              <w:right w:type="dxa" w:w="120"/>
            </w:tcMar>
          </w:tcPr>
          <w:p>
            <w:r>
              <w:rPr>
                <w:rFonts w:ascii="Times New Roman" w:eastAsia="SimSun"/>
                <w:color w:val="000000"/>
                <w:sz w:val="21"/>
                <w:szCs w:val="21"/>
              </w:rPr>
              <w:t xml:space="preserve">所有計算中介數據，支持審計追溯</w:t>
            </w:r>
          </w:p>
        </w:tc>
        <w:tc>
          <w:tcPr>
            <w:tcW w:type="pct" w:w="25%"/>
            <w:shd w:fill="F5F2E8" w:val="clear"/>
            <w:tcMar>
              <w:top w:type="dxa" w:w="60"/>
              <w:left w:type="dxa" w:w="120"/>
              <w:bottom w:type="dxa" w:w="60"/>
              <w:right w:type="dxa" w:w="120"/>
            </w:tcMar>
          </w:tcPr>
          <w:p>
            <w:r>
              <w:rPr>
                <w:rFonts w:ascii="Times New Roman" w:eastAsia="SimSun"/>
                <w:color w:val="000000"/>
                <w:sz w:val="21"/>
                <w:szCs w:val="21"/>
              </w:rPr>
              <w:t xml:space="preserve">Excel</w:t>
            </w:r>
          </w:p>
        </w:tc>
      </w:tr>
    </w:tbl>
    <w:p>
      <w:pPr>
        <w:spacing w:before="120"/>
      </w:pPr>
    </w:p>
    <w:p>
      <w:pPr>
        <w:pStyle w:val="Heading2"/>
        <w:spacing w:after="160" w:before="360" w:line="312"/>
      </w:pPr>
      <w:bookmarkStart w:id="100015" w:name="_Toc100015"/>
      <w:r>
        <w:rPr>
          <w:rFonts w:ascii="Times New Roman" w:eastAsia="SimHei"/>
          <w:b/>
          <w:bCs/>
          <w:color w:val="0F2027"/>
          <w:sz w:val="28"/>
          <w:szCs w:val="28"/>
        </w:rPr>
        <w:t xml:space="preserve">5.3 報告架構設計</w:t>
      </w:r>
      <w:bookmarkEnd w:id="100015"/>
    </w:p>
    <w:p>
      <w:pPr>
        <w:spacing w:after="80" w:line="312"/>
        <w:ind w:firstLine="480"/>
        <w:jc w:val="both"/>
      </w:pPr>
      <w:r>
        <w:rPr>
          <w:rFonts w:ascii="Times New Roman" w:eastAsia="SimSun"/>
          <w:color w:val="000000"/>
          <w:sz w:val="24"/>
          <w:szCs w:val="24"/>
        </w:rPr>
        <w:t xml:space="preserve">壓力測試主報告採用模組化架構，包含六個核心章節。第一章為執行摘要，以一頁篇幅概述測試結果、關鍵發現與核心建議，便於高層決策者快速掌握重點。第二章為資產組合概覽，詳列客戶的多幣別資產分佈、幣種錯配情況及整體暴露度。第三章為情境設定與變數，說明每個情境的經濡學過轄及匯率變動假設。第四章為測試結果與損益分析，這是報告的核心章節，包含各情境下的資產重估結果、損益量化及幣別分解。第五章為風險診斷與建議，根據測試結果提出具體的對衝策略建議。第六章為附錄，包含技術假設、方法論說明及原始數據。</w:t>
      </w:r>
    </w:p>
    <w:p>
      <w:pPr>
        <w:pStyle w:val="Heading1"/>
        <w:spacing w:after="200" w:before="480" w:line="312"/>
      </w:pPr>
      <w:bookmarkStart w:id="100016" w:name="_Toc100016"/>
      <w:r>
        <w:rPr>
          <w:rFonts w:ascii="Times New Roman" w:eastAsia="SimHei"/>
          <w:b/>
          <w:bCs/>
          <w:color w:val="0F2027"/>
          <w:sz w:val="32"/>
          <w:szCs w:val="32"/>
        </w:rPr>
        <w:t xml:space="preserve">章節六、全球實踐案例</w:t>
      </w:r>
      <w:bookmarkEnd w:id="100016"/>
    </w:p>
    <w:p>
      <w:pPr>
        <w:pStyle w:val="Heading2"/>
        <w:spacing w:after="160" w:before="360" w:line="312"/>
      </w:pPr>
      <w:bookmarkStart w:id="100017" w:name="_Toc100017"/>
      <w:r>
        <w:rPr>
          <w:rFonts w:ascii="Times New Roman" w:eastAsia="SimHei"/>
          <w:b/>
          <w:bCs/>
          <w:color w:val="0F2027"/>
          <w:sz w:val="28"/>
          <w:szCs w:val="28"/>
        </w:rPr>
        <w:t xml:space="preserve">6.1 案例一：日本物業投資組合壓力測試</w:t>
      </w:r>
      <w:bookmarkEnd w:id="100017"/>
    </w:p>
    <w:p>
      <w:pPr>
        <w:spacing w:after="80" w:line="312"/>
        <w:ind w:firstLine="480"/>
        <w:jc w:val="both"/>
      </w:pPr>
      <w:r>
        <w:rPr>
          <w:rFonts w:ascii="Times New Roman" w:eastAsia="SimSun"/>
          <w:color w:val="000000"/>
          <w:sz w:val="24"/>
          <w:szCs w:val="24"/>
        </w:rPr>
        <w:t xml:space="preserve">某家族辦公室客戶持有價值約 5 億港元的日本東京商業物業組合，租金收入以日圓計價，資產價值則以港元報告。在 2022 年日圓匯率從 115 快速貶至 151 的背景下，該客戶的日本物業組合在港元計價下出現了顯著負值。透過 MCLUB 的壓力測試，我們模擬了三個情境：日圓再貶 20%（極端情境）、日圓回升 15%（正向情境）及日圓小幅波動±5%（基準情境）。結果顯示，在極端情境下，該物業組合的港元計價損失可體達 8,000 萬港元，但租金收入的港元折算也會大幅下降，形成雙重衝擊。建議客戶考慮增加日圓對衝比例，並將部分租金收入鎖定為港元。</w:t>
      </w:r>
    </w:p>
    <w:p>
      <w:pPr>
        <w:pStyle w:val="Heading2"/>
        <w:spacing w:after="160" w:before="360" w:line="312"/>
      </w:pPr>
      <w:bookmarkStart w:id="100018" w:name="_Toc100018"/>
      <w:r>
        <w:rPr>
          <w:rFonts w:ascii="Times New Roman" w:eastAsia="SimHei"/>
          <w:b/>
          <w:bCs/>
          <w:color w:val="0F2027"/>
          <w:sz w:val="28"/>
          <w:szCs w:val="28"/>
        </w:rPr>
        <w:t xml:space="preserve">6.2 案例二：多幣別信託資產組合測試</w:t>
      </w:r>
      <w:bookmarkEnd w:id="100018"/>
    </w:p>
    <w:p>
      <w:pPr>
        <w:spacing w:after="80" w:line="312"/>
        <w:ind w:firstLine="480"/>
        <w:jc w:val="both"/>
      </w:pPr>
      <w:r>
        <w:rPr>
          <w:rFonts w:ascii="Times New Roman" w:eastAsia="SimSun"/>
          <w:color w:val="000000"/>
          <w:sz w:val="24"/>
          <w:szCs w:val="24"/>
        </w:rPr>
        <w:t xml:space="preserve">另一位客戶透過離岸信託持有分佈於香港、日本、英國及美國的多幣別資產組合，總價值約 2 億美元。資產包括美元定期存款、日圓政府債券、英鎊股票組合及港元私募基金。壓力測試結果揭示，該組合的主要匯率風險集中在日圓和英鎊兩個維度：當英鎊對美元貶值 15% 時，英國股票組合的美元計價損失約 1,200 萬美元；當日圓同時貶值 20% 時，日本債券部分的損失更是高達 1,500 萬美元。綜合建議包括：將日圓資產比例從 35% 降至 20%，增加美元資產配置，並設定日圓對衝的觸發條件（當 USD/JPY 超過 145 時啓動對衝）。</w:t>
      </w:r>
    </w:p>
    <w:p>
      <w:pPr>
        <w:pStyle w:val="Heading2"/>
        <w:spacing w:after="160" w:before="360" w:line="312"/>
      </w:pPr>
      <w:bookmarkStart w:id="100019" w:name="_Toc100019"/>
      <w:r>
        <w:rPr>
          <w:rFonts w:ascii="Times New Roman" w:eastAsia="SimHei"/>
          <w:b/>
          <w:bCs/>
          <w:color w:val="0F2027"/>
          <w:sz w:val="28"/>
          <w:szCs w:val="28"/>
        </w:rPr>
        <w:t xml:space="preserve">6.3 案例三：中港匯率聯動報告</w:t>
      </w:r>
      <w:bookmarkEnd w:id="100019"/>
    </w:p>
    <w:p>
      <w:pPr>
        <w:spacing w:after="80" w:line="312"/>
        <w:ind w:firstLine="480"/>
        <w:jc w:val="both"/>
      </w:pPr>
      <w:r>
        <w:rPr>
          <w:rFonts w:ascii="Times New Roman" w:eastAsia="SimSun"/>
          <w:color w:val="000000"/>
          <w:sz w:val="24"/>
          <w:szCs w:val="24"/>
        </w:rPr>
        <w:t xml:space="preserve">某家族辦公室客戶同時持有大量人民幣和港元資產，關注中港匯率聯動性對其資產的影響。壓力測試特別設計了「人民幣大幅貶值 + 港元聯動貼弱」的組合情境。結果顯示，即使在中度情境下（CNY 貶值 10%，HKD 同步貼弱 3%），客戶的人民幣資產在港元計價下已出現超過 3,000 萬港元的損失。建議客戶考慮增加美元資產作為緩衝，並將部分人民幣資產透過港股通（Stock Connect）配置為港元計價資產，以降低幣種錯配風險。</w:t>
      </w:r>
    </w:p>
    <w:p>
      <w:pPr>
        <w:pStyle w:val="Heading1"/>
        <w:spacing w:after="200" w:before="480" w:line="312"/>
      </w:pPr>
      <w:bookmarkStart w:id="100020" w:name="_Toc100020"/>
      <w:r>
        <w:rPr>
          <w:rFonts w:ascii="Times New Roman" w:eastAsia="SimHei"/>
          <w:b/>
          <w:bCs/>
          <w:color w:val="0F2027"/>
          <w:sz w:val="32"/>
          <w:szCs w:val="32"/>
        </w:rPr>
        <w:t xml:space="preserve">章節七、定價模式</w:t>
      </w:r>
      <w:bookmarkEnd w:id="100020"/>
    </w:p>
    <w:p>
      <w:pPr>
        <w:pStyle w:val="Heading2"/>
        <w:spacing w:after="160" w:before="360" w:line="312"/>
      </w:pPr>
      <w:bookmarkStart w:id="100021" w:name="_Toc100021"/>
      <w:r>
        <w:rPr>
          <w:rFonts w:ascii="Times New Roman" w:eastAsia="SimHei"/>
          <w:b/>
          <w:bCs/>
          <w:color w:val="0F2027"/>
          <w:sz w:val="28"/>
          <w:szCs w:val="28"/>
        </w:rPr>
        <w:t xml:space="preserve">7.1 服務層級</w:t>
      </w:r>
      <w:bookmarkEnd w:id="100021"/>
    </w:p>
    <w:p>
      <w:pPr>
        <w:spacing w:after="80" w:line="312"/>
        <w:ind w:firstLine="480"/>
        <w:jc w:val="both"/>
      </w:pPr>
      <w:r>
        <w:rPr>
          <w:rFonts w:ascii="Times New Roman" w:eastAsia="SimSun"/>
          <w:color w:val="000000"/>
          <w:sz w:val="24"/>
          <w:szCs w:val="24"/>
        </w:rPr>
        <w:t xml:space="preserve">MCLUB 匯率壓力測試報告提供三個服務層級，以滿足不同規模和複雜度的客戶需求。各層級的設計邏輯是：基礎版覆蓋標準壓力測試需求，運用預設情境和標準資產類型；進階版增加自定義情境和衍生產品計價；高端版提供完全定制的深度分析，包含動態更新和專屬分析師支持。</w:t>
      </w:r>
    </w:p>
    <w:p>
      <w:pPr>
        <w:spacing w:before="120"/>
      </w:pPr>
    </w:p>
    <w:p>
      <w:pPr>
        <w:keepNext/>
        <w:spacing w:after="80"/>
        <w:jc w:val="center"/>
      </w:pPr>
      <w:r>
        <w:rPr>
          <w:rFonts w:ascii="Times New Roman" w:eastAsia="SimHei"/>
          <w:b/>
          <w:bCs/>
          <w:color w:val="0F2027"/>
          <w:sz w:val="21"/>
          <w:szCs w:val="21"/>
        </w:rPr>
        <w:t xml:space="preserve">表 4：服務層級與定價</w:t>
      </w:r>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gridCol w:w="100"/>
        <w:gridCol w:w="100"/>
      </w:tblGrid>
      <w:tr>
        <w:trPr>
          <w:cantSplit/>
          <w:tblHeader/>
        </w:trPr>
        <w:tc>
          <w:tcPr>
            <w:tcW w:type="pct" w:w="15%"/>
            <w:shd w:fill="C9A84C" w:val="clear"/>
            <w:tcMar>
              <w:top w:type="dxa" w:w="60"/>
              <w:left w:type="dxa" w:w="120"/>
              <w:bottom w:type="dxa" w:w="60"/>
              <w:right w:type="dxa" w:w="120"/>
            </w:tcMar>
          </w:tcPr>
          <w:p>
            <w:pPr>
              <w:jc w:val="center"/>
            </w:pPr>
            <w:r>
              <w:rPr>
                <w:rFonts w:ascii="Times New Roman" w:eastAsia="SimHei"/>
                <w:b/>
                <w:bCs/>
                <w:color w:val="1A1A1A"/>
                <w:sz w:val="21"/>
                <w:szCs w:val="21"/>
              </w:rPr>
              <w:t xml:space="preserve">服務層級</w:t>
            </w:r>
          </w:p>
        </w:tc>
        <w:tc>
          <w:tcPr>
            <w:tcW w:type="pct" w:w="25%"/>
            <w:shd w:fill="C9A84C" w:val="clear"/>
            <w:tcMar>
              <w:top w:type="dxa" w:w="60"/>
              <w:left w:type="dxa" w:w="120"/>
              <w:bottom w:type="dxa" w:w="60"/>
              <w:right w:type="dxa" w:w="120"/>
            </w:tcMar>
          </w:tcPr>
          <w:p>
            <w:pPr>
              <w:jc w:val="center"/>
            </w:pPr>
            <w:r>
              <w:rPr>
                <w:rFonts w:ascii="Times New Roman" w:eastAsia="SimHei"/>
                <w:b/>
                <w:bCs/>
                <w:color w:val="1A1A1A"/>
                <w:sz w:val="21"/>
                <w:szCs w:val="21"/>
              </w:rPr>
              <w:t xml:space="preserve">資產覆蓋</w:t>
            </w:r>
          </w:p>
        </w:tc>
        <w:tc>
          <w:tcPr>
            <w:tcW w:type="pct" w:w="20%"/>
            <w:shd w:fill="C9A84C" w:val="clear"/>
            <w:tcMar>
              <w:top w:type="dxa" w:w="60"/>
              <w:left w:type="dxa" w:w="120"/>
              <w:bottom w:type="dxa" w:w="60"/>
              <w:right w:type="dxa" w:w="120"/>
            </w:tcMar>
          </w:tcPr>
          <w:p>
            <w:pPr>
              <w:jc w:val="center"/>
            </w:pPr>
            <w:r>
              <w:rPr>
                <w:rFonts w:ascii="Times New Roman" w:eastAsia="SimHei"/>
                <w:b/>
                <w:bCs/>
                <w:color w:val="1A1A1A"/>
                <w:sz w:val="21"/>
                <w:szCs w:val="21"/>
              </w:rPr>
              <w:t xml:space="preserve">情境數量</w:t>
            </w:r>
          </w:p>
        </w:tc>
        <w:tc>
          <w:tcPr>
            <w:tcW w:type="pct" w:w="15%"/>
            <w:shd w:fill="C9A84C" w:val="clear"/>
            <w:tcMar>
              <w:top w:type="dxa" w:w="60"/>
              <w:left w:type="dxa" w:w="120"/>
              <w:bottom w:type="dxa" w:w="60"/>
              <w:right w:type="dxa" w:w="120"/>
            </w:tcMar>
          </w:tcPr>
          <w:p>
            <w:pPr>
              <w:jc w:val="center"/>
            </w:pPr>
            <w:r>
              <w:rPr>
                <w:rFonts w:ascii="Times New Roman" w:eastAsia="SimHei"/>
                <w:b/>
                <w:bCs/>
                <w:color w:val="1A1A1A"/>
                <w:sz w:val="21"/>
                <w:szCs w:val="21"/>
              </w:rPr>
              <w:t xml:space="preserve">交付時間</w:t>
            </w:r>
          </w:p>
        </w:tc>
        <w:tc>
          <w:tcPr>
            <w:tcW w:type="pct" w:w="25%"/>
            <w:shd w:fill="C9A84C" w:val="clear"/>
            <w:tcMar>
              <w:top w:type="dxa" w:w="60"/>
              <w:left w:type="dxa" w:w="120"/>
              <w:bottom w:type="dxa" w:w="60"/>
              <w:right w:type="dxa" w:w="120"/>
            </w:tcMar>
          </w:tcPr>
          <w:p>
            <w:pPr>
              <w:jc w:val="center"/>
            </w:pPr>
            <w:r>
              <w:rPr>
                <w:rFonts w:ascii="Times New Roman" w:eastAsia="SimHei"/>
                <w:b/>
                <w:bCs/>
                <w:color w:val="1A1A1A"/>
                <w:sz w:val="21"/>
                <w:szCs w:val="21"/>
              </w:rPr>
              <w:t xml:space="preserve">建議定價</w:t>
            </w:r>
          </w:p>
        </w:tc>
      </w:tr>
      <w:tr>
        <w:trPr>
          <w:cantSplit/>
        </w:trPr>
        <w:tc>
          <w:tcPr>
            <w:tcW w:type="pct" w:w="15%"/>
            <w:shd w:fill="F5F2E8" w:val="clear"/>
            <w:tcMar>
              <w:top w:type="dxa" w:w="60"/>
              <w:left w:type="dxa" w:w="120"/>
              <w:bottom w:type="dxa" w:w="60"/>
              <w:right w:type="dxa" w:w="120"/>
            </w:tcMar>
          </w:tcPr>
          <w:p>
            <w:r>
              <w:rPr>
                <w:rFonts w:ascii="Times New Roman" w:eastAsia="SimSun"/>
                <w:color w:val="000000"/>
                <w:sz w:val="21"/>
                <w:szCs w:val="21"/>
              </w:rPr>
              <w:t xml:space="preserve">基礎版 Essential</w:t>
            </w:r>
          </w:p>
        </w:tc>
        <w:tc>
          <w:tcPr>
            <w:tcW w:type="pct" w:w="25%"/>
            <w:shd w:fill="F5F2E8" w:val="clear"/>
            <w:tcMar>
              <w:top w:type="dxa" w:w="60"/>
              <w:left w:type="dxa" w:w="120"/>
              <w:bottom w:type="dxa" w:w="60"/>
              <w:right w:type="dxa" w:w="120"/>
            </w:tcMar>
          </w:tcPr>
          <w:p>
            <w:r>
              <w:rPr>
                <w:rFonts w:ascii="Times New Roman" w:eastAsia="SimSun"/>
                <w:color w:val="000000"/>
                <w:sz w:val="21"/>
                <w:szCs w:val="21"/>
              </w:rPr>
              <w:t xml:space="preserve">現金、存款、定息證券</w:t>
            </w:r>
          </w:p>
        </w:tc>
        <w:tc>
          <w:tcPr>
            <w:tcW w:type="pct" w:w="20%"/>
            <w:shd w:fill="F5F2E8" w:val="clear"/>
            <w:tcMar>
              <w:top w:type="dxa" w:w="60"/>
              <w:left w:type="dxa" w:w="120"/>
              <w:bottom w:type="dxa" w:w="60"/>
              <w:right w:type="dxa" w:w="120"/>
            </w:tcMar>
          </w:tcPr>
          <w:p>
            <w:r>
              <w:rPr>
                <w:rFonts w:ascii="Times New Roman" w:eastAsia="SimSun"/>
                <w:color w:val="000000"/>
                <w:sz w:val="21"/>
                <w:szCs w:val="21"/>
              </w:rPr>
              <w:t xml:space="preserve">3 個預設情境</w:t>
            </w:r>
          </w:p>
        </w:tc>
        <w:tc>
          <w:tcPr>
            <w:tcW w:type="pct" w:w="15%"/>
            <w:shd w:fill="F5F2E8" w:val="clear"/>
            <w:tcMar>
              <w:top w:type="dxa" w:w="60"/>
              <w:left w:type="dxa" w:w="120"/>
              <w:bottom w:type="dxa" w:w="60"/>
              <w:right w:type="dxa" w:w="120"/>
            </w:tcMar>
          </w:tcPr>
          <w:p>
            <w:r>
              <w:rPr>
                <w:rFonts w:ascii="Times New Roman" w:eastAsia="SimSun"/>
                <w:color w:val="000000"/>
                <w:sz w:val="21"/>
                <w:szCs w:val="21"/>
              </w:rPr>
              <w:t xml:space="preserve">4 週</w:t>
            </w:r>
          </w:p>
        </w:tc>
        <w:tc>
          <w:tcPr>
            <w:tcW w:type="pct" w:w="25%"/>
            <w:shd w:fill="F5F2E8" w:val="clear"/>
            <w:tcMar>
              <w:top w:type="dxa" w:w="60"/>
              <w:left w:type="dxa" w:w="120"/>
              <w:bottom w:type="dxa" w:w="60"/>
              <w:right w:type="dxa" w:w="120"/>
            </w:tcMar>
          </w:tcPr>
          <w:p>
            <w:r>
              <w:rPr>
                <w:rFonts w:ascii="Times New Roman" w:eastAsia="SimSun"/>
                <w:color w:val="000000"/>
                <w:sz w:val="21"/>
                <w:szCs w:val="21"/>
              </w:rPr>
              <w:t xml:space="preserve">HK$ 48,000</w:t>
            </w:r>
          </w:p>
        </w:tc>
      </w:tr>
      <w:tr>
        <w:trPr>
          <w:cantSplit/>
        </w:trPr>
        <w:tc>
          <w:tcPr>
            <w:tcW w:type="pct" w:w="15%"/>
            <w:shd w:fill="FFFFFF" w:val="clear"/>
            <w:tcMar>
              <w:top w:type="dxa" w:w="60"/>
              <w:left w:type="dxa" w:w="120"/>
              <w:bottom w:type="dxa" w:w="60"/>
              <w:right w:type="dxa" w:w="120"/>
            </w:tcMar>
          </w:tcPr>
          <w:p>
            <w:r>
              <w:rPr>
                <w:rFonts w:ascii="Times New Roman" w:eastAsia="SimSun"/>
                <w:color w:val="000000"/>
                <w:sz w:val="21"/>
                <w:szCs w:val="21"/>
              </w:rPr>
              <w:t xml:space="preserve">進階版 Advanced</w:t>
            </w:r>
          </w:p>
        </w:tc>
        <w:tc>
          <w:tcPr>
            <w:tcW w:type="pct" w:w="25%"/>
            <w:shd w:fill="FFFFFF" w:val="clear"/>
            <w:tcMar>
              <w:top w:type="dxa" w:w="60"/>
              <w:left w:type="dxa" w:w="120"/>
              <w:bottom w:type="dxa" w:w="60"/>
              <w:right w:type="dxa" w:w="120"/>
            </w:tcMar>
          </w:tcPr>
          <w:p>
            <w:r>
              <w:rPr>
                <w:rFonts w:ascii="Times New Roman" w:eastAsia="SimSun"/>
                <w:color w:val="000000"/>
                <w:sz w:val="21"/>
                <w:szCs w:val="21"/>
              </w:rPr>
              <w:t xml:space="preserve">基礎版 + 股權、不動產、衍生產品</w:t>
            </w:r>
          </w:p>
        </w:tc>
        <w:tc>
          <w:tcPr>
            <w:tcW w:type="pct" w:w="20%"/>
            <w:shd w:fill="FFFFFF" w:val="clear"/>
            <w:tcMar>
              <w:top w:type="dxa" w:w="60"/>
              <w:left w:type="dxa" w:w="120"/>
              <w:bottom w:type="dxa" w:w="60"/>
              <w:right w:type="dxa" w:w="120"/>
            </w:tcMar>
          </w:tcPr>
          <w:p>
            <w:r>
              <w:rPr>
                <w:rFonts w:ascii="Times New Roman" w:eastAsia="SimSun"/>
                <w:color w:val="000000"/>
                <w:sz w:val="21"/>
                <w:szCs w:val="21"/>
              </w:rPr>
              <w:t xml:space="preserve">5 個情境（含自定義）</w:t>
            </w:r>
          </w:p>
        </w:tc>
        <w:tc>
          <w:tcPr>
            <w:tcW w:type="pct" w:w="15%"/>
            <w:shd w:fill="FFFFFF" w:val="clear"/>
            <w:tcMar>
              <w:top w:type="dxa" w:w="60"/>
              <w:left w:type="dxa" w:w="120"/>
              <w:bottom w:type="dxa" w:w="60"/>
              <w:right w:type="dxa" w:w="120"/>
            </w:tcMar>
          </w:tcPr>
          <w:p>
            <w:r>
              <w:rPr>
                <w:rFonts w:ascii="Times New Roman" w:eastAsia="SimSun"/>
                <w:color w:val="000000"/>
                <w:sz w:val="21"/>
                <w:szCs w:val="21"/>
              </w:rPr>
              <w:t xml:space="preserve">4–6 週</w:t>
            </w:r>
          </w:p>
        </w:tc>
        <w:tc>
          <w:tcPr>
            <w:tcW w:type="pct" w:w="25%"/>
            <w:shd w:fill="FFFFFF" w:val="clear"/>
            <w:tcMar>
              <w:top w:type="dxa" w:w="60"/>
              <w:left w:type="dxa" w:w="120"/>
              <w:bottom w:type="dxa" w:w="60"/>
              <w:right w:type="dxa" w:w="120"/>
            </w:tcMar>
          </w:tcPr>
          <w:p>
            <w:r>
              <w:rPr>
                <w:rFonts w:ascii="Times New Roman" w:eastAsia="SimSun"/>
                <w:color w:val="000000"/>
                <w:sz w:val="21"/>
                <w:szCs w:val="21"/>
              </w:rPr>
              <w:t xml:space="preserve">HK$ 128,000</w:t>
            </w:r>
          </w:p>
        </w:tc>
      </w:tr>
      <w:tr>
        <w:trPr>
          <w:cantSplit/>
        </w:trPr>
        <w:tc>
          <w:tcPr>
            <w:tcW w:type="pct" w:w="15%"/>
            <w:shd w:fill="F5F2E8" w:val="clear"/>
            <w:tcMar>
              <w:top w:type="dxa" w:w="60"/>
              <w:left w:type="dxa" w:w="120"/>
              <w:bottom w:type="dxa" w:w="60"/>
              <w:right w:type="dxa" w:w="120"/>
            </w:tcMar>
          </w:tcPr>
          <w:p>
            <w:r>
              <w:rPr>
                <w:rFonts w:ascii="Times New Roman" w:eastAsia="SimSun"/>
                <w:color w:val="000000"/>
                <w:sz w:val="21"/>
                <w:szCs w:val="21"/>
              </w:rPr>
              <w:t xml:space="preserve">高端版 Premium</w:t>
            </w:r>
          </w:p>
        </w:tc>
        <w:tc>
          <w:tcPr>
            <w:tcW w:type="pct" w:w="25%"/>
            <w:shd w:fill="F5F2E8" w:val="clear"/>
            <w:tcMar>
              <w:top w:type="dxa" w:w="60"/>
              <w:left w:type="dxa" w:w="120"/>
              <w:bottom w:type="dxa" w:w="60"/>
              <w:right w:type="dxa" w:w="120"/>
            </w:tcMar>
          </w:tcPr>
          <w:p>
            <w:r>
              <w:rPr>
                <w:rFonts w:ascii="Times New Roman" w:eastAsia="SimSun"/>
                <w:color w:val="000000"/>
                <w:sz w:val="21"/>
                <w:szCs w:val="21"/>
              </w:rPr>
              <w:t xml:space="preserve">全資產類別完整覆蓋</w:t>
            </w:r>
          </w:p>
        </w:tc>
        <w:tc>
          <w:tcPr>
            <w:tcW w:type="pct" w:w="20%"/>
            <w:shd w:fill="F5F2E8" w:val="clear"/>
            <w:tcMar>
              <w:top w:type="dxa" w:w="60"/>
              <w:left w:type="dxa" w:w="120"/>
              <w:bottom w:type="dxa" w:w="60"/>
              <w:right w:type="dxa" w:w="120"/>
            </w:tcMar>
          </w:tcPr>
          <w:p>
            <w:r>
              <w:rPr>
                <w:rFonts w:ascii="Times New Roman" w:eastAsia="SimSun"/>
                <w:color w:val="000000"/>
                <w:sz w:val="21"/>
                <w:szCs w:val="21"/>
              </w:rPr>
              <w:t xml:space="preserve">不限（含歷史參照）</w:t>
            </w:r>
          </w:p>
        </w:tc>
        <w:tc>
          <w:tcPr>
            <w:tcW w:type="pct" w:w="15%"/>
            <w:shd w:fill="F5F2E8" w:val="clear"/>
            <w:tcMar>
              <w:top w:type="dxa" w:w="60"/>
              <w:left w:type="dxa" w:w="120"/>
              <w:bottom w:type="dxa" w:w="60"/>
              <w:right w:type="dxa" w:w="120"/>
            </w:tcMar>
          </w:tcPr>
          <w:p>
            <w:r>
              <w:rPr>
                <w:rFonts w:ascii="Times New Roman" w:eastAsia="SimSun"/>
                <w:color w:val="000000"/>
                <w:sz w:val="21"/>
                <w:szCs w:val="21"/>
              </w:rPr>
              <w:t xml:space="preserve">6–8 週</w:t>
            </w:r>
          </w:p>
        </w:tc>
        <w:tc>
          <w:tcPr>
            <w:tcW w:type="pct" w:w="25%"/>
            <w:shd w:fill="F5F2E8" w:val="clear"/>
            <w:tcMar>
              <w:top w:type="dxa" w:w="60"/>
              <w:left w:type="dxa" w:w="120"/>
              <w:bottom w:type="dxa" w:w="60"/>
              <w:right w:type="dxa" w:w="120"/>
            </w:tcMar>
          </w:tcPr>
          <w:p>
            <w:r>
              <w:rPr>
                <w:rFonts w:ascii="Times New Roman" w:eastAsia="SimSun"/>
                <w:color w:val="000000"/>
                <w:sz w:val="21"/>
                <w:szCs w:val="21"/>
              </w:rPr>
              <w:t xml:space="preserve">HK$ 298,000</w:t>
            </w:r>
          </w:p>
        </w:tc>
      </w:tr>
    </w:tbl>
    <w:p>
      <w:pPr>
        <w:spacing w:before="120"/>
      </w:pPr>
    </w:p>
    <w:p>
      <w:pPr>
        <w:pStyle w:val="Heading2"/>
        <w:spacing w:after="160" w:before="360" w:line="312"/>
      </w:pPr>
      <w:bookmarkStart w:id="100022" w:name="_Toc100022"/>
      <w:r>
        <w:rPr>
          <w:rFonts w:ascii="Times New Roman" w:eastAsia="SimHei"/>
          <w:b/>
          <w:bCs/>
          <w:color w:val="0F2027"/>
          <w:sz w:val="28"/>
          <w:szCs w:val="28"/>
        </w:rPr>
        <w:t xml:space="preserve">7.2 增值服務</w:t>
      </w:r>
      <w:bookmarkEnd w:id="100022"/>
    </w:p>
    <w:p>
      <w:pPr>
        <w:spacing w:after="80" w:line="312"/>
        <w:ind w:firstLine="480"/>
        <w:jc w:val="both"/>
      </w:pPr>
      <w:r>
        <w:rPr>
          <w:rFonts w:ascii="Times New Roman" w:eastAsia="SimSun"/>
          <w:color w:val="000000"/>
          <w:sz w:val="24"/>
          <w:szCs w:val="24"/>
        </w:rPr>
        <w:t xml:space="preserve">除了標準服務層級外，MCLUB 還提供以下增值服務選項，客戶可以根據實際需求靈活配置。年度更新服務（HK$ 18,000/年）提供每季度的壓力測試更新，確保報告與最新市場情境同步。動態儀表板接入（HK$ 38,000）可將壓力測試模型接入客戶的多幣種資產儀表板（產品 3），實現實時匯率風險監控。專屬分析師顧問（HK$ 15,000/次）提供針對特定事件的即時壓力測試分析，適用於重大市場事件或投資決策前的專項評估。</w:t>
      </w:r>
    </w:p>
    <w:p>
      <w:pPr>
        <w:pStyle w:val="Heading1"/>
        <w:spacing w:after="200" w:before="480" w:line="312"/>
      </w:pPr>
      <w:bookmarkStart w:id="100023" w:name="_Toc100023"/>
      <w:r>
        <w:rPr>
          <w:rFonts w:ascii="Times New Roman" w:eastAsia="SimHei"/>
          <w:b/>
          <w:bCs/>
          <w:color w:val="0F2027"/>
          <w:sz w:val="32"/>
          <w:szCs w:val="32"/>
        </w:rPr>
        <w:t xml:space="preserve">章節八、與 MCLUB 家族辦公室服務整合</w:t>
      </w:r>
      <w:bookmarkEnd w:id="100023"/>
    </w:p>
    <w:p>
      <w:pPr>
        <w:pStyle w:val="Heading2"/>
        <w:spacing w:after="160" w:before="360" w:line="312"/>
      </w:pPr>
      <w:bookmarkStart w:id="100024" w:name="_Toc100024"/>
      <w:r>
        <w:rPr>
          <w:rFonts w:ascii="Times New Roman" w:eastAsia="SimHei"/>
          <w:b/>
          <w:bCs/>
          <w:color w:val="0F2027"/>
          <w:sz w:val="28"/>
          <w:szCs w:val="28"/>
        </w:rPr>
        <w:t xml:space="preserve">8.1 與對衝方案配對的衔接</w:t>
      </w:r>
      <w:bookmarkEnd w:id="100024"/>
    </w:p>
    <w:p>
      <w:pPr>
        <w:spacing w:after="80" w:line="312"/>
        <w:ind w:firstLine="480"/>
        <w:jc w:val="both"/>
      </w:pPr>
      <w:r>
        <w:rPr>
          <w:rFonts w:ascii="Times New Roman" w:eastAsia="SimSun"/>
          <w:color w:val="000000"/>
          <w:sz w:val="24"/>
          <w:szCs w:val="24"/>
        </w:rPr>
        <w:t xml:space="preserve">匯率壓力測試報告是整個 FX Risk Modeling Service 的起點，其輸出結果直接為產品 2（對衝方案配對）提供輸入。壓力測試識別出客戶資產組合的弱點和風險集中點後，對衝方案配對服務將根據這些發現，從全球合格的衍生產品中簡選最優對衝策略。這種「先診斷後處方」的服務流程確保了對衝方案的精準性和成本效益，避免了過度對衝或對衝不足的問題。</w:t>
      </w:r>
    </w:p>
    <w:p>
      <w:pPr>
        <w:pStyle w:val="Heading2"/>
        <w:spacing w:after="160" w:before="360" w:line="312"/>
      </w:pPr>
      <w:bookmarkStart w:id="100025" w:name="_Toc100025"/>
      <w:r>
        <w:rPr>
          <w:rFonts w:ascii="Times New Roman" w:eastAsia="SimHei"/>
          <w:b/>
          <w:bCs/>
          <w:color w:val="0F2027"/>
          <w:sz w:val="28"/>
          <w:szCs w:val="28"/>
        </w:rPr>
        <w:t xml:space="preserve">8.2 與多幣種資產儀表板的資料共享</w:t>
      </w:r>
      <w:bookmarkEnd w:id="100025"/>
    </w:p>
    <w:p>
      <w:pPr>
        <w:spacing w:after="80" w:line="312"/>
        <w:ind w:firstLine="480"/>
        <w:jc w:val="both"/>
      </w:pPr>
      <w:r>
        <w:rPr>
          <w:rFonts w:ascii="Times New Roman" w:eastAsia="SimSun"/>
          <w:color w:val="000000"/>
          <w:sz w:val="24"/>
          <w:szCs w:val="24"/>
        </w:rPr>
        <w:t xml:space="preserve">產品 3（多幣種資產儀表板）需要匯率數據作為輸入，而壓力測試的結果可以作為儀表板的風險指標展示。具體而言，壓力測試計算出的匯率敏感度係數可以轉化為儀表板上的即時風險指標，讓客戶在日常監控中快速了解当前匯率波動對其資產的影響。儀表板還可以集成壓力測試的情境參數，讓客戶自行調整情境假設來觀察即時影響。</w:t>
      </w:r>
    </w:p>
    <w:p>
      <w:pPr>
        <w:pStyle w:val="Heading2"/>
        <w:spacing w:after="160" w:before="360" w:line="312"/>
      </w:pPr>
      <w:bookmarkStart w:id="100026" w:name="_Toc100026"/>
      <w:r>
        <w:rPr>
          <w:rFonts w:ascii="Times New Roman" w:eastAsia="SimHei"/>
          <w:b/>
          <w:bCs/>
          <w:color w:val="0F2027"/>
          <w:sz w:val="28"/>
          <w:szCs w:val="28"/>
        </w:rPr>
        <w:t xml:space="preserve">8.3 與匯率風險工作坊的知識衔接</w:t>
      </w:r>
      <w:bookmarkEnd w:id="100026"/>
    </w:p>
    <w:p>
      <w:pPr>
        <w:spacing w:after="80" w:line="312"/>
        <w:ind w:firstLine="480"/>
        <w:jc w:val="both"/>
      </w:pPr>
      <w:r>
        <w:rPr>
          <w:rFonts w:ascii="Times New Roman" w:eastAsia="SimSun"/>
          <w:color w:val="000000"/>
          <w:sz w:val="24"/>
          <w:szCs w:val="24"/>
        </w:rPr>
        <w:t xml:space="preserve">產品 4（匯率風險工作坊）的設計目標是提升客戶團隊的匯率風險意識和能力，而壓力測試報告中的真實案例和數據是工作坊最佳的教學素材。我們將客戶自身的壓力測試結果作為工作坊的案例研討素材，讓客戶團隊能夠在自己的資產組合情境下學習如何解讀壓力測試結果、如何根據結果做決策。這種「學用結合」的方式大幅提升了工作坊的實用性和參與度。</w:t>
      </w:r>
    </w:p>
    <w:p>
      <w:pPr>
        <w:pStyle w:val="Heading1"/>
        <w:spacing w:after="200" w:before="480" w:line="312"/>
      </w:pPr>
      <w:bookmarkStart w:id="100027" w:name="_Toc100027"/>
      <w:r>
        <w:rPr>
          <w:rFonts w:ascii="Times New Roman" w:eastAsia="SimHei"/>
          <w:b/>
          <w:bCs/>
          <w:color w:val="0F2027"/>
          <w:sz w:val="32"/>
          <w:szCs w:val="32"/>
        </w:rPr>
        <w:t xml:space="preserve">章節九、競爭優勢</w:t>
      </w:r>
      <w:bookmarkEnd w:id="100027"/>
    </w:p>
    <w:p>
      <w:pPr>
        <w:pStyle w:val="Heading2"/>
        <w:spacing w:after="160" w:before="360" w:line="312"/>
      </w:pPr>
      <w:bookmarkStart w:id="100028" w:name="_Toc100028"/>
      <w:r>
        <w:rPr>
          <w:rFonts w:ascii="Times New Roman" w:eastAsia="SimHei"/>
          <w:b/>
          <w:bCs/>
          <w:color w:val="0F2027"/>
          <w:sz w:val="28"/>
          <w:szCs w:val="28"/>
        </w:rPr>
        <w:t xml:space="preserve">9.1 専業家族辦公室對象</w:t>
      </w:r>
      <w:bookmarkEnd w:id="100028"/>
    </w:p>
    <w:p>
      <w:pPr>
        <w:spacing w:after="80" w:line="312"/>
        <w:ind w:firstLine="480"/>
        <w:jc w:val="both"/>
      </w:pPr>
      <w:r>
        <w:rPr>
          <w:rFonts w:ascii="Times New Roman" w:eastAsia="SimSun"/>
          <w:color w:val="000000"/>
          <w:sz w:val="24"/>
          <w:szCs w:val="24"/>
        </w:rPr>
        <w:t xml:space="preserve">市場上現有的匯率風險評估服務主要針對金融機構和大型企業，少有專門為家族辦公室設計的解決方案。MCLUB 的差異化優勢在於：深度理解家族辦公室的資產結構特點（包括信託、海外物業、私募基金等非標準化資產），提供簡中文雙語報告，並將匯率風險評估與信託審計、稅務合覇等家族辦公室其他服務無縝整合。這種專業化定位讓 MCLUB 在家族辦公室市場中具有獨特的競爭壁垒。</w:t>
      </w:r>
    </w:p>
    <w:p>
      <w:pPr>
        <w:pStyle w:val="Heading2"/>
        <w:spacing w:after="160" w:before="360" w:line="312"/>
      </w:pPr>
      <w:bookmarkStart w:id="100029" w:name="_Toc100029"/>
      <w:r>
        <w:rPr>
          <w:rFonts w:ascii="Times New Roman" w:eastAsia="SimHei"/>
          <w:b/>
          <w:bCs/>
          <w:color w:val="0F2027"/>
          <w:sz w:val="28"/>
          <w:szCs w:val="28"/>
        </w:rPr>
        <w:t xml:space="preserve">9.2 技術優勢總結</w:t>
      </w:r>
      <w:bookmarkEnd w:id="100029"/>
    </w:p>
    <w:p>
      <w:pPr>
        <w:spacing w:before="120"/>
      </w:pPr>
    </w:p>
    <w:p>
      <w:pPr>
        <w:keepNext/>
        <w:spacing w:after="80"/>
        <w:jc w:val="center"/>
      </w:pPr>
      <w:r>
        <w:rPr>
          <w:rFonts w:ascii="Times New Roman" w:eastAsia="SimHei"/>
          <w:b/>
          <w:bCs/>
          <w:color w:val="0F2027"/>
          <w:sz w:val="21"/>
          <w:szCs w:val="21"/>
        </w:rPr>
        <w:t xml:space="preserve">表 5：MCLUB 壓力測試技術優勢</w:t>
      </w:r>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tblGrid>
      <w:tr>
        <w:trPr>
          <w:cantSplit/>
          <w:tblHeader/>
        </w:trPr>
        <w:tc>
          <w:tcPr>
            <w:tcW w:type="pct" w:w="15%"/>
            <w:shd w:fill="C9A84C" w:val="clear"/>
            <w:tcMar>
              <w:top w:type="dxa" w:w="60"/>
              <w:left w:type="dxa" w:w="120"/>
              <w:bottom w:type="dxa" w:w="60"/>
              <w:right w:type="dxa" w:w="120"/>
            </w:tcMar>
          </w:tcPr>
          <w:p>
            <w:pPr>
              <w:jc w:val="center"/>
            </w:pPr>
            <w:r>
              <w:rPr>
                <w:rFonts w:ascii="Times New Roman" w:eastAsia="SimHei"/>
                <w:b/>
                <w:bCs/>
                <w:color w:val="1A1A1A"/>
                <w:sz w:val="21"/>
                <w:szCs w:val="21"/>
              </w:rPr>
              <w:t xml:space="preserve">紞度</w:t>
            </w:r>
          </w:p>
        </w:tc>
        <w:tc>
          <w:tcPr>
            <w:tcW w:type="pct" w:w="35%"/>
            <w:shd w:fill="C9A84C" w:val="clear"/>
            <w:tcMar>
              <w:top w:type="dxa" w:w="60"/>
              <w:left w:type="dxa" w:w="120"/>
              <w:bottom w:type="dxa" w:w="60"/>
              <w:right w:type="dxa" w:w="120"/>
            </w:tcMar>
          </w:tcPr>
          <w:p>
            <w:pPr>
              <w:jc w:val="center"/>
            </w:pPr>
            <w:r>
              <w:rPr>
                <w:rFonts w:ascii="Times New Roman" w:eastAsia="SimHei"/>
                <w:b/>
                <w:bCs/>
                <w:color w:val="1A1A1A"/>
                <w:sz w:val="21"/>
                <w:szCs w:val="21"/>
              </w:rPr>
              <w:t xml:space="preserve">傳統服務</w:t>
            </w:r>
          </w:p>
        </w:tc>
        <w:tc>
          <w:tcPr>
            <w:tcW w:type="pct" w:w="50%"/>
            <w:shd w:fill="C9A84C" w:val="clear"/>
            <w:tcMar>
              <w:top w:type="dxa" w:w="60"/>
              <w:left w:type="dxa" w:w="120"/>
              <w:bottom w:type="dxa" w:w="60"/>
              <w:right w:type="dxa" w:w="120"/>
            </w:tcMar>
          </w:tcPr>
          <w:p>
            <w:pPr>
              <w:jc w:val="center"/>
            </w:pPr>
            <w:r>
              <w:rPr>
                <w:rFonts w:ascii="Times New Roman" w:eastAsia="SimHei"/>
                <w:b/>
                <w:bCs/>
                <w:color w:val="1A1A1A"/>
                <w:sz w:val="21"/>
                <w:szCs w:val="21"/>
              </w:rPr>
              <w:t xml:space="preserve">MCLUB 優勢</w:t>
            </w:r>
          </w:p>
        </w:tc>
      </w:tr>
      <w:tr>
        <w:trPr>
          <w:cantSplit/>
        </w:trPr>
        <w:tc>
          <w:tcPr>
            <w:tcW w:type="pct" w:w="15%"/>
            <w:shd w:fill="F5F2E8" w:val="clear"/>
            <w:tcMar>
              <w:top w:type="dxa" w:w="60"/>
              <w:left w:type="dxa" w:w="120"/>
              <w:bottom w:type="dxa" w:w="60"/>
              <w:right w:type="dxa" w:w="120"/>
            </w:tcMar>
          </w:tcPr>
          <w:p>
            <w:r>
              <w:rPr>
                <w:rFonts w:ascii="Times New Roman" w:eastAsia="SimSun"/>
                <w:color w:val="000000"/>
                <w:sz w:val="21"/>
                <w:szCs w:val="21"/>
              </w:rPr>
              <w:t xml:space="preserve">資產覆蓋</w:t>
            </w:r>
          </w:p>
        </w:tc>
        <w:tc>
          <w:tcPr>
            <w:tcW w:type="pct" w:w="35%"/>
            <w:shd w:fill="F5F2E8" w:val="clear"/>
            <w:tcMar>
              <w:top w:type="dxa" w:w="60"/>
              <w:left w:type="dxa" w:w="120"/>
              <w:bottom w:type="dxa" w:w="60"/>
              <w:right w:type="dxa" w:w="120"/>
            </w:tcMar>
          </w:tcPr>
          <w:p>
            <w:r>
              <w:rPr>
                <w:rFonts w:ascii="Times New Roman" w:eastAsia="SimSun"/>
                <w:color w:val="000000"/>
                <w:sz w:val="21"/>
                <w:szCs w:val="21"/>
              </w:rPr>
              <w:t xml:space="preserve">主要覆蓋證券和衍生產品</w:t>
            </w:r>
          </w:p>
        </w:tc>
        <w:tc>
          <w:tcPr>
            <w:tcW w:type="pct" w:w="50%"/>
            <w:shd w:fill="F5F2E8" w:val="clear"/>
            <w:tcMar>
              <w:top w:type="dxa" w:w="60"/>
              <w:left w:type="dxa" w:w="120"/>
              <w:bottom w:type="dxa" w:w="60"/>
              <w:right w:type="dxa" w:w="120"/>
            </w:tcMar>
          </w:tcPr>
          <w:p>
            <w:r>
              <w:rPr>
                <w:rFonts w:ascii="Times New Roman" w:eastAsia="SimSun"/>
                <w:color w:val="000000"/>
                <w:sz w:val="21"/>
                <w:szCs w:val="21"/>
              </w:rPr>
              <w:t xml:space="preserve">覆蓋信託、物業、私募基金等家族辦公室特有資產</w:t>
            </w:r>
          </w:p>
        </w:tc>
      </w:tr>
      <w:tr>
        <w:trPr>
          <w:cantSplit/>
        </w:trPr>
        <w:tc>
          <w:tcPr>
            <w:tcW w:type="pct" w:w="15%"/>
            <w:shd w:fill="FFFFFF" w:val="clear"/>
            <w:tcMar>
              <w:top w:type="dxa" w:w="60"/>
              <w:left w:type="dxa" w:w="120"/>
              <w:bottom w:type="dxa" w:w="60"/>
              <w:right w:type="dxa" w:w="120"/>
            </w:tcMar>
          </w:tcPr>
          <w:p>
            <w:r>
              <w:rPr>
                <w:rFonts w:ascii="Times New Roman" w:eastAsia="SimSun"/>
                <w:color w:val="000000"/>
                <w:sz w:val="21"/>
                <w:szCs w:val="21"/>
              </w:rPr>
              <w:t xml:space="preserve">情境設計</w:t>
            </w:r>
          </w:p>
        </w:tc>
        <w:tc>
          <w:tcPr>
            <w:tcW w:type="pct" w:w="35%"/>
            <w:shd w:fill="FFFFFF" w:val="clear"/>
            <w:tcMar>
              <w:top w:type="dxa" w:w="60"/>
              <w:left w:type="dxa" w:w="120"/>
              <w:bottom w:type="dxa" w:w="60"/>
              <w:right w:type="dxa" w:w="120"/>
            </w:tcMar>
          </w:tcPr>
          <w:p>
            <w:r>
              <w:rPr>
                <w:rFonts w:ascii="Times New Roman" w:eastAsia="SimSun"/>
                <w:color w:val="000000"/>
                <w:sz w:val="21"/>
                <w:szCs w:val="21"/>
              </w:rPr>
              <w:t xml:space="preserve">主要使用歷史情境</w:t>
            </w:r>
          </w:p>
        </w:tc>
        <w:tc>
          <w:tcPr>
            <w:tcW w:type="pct" w:w="50%"/>
            <w:shd w:fill="FFFFFF" w:val="clear"/>
            <w:tcMar>
              <w:top w:type="dxa" w:w="60"/>
              <w:left w:type="dxa" w:w="120"/>
              <w:bottom w:type="dxa" w:w="60"/>
              <w:right w:type="dxa" w:w="120"/>
            </w:tcMar>
          </w:tcPr>
          <w:p>
            <w:r>
              <w:rPr>
                <w:rFonts w:ascii="Times New Roman" w:eastAsia="SimSun"/>
                <w:color w:val="000000"/>
                <w:sz w:val="21"/>
                <w:szCs w:val="21"/>
              </w:rPr>
              <w:t xml:space="preserve">三層架構 + 歷史參照 + 自定義情境</w:t>
            </w:r>
          </w:p>
        </w:tc>
      </w:tr>
      <w:tr>
        <w:trPr>
          <w:cantSplit/>
        </w:trPr>
        <w:tc>
          <w:tcPr>
            <w:tcW w:type="pct" w:w="15%"/>
            <w:shd w:fill="F5F2E8" w:val="clear"/>
            <w:tcMar>
              <w:top w:type="dxa" w:w="60"/>
              <w:left w:type="dxa" w:w="120"/>
              <w:bottom w:type="dxa" w:w="60"/>
              <w:right w:type="dxa" w:w="120"/>
            </w:tcMar>
          </w:tcPr>
          <w:p>
            <w:r>
              <w:rPr>
                <w:rFonts w:ascii="Times New Roman" w:eastAsia="SimSun"/>
                <w:color w:val="000000"/>
                <w:sz w:val="21"/>
                <w:szCs w:val="21"/>
              </w:rPr>
              <w:t xml:space="preserve">報告格式</w:t>
            </w:r>
          </w:p>
        </w:tc>
        <w:tc>
          <w:tcPr>
            <w:tcW w:type="pct" w:w="35%"/>
            <w:shd w:fill="F5F2E8" w:val="clear"/>
            <w:tcMar>
              <w:top w:type="dxa" w:w="60"/>
              <w:left w:type="dxa" w:w="120"/>
              <w:bottom w:type="dxa" w:w="60"/>
              <w:right w:type="dxa" w:w="120"/>
            </w:tcMar>
          </w:tcPr>
          <w:p>
            <w:r>
              <w:rPr>
                <w:rFonts w:ascii="Times New Roman" w:eastAsia="SimSun"/>
                <w:color w:val="000000"/>
                <w:sz w:val="21"/>
                <w:szCs w:val="21"/>
              </w:rPr>
              <w:t xml:space="preserve">英文技術報告</w:t>
            </w:r>
          </w:p>
        </w:tc>
        <w:tc>
          <w:tcPr>
            <w:tcW w:type="pct" w:w="50%"/>
            <w:shd w:fill="F5F2E8" w:val="clear"/>
            <w:tcMar>
              <w:top w:type="dxa" w:w="60"/>
              <w:left w:type="dxa" w:w="120"/>
              <w:bottom w:type="dxa" w:w="60"/>
              <w:right w:type="dxa" w:w="120"/>
            </w:tcMar>
          </w:tcPr>
          <w:p>
            <w:r>
              <w:rPr>
                <w:rFonts w:ascii="Times New Roman" w:eastAsia="SimSun"/>
                <w:color w:val="000000"/>
                <w:sz w:val="21"/>
                <w:szCs w:val="21"/>
              </w:rPr>
              <w:t xml:space="preserve">簡中文雙語報告 + 管理層摘要</w:t>
            </w:r>
          </w:p>
        </w:tc>
      </w:tr>
      <w:tr>
        <w:trPr>
          <w:cantSplit/>
        </w:trPr>
        <w:tc>
          <w:tcPr>
            <w:tcW w:type="pct" w:w="15%"/>
            <w:shd w:fill="FFFFFF" w:val="clear"/>
            <w:tcMar>
              <w:top w:type="dxa" w:w="60"/>
              <w:left w:type="dxa" w:w="120"/>
              <w:bottom w:type="dxa" w:w="60"/>
              <w:right w:type="dxa" w:w="120"/>
            </w:tcMar>
          </w:tcPr>
          <w:p>
            <w:r>
              <w:rPr>
                <w:rFonts w:ascii="Times New Roman" w:eastAsia="SimSun"/>
                <w:color w:val="000000"/>
                <w:sz w:val="21"/>
                <w:szCs w:val="21"/>
              </w:rPr>
              <w:t xml:space="preserve">整合能力</w:t>
            </w:r>
          </w:p>
        </w:tc>
        <w:tc>
          <w:tcPr>
            <w:tcW w:type="pct" w:w="35%"/>
            <w:shd w:fill="FFFFFF" w:val="clear"/>
            <w:tcMar>
              <w:top w:type="dxa" w:w="60"/>
              <w:left w:type="dxa" w:w="120"/>
              <w:bottom w:type="dxa" w:w="60"/>
              <w:right w:type="dxa" w:w="120"/>
            </w:tcMar>
          </w:tcPr>
          <w:p>
            <w:r>
              <w:rPr>
                <w:rFonts w:ascii="Times New Roman" w:eastAsia="SimSun"/>
                <w:color w:val="000000"/>
                <w:sz w:val="21"/>
                <w:szCs w:val="21"/>
              </w:rPr>
              <w:t xml:space="preserve">獨立產品</w:t>
            </w:r>
          </w:p>
        </w:tc>
        <w:tc>
          <w:tcPr>
            <w:tcW w:type="pct" w:w="50%"/>
            <w:shd w:fill="FFFFFF" w:val="clear"/>
            <w:tcMar>
              <w:top w:type="dxa" w:w="60"/>
              <w:left w:type="dxa" w:w="120"/>
              <w:bottom w:type="dxa" w:w="60"/>
              <w:right w:type="dxa" w:w="120"/>
            </w:tcMar>
          </w:tcPr>
          <w:p>
            <w:r>
              <w:rPr>
                <w:rFonts w:ascii="Times New Roman" w:eastAsia="SimSun"/>
                <w:color w:val="000000"/>
                <w:sz w:val="21"/>
                <w:szCs w:val="21"/>
              </w:rPr>
              <w:t xml:space="preserve">與對衝配對、儀表板、工作坊無縝衔接</w:t>
            </w:r>
          </w:p>
        </w:tc>
      </w:tr>
      <w:tr>
        <w:trPr>
          <w:cantSplit/>
        </w:trPr>
        <w:tc>
          <w:tcPr>
            <w:tcW w:type="pct" w:w="15%"/>
            <w:shd w:fill="F5F2E8" w:val="clear"/>
            <w:tcMar>
              <w:top w:type="dxa" w:w="60"/>
              <w:left w:type="dxa" w:w="120"/>
              <w:bottom w:type="dxa" w:w="60"/>
              <w:right w:type="dxa" w:w="120"/>
            </w:tcMar>
          </w:tcPr>
          <w:p>
            <w:r>
              <w:rPr>
                <w:rFonts w:ascii="Times New Roman" w:eastAsia="SimSun"/>
                <w:color w:val="000000"/>
                <w:sz w:val="21"/>
                <w:szCs w:val="21"/>
              </w:rPr>
              <w:t xml:space="preserve">合覇導向</w:t>
            </w:r>
          </w:p>
        </w:tc>
        <w:tc>
          <w:tcPr>
            <w:tcW w:type="pct" w:w="35%"/>
            <w:shd w:fill="F5F2E8" w:val="clear"/>
            <w:tcMar>
              <w:top w:type="dxa" w:w="60"/>
              <w:left w:type="dxa" w:w="120"/>
              <w:bottom w:type="dxa" w:w="60"/>
              <w:right w:type="dxa" w:w="120"/>
            </w:tcMar>
          </w:tcPr>
          <w:p>
            <w:r>
              <w:rPr>
                <w:rFonts w:ascii="Times New Roman" w:eastAsia="SimSun"/>
                <w:color w:val="000000"/>
                <w:sz w:val="21"/>
                <w:szCs w:val="21"/>
              </w:rPr>
              <w:t xml:space="preserve">一般性風險報告</w:t>
            </w:r>
          </w:p>
        </w:tc>
        <w:tc>
          <w:tcPr>
            <w:tcW w:type="pct" w:w="50%"/>
            <w:shd w:fill="F5F2E8" w:val="clear"/>
            <w:tcMar>
              <w:top w:type="dxa" w:w="60"/>
              <w:left w:type="dxa" w:w="120"/>
              <w:bottom w:type="dxa" w:w="60"/>
              <w:right w:type="dxa" w:w="120"/>
            </w:tcMar>
          </w:tcPr>
          <w:p>
            <w:r>
              <w:rPr>
                <w:rFonts w:ascii="Times New Roman" w:eastAsia="SimSun"/>
                <w:color w:val="000000"/>
                <w:sz w:val="21"/>
                <w:szCs w:val="21"/>
              </w:rPr>
              <w:t xml:space="preserve">對準信託審計、HKMA、Basel III 要求</w:t>
            </w:r>
          </w:p>
        </w:tc>
      </w:tr>
    </w:tbl>
    <w:p>
      <w:pPr>
        <w:spacing w:before="120"/>
      </w:pPr>
    </w:p>
    <w:p>
      <w:pPr>
        <w:pStyle w:val="Heading1"/>
        <w:spacing w:after="200" w:before="480" w:line="312"/>
      </w:pPr>
      <w:bookmarkStart w:id="100030" w:name="_Toc100030"/>
      <w:r>
        <w:rPr>
          <w:rFonts w:ascii="Times New Roman" w:eastAsia="SimHei"/>
          <w:b/>
          <w:bCs/>
          <w:color w:val="0F2027"/>
          <w:sz w:val="32"/>
          <w:szCs w:val="32"/>
        </w:rPr>
        <w:t xml:space="preserve">章節十、結論與行動建議</w:t>
      </w:r>
      <w:bookmarkEnd w:id="100030"/>
    </w:p>
    <w:p>
      <w:pPr>
        <w:spacing w:after="80" w:line="312"/>
        <w:ind w:firstLine="480"/>
        <w:jc w:val="both"/>
      </w:pPr>
      <w:r>
        <w:rPr>
          <w:rFonts w:ascii="Times New Roman" w:eastAsia="SimSun"/>
          <w:color w:val="000000"/>
          <w:sz w:val="24"/>
          <w:szCs w:val="24"/>
        </w:rPr>
        <w:t xml:space="preserve">匯率壓力測試報告是 MCLUB FX Risk Modeling Service 的基石產品，它不僅是一份風險評估文件，更是家族財富管理決策的重要依據。透過系統化的三層情境架構、專業的資產重估模型和嚴格的賦證流程，客戶能夠清晰了解匯率極端變動對其財富的潜在影響，並獲得具體可執行的對衝建議。</w:t>
      </w:r>
    </w:p>
    <w:p>
      <w:pPr>
        <w:spacing w:after="80" w:line="312"/>
        <w:ind w:firstLine="480"/>
        <w:jc w:val="both"/>
      </w:pPr>
      <w:r>
        <w:rPr>
          <w:rFonts w:ascii="Times New Roman" w:eastAsia="SimSun"/>
          <w:color w:val="000000"/>
          <w:sz w:val="24"/>
          <w:szCs w:val="24"/>
        </w:rPr>
        <w:t xml:space="preserve">對於尚未進行過匯率壓力測試的家族辦公室客戶，我們建議從基礎版（Essential）開始，先對核心資產進行壓力測試，再根據結果決定是否需要升級至進階版或高端版。對於已經有對衝策略的客戶，建議直接選擇進階版，將壓力測試與對衝方案配對同步進行。對於資產規模較大、幣別暴露複雜的客戶，高端版的完全定制分析和專屬支持將提供最大價值。</w:t>
      </w:r>
    </w:p>
    <w:p>
      <w:pPr>
        <w:spacing w:after="80" w:line="312"/>
        <w:ind w:firstLine="480"/>
        <w:jc w:val="both"/>
      </w:pPr>
      <w:r>
        <w:rPr>
          <w:rFonts w:ascii="Times New Roman" w:eastAsia="SimSun"/>
          <w:color w:val="000000"/>
          <w:sz w:val="24"/>
          <w:szCs w:val="24"/>
        </w:rPr>
        <w:t xml:space="preserve">匯率風險不是可選項，而是家族財富管理的必要組成部分。MCLUB 的壓力測試報告為客戶提供了從「知道風險」到「量化風險」再到「管理風險」的完整路徑，是家族辦公室實現匯率風險專業化管理的第一步。</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eastAsia="Microsoft YaHei"/>
        <w:color w:val="808080"/>
        <w:sz w:val="18"/>
        <w:szCs w:val="18"/>
      </w:rPr>
      <w:t xml:space="preserve">MCLUB FX Risk Modeling — 壓力測試報告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line="312"/>
      <w:outlineLvl w:val="0"/>
    </w:pPr>
    <w:rPr>
      <w:rFonts w:ascii="Times New Roman" w:eastAsia="SimHei"/>
      <w:b/>
      <w:bCs/>
      <w:color w:val="0F2027"/>
      <w:sz w:val="32"/>
      <w:szCs w:val="32"/>
    </w:rPr>
  </w:style>
  <w:style w:type="paragraph" w:styleId="Heading2">
    <w:name w:val="Heading 2"/>
    <w:basedOn w:val="Normal"/>
    <w:next w:val="Normal"/>
    <w:qFormat/>
    <w:pPr>
      <w:spacing w:after="160" w:before="360" w:line="312"/>
      <w:outlineLvl w:val="1"/>
    </w:pPr>
    <w:rPr>
      <w:rFonts w:ascii="Times New Roman" w:eastAsia="SimHei"/>
      <w:b/>
      <w:bCs/>
      <w:color w:val="0F2027"/>
      <w:sz w:val="28"/>
      <w:szCs w:val="28"/>
    </w:rPr>
  </w:style>
  <w:style w:type="paragraph" w:styleId="Heading3">
    <w:name w:val="Heading 3"/>
    <w:basedOn w:val="Normal"/>
    <w:next w:val="Normal"/>
    <w:qFormat/>
    <w:pPr>
      <w:spacing w:after="120" w:before="280" w:line="312"/>
      <w:outlineLvl w:val="2"/>
    </w:pPr>
    <w:rPr>
      <w:rFonts w:ascii="Times New Roman" w:eastAsia="SimHei"/>
      <w:b/>
      <w:bCs/>
      <w:color w:val="0F2027"/>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2026-06-09T10:07:43.764Z</dcterms:created>
  <dcterms:modified xsi:type="dcterms:W3CDTF">2026-06-09T10:07:43.765Z</dcterms:modified>
</cp:coreProperties>
</file>

<file path=docProps/custom.xml><?xml version="1.0" encoding="utf-8"?>
<Properties xmlns="http://schemas.openxmlformats.org/officeDocument/2006/custom-properties" xmlns:vt="http://schemas.openxmlformats.org/officeDocument/2006/docPropsVTypes"/>
</file>