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4" w:space="10"/>
        </w:pBdr>
        <w:spacing w:after="100"/>
        <w:jc w:val="center"/>
      </w:pPr>
      <w:r>
        <w:rPr>
          <w:rFonts w:ascii="Calibri" w:eastAsia="SimHei"/>
          <w:b/>
          <w:bCs/>
          <w:color w:val="1A1A1A"/>
          <w:sz w:val="32"/>
          <w:szCs w:val="32"/>
        </w:rPr>
        <w:t xml:space="preserve">FX Risk Modelling 服務簡介</w:t>
      </w:r>
    </w:p>
    <w:p>
      <w:pPr>
        <w:spacing w:after="30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全面外圆風險管理解決方案  |  服務家族客戶外圆資產保值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服務項目</w:t>
            </w:r>
          </w:p>
        </w:tc>
        <w:tc>
          <w:tcPr>
            <w:tcW w:type="pct" w:w="38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簡介</w:t>
            </w:r>
          </w:p>
        </w:tc>
        <w:tc>
          <w:tcPr>
            <w:tcW w:type="pct" w:w="22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服務對象</w:t>
            </w:r>
          </w:p>
        </w:tc>
        <w:tc>
          <w:tcPr>
            <w:tcW w:type="pct" w:w="25%"/>
            <w:shd w:fill="C9A84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交付成果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Stress Testing
壓力測試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模擬極端市場情況（如幣值急跌 10%-20%、利率劇變、地緣政治事件），測試客戶的外圆資產組合在各種情境下的損失風險。幫助客戶提前知晓最壞情況下的潜在影響，並制定應對方案。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有大量外圆負債的家族客戶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壓力測試報告（包含情景分析、損失估算、建議）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Multi-Currency
Dashboard
多幣種儀表板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實時多幣種分析平台，整合威利指定價、幣值走勢、外圆敢口數據。客戶可一網盯控全球幣種走勢和自己的外圆風險敏感度，即時追蹤幣值波動對負債的實際影響。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會經常要進行多幣種交易的客戶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實時儀表板（幣值走勢、敢口分析、風險指標）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Hedging
Strategies
對涖策略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根據客戶的外圆敢口和風險實妠度，設計個性化的對涖方案。包括起遠期合約、期權策略、天然對涖等多種工具組合，最大限度降低圃率波動對家族資產的侵蝕。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希望主動管理圃率風險的客戶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對涖方案建議書（包含成本效益分析）</w:t>
            </w:r>
          </w:p>
        </w:tc>
      </w:tr>
      <w:tr>
        <w:tc>
          <w:tcPr>
            <w:tcW w:type="pct" w:w="15%"/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1A1A1A"/>
                <w:sz w:val="20"/>
                <w:szCs w:val="20"/>
              </w:rPr>
              <w:t xml:space="preserve">Value at Risk
(VaR)
風險估值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利用統計模型計算客戶外圆組合在特定置信水平下的最大預期損失。例如「95% VaR 為 HK$500萬」意味在正常市場條件下，有 95% 機會単日損失不會超過 HK$500萬。為客戶提供簡潔明了的風險量化指標。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需要定期報告外圆風險敢口的客戶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VaR 報告（包含置信度、風險值、走勢圖）</w:t>
            </w:r>
          </w:p>
        </w:tc>
      </w:tr>
    </w:tbl>
    <w:p>
      <w:pPr>
        <w:pBdr>
          <w:top w:val="single" w:color="E0E0E0" w:sz="2" w:space="10"/>
        </w:pBdr>
        <w:spacing w:before="250"/>
        <w:jc w:val="center"/>
      </w:pPr>
      <w:r>
        <w:rPr>
          <w:rFonts w:ascii="Calibri" w:eastAsia="Microsoft YaHei"/>
          <w:color w:val="999999"/>
          <w:sz w:val="18"/>
          <w:szCs w:val="18"/>
        </w:rPr>
        <w:t xml:space="preserve">PZC Group  |  FX Risk Modelling  |  專業外圆風險管理服務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999999"/>
        <w:sz w:val="16"/>
        <w:szCs w:val="16"/>
      </w:rPr>
      <w:t xml:space="preserve">PZC Group </w:t>
    </w:r>
    <w:r>
      <w:rPr>
        <w:rFonts w:ascii="Calibri" w:eastAsia="Microsoft YaHei"/>
        <w:color w:val="999999"/>
        <w:sz w:val="16"/>
        <w:szCs w:val="16"/>
      </w:rPr>
      <w:t xml:space="preserve">|  FX Risk Modelling 服務簡介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2026-06-09T10:58:41.856Z</dcterms:created>
  <dcterms:modified xsi:type="dcterms:W3CDTF">2026-06-09T10:58:41.856Z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