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W w:type="pct" w:w="100%"/>
            <w:shd w:fill="1A1A1A" w:val="clear"/>
            <w:tcMar>
              <w:left w:type="dxa" w:w="1800"/>
              <w:right w:type="dxa" w:w="1800"/>
            </w:tcMar>
            <w:vAlign w:val="top"/>
          </w:tcPr>
          <w:p>
            <w:pPr>
              <w:spacing w:before="4800"/>
            </w:pPr>
          </w:p>
          <w:p>
            <w:pPr>
              <w:spacing w:after="100" w:before="200" w:line="900" w:lineRule="atLeast"/>
            </w:pPr>
            <w:r>
              <w:rPr>
                <w:rFonts w:ascii="Calibri" w:eastAsia="SimHei"/>
                <w:b/>
                <w:bCs/>
                <w:color w:val="FFFFFF"/>
                <w:sz w:val="72"/>
                <w:szCs w:val="72"/>
              </w:rPr>
              <w:t xml:space="preserve">VFK 健康產品 × MCLUB 會員制</w:t>
            </w:r>
          </w:p>
          <w:p>
            <w:pPr>
              <w:spacing w:after="100" w:before="200" w:line="600" w:lineRule="atLeast"/>
            </w:pPr>
            <w:r>
              <w:rPr>
                <w:rFonts w:ascii="Calibri" w:eastAsia="SimHei"/>
                <w:color w:val="B0B8C0"/>
                <w:sz w:val="44"/>
                <w:szCs w:val="44"/>
              </w:rPr>
              <w:t xml:space="preserve">推廣計劃報告</w:t>
            </w:r>
          </w:p>
          <w:p>
            <w:pPr>
              <w:pBdr>
                <w:top w:val="single" w:color="C9A84C" w:sz="6" w:space="12"/>
              </w:pBdr>
              <w:spacing w:before="600"/>
            </w:pPr>
          </w:p>
          <w:p>
            <w:pPr>
              <w:spacing w:after="60" w:before="300"/>
            </w:pPr>
            <w:r>
              <w:rPr>
                <w:rFonts w:ascii="Calibri" w:eastAsia="Microsoft YaHei"/>
                <w:color w:val="90989F"/>
                <w:sz w:val="24"/>
                <w:szCs w:val="24"/>
              </w:rPr>
              <w:t xml:space="preserve">百盛大通家族辦公室 | PZC Group</w:t>
            </w:r>
          </w:p>
          <w:p>
            <w:pPr>
              <w:spacing w:after="60"/>
            </w:pPr>
            <w:r>
              <w:rPr>
                <w:rFonts w:ascii="Calibri" w:eastAsia="Microsoft YaHei"/>
                <w:color w:val="90989F"/>
                <w:sz w:val="24"/>
                <w:szCs w:val="24"/>
              </w:rPr>
              <w:t xml:space="preserve">2026年6月</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sz w:val="32"/>
          <w:szCs w:val="32"/>
        </w:rPr>
        <w:t xml:space="preserve">目  錄</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第一章  執行摘要</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第二章  背景與目標</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一、項目背景</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二、報告目標</w:t>
            </w:r>
            <w:r>
              <w:tab/>
            </w:r>
            <w:r>
              <w:fldChar w:fldCharType="begin"/>
            </w:r>
            <w:r>
              <w:instrText xml:space="preserve"> PAGEREF _Toc100003 \h </w:instrText>
            </w:r>
            <w:r>
              <w:fldChar w:fldCharType="separate"/>
            </w:r>
            <w:r>
              <w:t>2</w:t>
            </w:r>
            <w:r>
              <w:fldChar w:fldCharType="end"/>
            </w:r>
          </w:hyperlink>
        </w:p>
        <w:p>
          <w:pPr>
            <w:pStyle w:val="9"/>
            <w:tabs>
              <w:tab w:val="right" w:leader="dot" w:pos="9026"/>
            </w:tabs>
            <w:spacing w:before="120" w:after="60"/>
          </w:pPr>
          <w:hyperlink w:anchor="_Toc100004" w:history="1">
            <w:r>
              <w:rPr>
                <w:rStyle w:val="Hyperlink"/>
              </w:rPr>
              <w:t>第三章  VFK 健康產品概覽</w:t>
            </w:r>
            <w:r>
              <w:tab/>
            </w:r>
            <w:r>
              <w:fldChar w:fldCharType="begin"/>
            </w:r>
            <w:r>
              <w:instrText xml:space="preserve"> PAGEREF _Toc100004 \h </w:instrText>
            </w:r>
            <w:r>
              <w:fldChar w:fldCharType="separate"/>
            </w:r>
            <w:r>
              <w:t>2</w:t>
            </w:r>
            <w:r>
              <w:fldChar w:fldCharType="end"/>
            </w:r>
          </w:hyperlink>
        </w:p>
        <w:p>
          <w:pPr>
            <w:pStyle w:val="11"/>
            <w:ind w:left="360"/>
            <w:tabs>
              <w:tab w:val="right" w:leader="dot" w:pos="9026"/>
            </w:tabs>
            <w:spacing w:before="120" w:after="60"/>
          </w:pPr>
          <w:hyperlink w:anchor="_Toc100005" w:history="1">
            <w:r>
              <w:rPr>
                <w:rStyle w:val="Hyperlink"/>
              </w:rPr>
              <w:t>一、旗艦產品：VFK 消內脂營養品</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二、產品優勢與市場定位</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第四章  四種進場方案</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一、方案一（HK$1,980 / 150BV）— Plan A 入門級</w:t>
            </w:r>
            <w:r>
              <w:tab/>
            </w:r>
            <w:r>
              <w:fldChar w:fldCharType="begin"/>
            </w:r>
            <w:r>
              <w:instrText xml:space="preserve"> PAGEREF _Toc100008 \h </w:instrText>
            </w:r>
            <w:r>
              <w:fldChar w:fldCharType="separate"/>
            </w:r>
            <w:r>
              <w:t>3</w:t>
            </w:r>
            <w:r>
              <w:fldChar w:fldCharType="end"/>
            </w:r>
          </w:hyperlink>
        </w:p>
        <w:p>
          <w:pPr>
            <w:pStyle w:val="11"/>
            <w:ind w:left="360"/>
            <w:tabs>
              <w:tab w:val="right" w:leader="dot" w:pos="9026"/>
            </w:tabs>
            <w:spacing w:before="120" w:after="60"/>
          </w:pPr>
          <w:hyperlink w:anchor="_Toc100009" w:history="1">
            <w:r>
              <w:rPr>
                <w:rStyle w:val="Hyperlink"/>
              </w:rPr>
              <w:t>二、方案二（HK$8,800 / 750BV）— Plan B 進階級</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三、方案三（HK$16,800 / 1,500BV）— Plan B+ 中高級</w:t>
            </w:r>
            <w:r>
              <w:tab/>
            </w:r>
            <w:r>
              <w:fldChar w:fldCharType="begin"/>
            </w:r>
            <w:r>
              <w:instrText xml:space="preserve"> PAGEREF _Toc100010 \h </w:instrText>
            </w:r>
            <w:r>
              <w:fldChar w:fldCharType="separate"/>
            </w:r>
            <w:r>
              <w:t>4</w:t>
            </w:r>
            <w:r>
              <w:fldChar w:fldCharType="end"/>
            </w:r>
          </w:hyperlink>
        </w:p>
        <w:p>
          <w:pPr>
            <w:pStyle w:val="11"/>
            <w:ind w:left="360"/>
            <w:tabs>
              <w:tab w:val="right" w:leader="dot" w:pos="9026"/>
            </w:tabs>
            <w:spacing w:before="120" w:after="60"/>
          </w:pPr>
          <w:hyperlink w:anchor="_Toc100011" w:history="1">
            <w:r>
              <w:rPr>
                <w:rStyle w:val="Hyperlink"/>
              </w:rPr>
              <w:t>四、方案四（HK$33,800 / 3,000BV）— Plan C 高端 + 家族辦公室 ★</w:t>
            </w:r>
            <w:r>
              <w:tab/>
            </w:r>
            <w:r>
              <w:fldChar w:fldCharType="begin"/>
            </w:r>
            <w:r>
              <w:instrText xml:space="preserve"> PAGEREF _Toc100011 \h </w:instrText>
            </w:r>
            <w:r>
              <w:fldChar w:fldCharType="separate"/>
            </w:r>
            <w:r>
              <w:t>4</w:t>
            </w:r>
            <w:r>
              <w:fldChar w:fldCharType="end"/>
            </w:r>
          </w:hyperlink>
        </w:p>
        <w:p>
          <w:pPr>
            <w:pStyle w:val="9"/>
            <w:tabs>
              <w:tab w:val="right" w:leader="dot" w:pos="9026"/>
            </w:tabs>
            <w:spacing w:before="120" w:after="60"/>
          </w:pPr>
          <w:hyperlink w:anchor="_Toc100012" w:history="1">
            <w:r>
              <w:rPr>
                <w:rStyle w:val="Hyperlink"/>
              </w:rPr>
              <w:t>第五章  MCLUB 會員制度</w:t>
            </w:r>
            <w:r>
              <w:tab/>
            </w:r>
            <w:r>
              <w:fldChar w:fldCharType="begin"/>
            </w:r>
            <w:r>
              <w:instrText xml:space="preserve"> PAGEREF _Toc100012 \h </w:instrText>
            </w:r>
            <w:r>
              <w:fldChar w:fldCharType="separate"/>
            </w:r>
            <w:r>
              <w:t>5</w:t>
            </w:r>
            <w:r>
              <w:fldChar w:fldCharType="end"/>
            </w:r>
          </w:hyperlink>
        </w:p>
        <w:p>
          <w:pPr>
            <w:pStyle w:val="11"/>
            <w:ind w:left="360"/>
            <w:tabs>
              <w:tab w:val="right" w:leader="dot" w:pos="9026"/>
            </w:tabs>
            <w:spacing w:before="120" w:after="60"/>
          </w:pPr>
          <w:hyperlink w:anchor="_Toc100013" w:history="1">
            <w:r>
              <w:rPr>
                <w:rStyle w:val="Hyperlink"/>
              </w:rPr>
              <w:t>一、會員層次體系</w:t>
            </w:r>
            <w:r>
              <w:tab/>
            </w:r>
            <w:r>
              <w:fldChar w:fldCharType="begin"/>
            </w:r>
            <w:r>
              <w:instrText xml:space="preserve"> PAGEREF _Toc100013 \h </w:instrText>
            </w:r>
            <w:r>
              <w:fldChar w:fldCharType="separate"/>
            </w:r>
            <w:r>
              <w:t>5</w:t>
            </w:r>
            <w:r>
              <w:fldChar w:fldCharType="end"/>
            </w:r>
          </w:hyperlink>
        </w:p>
        <w:p>
          <w:pPr>
            <w:pStyle w:val="11"/>
            <w:ind w:left="360"/>
            <w:tabs>
              <w:tab w:val="right" w:leader="dot" w:pos="9026"/>
            </w:tabs>
            <w:spacing w:before="120" w:after="60"/>
          </w:pPr>
          <w:hyperlink w:anchor="_Toc100014" w:history="1">
            <w:r>
              <w:rPr>
                <w:rStyle w:val="Hyperlink"/>
              </w:rPr>
              <w:t>二、會員路徑規劃</w:t>
            </w:r>
            <w:r>
              <w:tab/>
            </w:r>
            <w:r>
              <w:fldChar w:fldCharType="begin"/>
            </w:r>
            <w:r>
              <w:instrText xml:space="preserve"> PAGEREF _Toc100014 \h </w:instrText>
            </w:r>
            <w:r>
              <w:fldChar w:fldCharType="separate"/>
            </w:r>
            <w:r>
              <w:t>5</w:t>
            </w:r>
            <w:r>
              <w:fldChar w:fldCharType="end"/>
            </w:r>
          </w:hyperlink>
        </w:p>
        <w:p>
          <w:pPr>
            <w:pStyle w:val="9"/>
            <w:tabs>
              <w:tab w:val="right" w:leader="dot" w:pos="9026"/>
            </w:tabs>
            <w:spacing w:before="120" w:after="60"/>
          </w:pPr>
          <w:hyperlink w:anchor="_Toc100015" w:history="1">
            <w:r>
              <w:rPr>
                <w:rStyle w:val="Hyperlink"/>
              </w:rPr>
              <w:t>第六章  七階無限晉升機制</w:t>
            </w:r>
            <w:r>
              <w:tab/>
            </w:r>
            <w:r>
              <w:fldChar w:fldCharType="begin"/>
            </w:r>
            <w:r>
              <w:instrText xml:space="preserve"> PAGEREF _Toc100015 \h </w:instrText>
            </w:r>
            <w:r>
              <w:fldChar w:fldCharType="separate"/>
            </w:r>
            <w:r>
              <w:t>5</w:t>
            </w:r>
            <w:r>
              <w:fldChar w:fldCharType="end"/>
            </w:r>
          </w:hyperlink>
        </w:p>
        <w:p>
          <w:pPr>
            <w:pStyle w:val="11"/>
            <w:ind w:left="360"/>
            <w:tabs>
              <w:tab w:val="right" w:leader="dot" w:pos="9026"/>
            </w:tabs>
            <w:spacing w:before="120" w:after="60"/>
          </w:pPr>
          <w:hyperlink w:anchor="_Toc100016" w:history="1">
            <w:r>
              <w:rPr>
                <w:rStyle w:val="Hyperlink"/>
              </w:rPr>
              <w:t>一、晉升條件與運作機制</w:t>
            </w:r>
            <w:r>
              <w:tab/>
            </w:r>
            <w:r>
              <w:fldChar w:fldCharType="begin"/>
            </w:r>
            <w:r>
              <w:instrText xml:space="preserve"> PAGEREF _Toc100016 \h </w:instrText>
            </w:r>
            <w:r>
              <w:fldChar w:fldCharType="separate"/>
            </w:r>
            <w:r>
              <w:t>6</w:t>
            </w:r>
            <w:r>
              <w:fldChar w:fldCharType="end"/>
            </w:r>
          </w:hyperlink>
        </w:p>
        <w:p>
          <w:pPr>
            <w:pStyle w:val="11"/>
            <w:ind w:left="360"/>
            <w:tabs>
              <w:tab w:val="right" w:leader="dot" w:pos="9026"/>
            </w:tabs>
            <w:spacing w:before="120" w:after="60"/>
          </w:pPr>
          <w:hyperlink w:anchor="_Toc100017" w:history="1">
            <w:r>
              <w:rPr>
                <w:rStyle w:val="Hyperlink"/>
              </w:rPr>
              <w:t>二、晉升路徑與收益預期</w:t>
            </w:r>
            <w:r>
              <w:tab/>
            </w:r>
            <w:r>
              <w:fldChar w:fldCharType="begin"/>
            </w:r>
            <w:r>
              <w:instrText xml:space="preserve"> PAGEREF _Toc100017 \h </w:instrText>
            </w:r>
            <w:r>
              <w:fldChar w:fldCharType="separate"/>
            </w:r>
            <w:r>
              <w:t>6</w:t>
            </w:r>
            <w:r>
              <w:fldChar w:fldCharType="end"/>
            </w:r>
          </w:hyperlink>
        </w:p>
        <w:p>
          <w:pPr>
            <w:pStyle w:val="9"/>
            <w:tabs>
              <w:tab w:val="right" w:leader="dot" w:pos="9026"/>
            </w:tabs>
            <w:spacing w:before="120" w:after="60"/>
          </w:pPr>
          <w:hyperlink w:anchor="_Toc100018" w:history="1">
            <w:r>
              <w:rPr>
                <w:rStyle w:val="Hyperlink"/>
              </w:rPr>
              <w:t>第七章  四層鎖定模型（絲路模型）</w:t>
            </w:r>
            <w:r>
              <w:tab/>
            </w:r>
            <w:r>
              <w:fldChar w:fldCharType="begin"/>
            </w:r>
            <w:r>
              <w:instrText xml:space="preserve"> PAGEREF _Toc100018 \h </w:instrText>
            </w:r>
            <w:r>
              <w:fldChar w:fldCharType="separate"/>
            </w:r>
            <w:r>
              <w:t>6</w:t>
            </w:r>
            <w:r>
              <w:fldChar w:fldCharType="end"/>
            </w:r>
          </w:hyperlink>
        </w:p>
        <w:p>
          <w:pPr>
            <w:pStyle w:val="11"/>
            <w:ind w:left="360"/>
            <w:tabs>
              <w:tab w:val="right" w:leader="dot" w:pos="9026"/>
            </w:tabs>
            <w:spacing w:before="120" w:after="60"/>
          </w:pPr>
          <w:hyperlink w:anchor="_Toc100019" w:history="1">
            <w:r>
              <w:rPr>
                <w:rStyle w:val="Hyperlink"/>
              </w:rPr>
              <w:t>一、資訊鎖定：知識即連結</w:t>
            </w:r>
            <w:r>
              <w:tab/>
            </w:r>
            <w:r>
              <w:fldChar w:fldCharType="begin"/>
            </w:r>
            <w:r>
              <w:instrText xml:space="preserve"> PAGEREF _Toc100019 \h </w:instrText>
            </w:r>
            <w:r>
              <w:fldChar w:fldCharType="separate"/>
            </w:r>
            <w:r>
              <w:t>7</w:t>
            </w:r>
            <w:r>
              <w:fldChar w:fldCharType="end"/>
            </w:r>
          </w:hyperlink>
        </w:p>
        <w:p>
          <w:pPr>
            <w:pStyle w:val="11"/>
            <w:ind w:left="360"/>
            <w:tabs>
              <w:tab w:val="right" w:leader="dot" w:pos="9026"/>
            </w:tabs>
            <w:spacing w:before="120" w:after="60"/>
          </w:pPr>
          <w:hyperlink w:anchor="_Toc100020" w:history="1">
            <w:r>
              <w:rPr>
                <w:rStyle w:val="Hyperlink"/>
              </w:rPr>
              <w:t>二、社交鎖定：人脈即資產</w:t>
            </w:r>
            <w:r>
              <w:tab/>
            </w:r>
            <w:r>
              <w:fldChar w:fldCharType="begin"/>
            </w:r>
            <w:r>
              <w:instrText xml:space="preserve"> PAGEREF _Toc100020 \h </w:instrText>
            </w:r>
            <w:r>
              <w:fldChar w:fldCharType="separate"/>
            </w:r>
            <w:r>
              <w:t>7</w:t>
            </w:r>
            <w:r>
              <w:fldChar w:fldCharType="end"/>
            </w:r>
          </w:hyperlink>
        </w:p>
        <w:p>
          <w:pPr>
            <w:pStyle w:val="11"/>
            <w:ind w:left="360"/>
            <w:tabs>
              <w:tab w:val="right" w:leader="dot" w:pos="9026"/>
            </w:tabs>
            <w:spacing w:before="120" w:after="60"/>
          </w:pPr>
          <w:hyperlink w:anchor="_Toc100021" w:history="1">
            <w:r>
              <w:rPr>
                <w:rStyle w:val="Hyperlink"/>
              </w:rPr>
              <w:t>三、服務鎖定：依賴即留存</w:t>
            </w:r>
            <w:r>
              <w:tab/>
            </w:r>
            <w:r>
              <w:fldChar w:fldCharType="begin"/>
            </w:r>
            <w:r>
              <w:instrText xml:space="preserve"> PAGEREF _Toc100021 \h </w:instrText>
            </w:r>
            <w:r>
              <w:fldChar w:fldCharType="separate"/>
            </w:r>
            <w:r>
              <w:t>7</w:t>
            </w:r>
            <w:r>
              <w:fldChar w:fldCharType="end"/>
            </w:r>
          </w:hyperlink>
        </w:p>
        <w:p>
          <w:pPr>
            <w:pStyle w:val="11"/>
            <w:ind w:left="360"/>
            <w:tabs>
              <w:tab w:val="right" w:leader="dot" w:pos="9026"/>
            </w:tabs>
            <w:spacing w:before="120" w:after="60"/>
          </w:pPr>
          <w:hyperlink w:anchor="_Toc100022" w:history="1">
            <w:r>
              <w:rPr>
                <w:rStyle w:val="Hyperlink"/>
              </w:rPr>
              <w:t>四、結構鎖定：架構即護城河</w:t>
            </w:r>
            <w:r>
              <w:tab/>
            </w:r>
            <w:r>
              <w:fldChar w:fldCharType="begin"/>
            </w:r>
            <w:r>
              <w:instrText xml:space="preserve"> PAGEREF _Toc100022 \h </w:instrText>
            </w:r>
            <w:r>
              <w:fldChar w:fldCharType="separate"/>
            </w:r>
            <w:r>
              <w:t>7</w:t>
            </w:r>
            <w:r>
              <w:fldChar w:fldCharType="end"/>
            </w:r>
          </w:hyperlink>
        </w:p>
        <w:p>
          <w:pPr>
            <w:pStyle w:val="9"/>
            <w:tabs>
              <w:tab w:val="right" w:leader="dot" w:pos="9026"/>
            </w:tabs>
            <w:spacing w:before="120" w:after="60"/>
          </w:pPr>
          <w:hyperlink w:anchor="_Toc100023" w:history="1">
            <w:r>
              <w:rPr>
                <w:rStyle w:val="Hyperlink"/>
              </w:rPr>
              <w:t>第八章  統一會員路徑：從健康到財富</w:t>
            </w:r>
            <w:r>
              <w:tab/>
            </w:r>
            <w:r>
              <w:fldChar w:fldCharType="begin"/>
            </w:r>
            <w:r>
              <w:instrText xml:space="preserve"> PAGEREF _Toc100023 \h </w:instrText>
            </w:r>
            <w:r>
              <w:fldChar w:fldCharType="separate"/>
            </w:r>
            <w:r>
              <w:t>8</w:t>
            </w:r>
            <w:r>
              <w:fldChar w:fldCharType="end"/>
            </w:r>
          </w:hyperlink>
        </w:p>
        <w:p>
          <w:pPr>
            <w:pStyle w:val="9"/>
            <w:tabs>
              <w:tab w:val="right" w:leader="dot" w:pos="9026"/>
            </w:tabs>
            <w:spacing w:before="120" w:after="60"/>
          </w:pPr>
          <w:hyperlink w:anchor="_Toc100024" w:history="1">
            <w:r>
              <w:rPr>
                <w:rStyle w:val="Hyperlink"/>
              </w:rPr>
              <w:t>第九章  結論與建議</w:t>
            </w:r>
            <w:r>
              <w:tab/>
            </w:r>
            <w:r>
              <w:fldChar w:fldCharType="begin"/>
            </w:r>
            <w:r>
              <w:instrText xml:space="preserve"> PAGEREF _Toc100024 \h </w:instrText>
            </w:r>
            <w:r>
              <w:fldChar w:fldCharType="separate"/>
            </w:r>
            <w:r>
              <w:t>8</w:t>
            </w:r>
            <w:r>
              <w:fldChar w:fldCharType="end"/>
            </w:r>
          </w:hyperlink>
        </w:p>
        <w:p>
          <w:pPr>
            <w:pStyle w:val="11"/>
            <w:ind w:left="360"/>
            <w:tabs>
              <w:tab w:val="right" w:leader="dot" w:pos="9026"/>
            </w:tabs>
            <w:spacing w:before="120" w:after="60"/>
          </w:pPr>
          <w:hyperlink w:anchor="_Toc100025" w:history="1">
            <w:r>
              <w:rPr>
                <w:rStyle w:val="Hyperlink"/>
              </w:rPr>
              <w:t>一、體系優勢總結</w:t>
            </w:r>
            <w:r>
              <w:tab/>
            </w:r>
            <w:r>
              <w:fldChar w:fldCharType="begin"/>
            </w:r>
            <w:r>
              <w:instrText xml:space="preserve"> PAGEREF _Toc100025 \h </w:instrText>
            </w:r>
            <w:r>
              <w:fldChar w:fldCharType="separate"/>
            </w:r>
            <w:r>
              <w:t>8</w:t>
            </w:r>
            <w:r>
              <w:fldChar w:fldCharType="end"/>
            </w:r>
          </w:hyperlink>
        </w:p>
        <w:p>
          <w:pPr>
            <w:pStyle w:val="11"/>
            <w:ind w:left="360"/>
            <w:tabs>
              <w:tab w:val="right" w:leader="dot" w:pos="9026"/>
            </w:tabs>
            <w:spacing w:before="120" w:after="60"/>
          </w:pPr>
          <w:hyperlink w:anchor="_Toc100026" w:history="1">
            <w:r>
              <w:rPr>
                <w:rStyle w:val="Hyperlink"/>
              </w:rPr>
              <w:t>二、實施建議</w:t>
            </w:r>
            <w:r>
              <w:tab/>
            </w:r>
            <w:r>
              <w:fldChar w:fldCharType="begin"/>
            </w:r>
            <w:r>
              <w:instrText xml:space="preserve"> PAGEREF _Toc100026 \h </w:instrText>
            </w:r>
            <w:r>
              <w:fldChar w:fldCharType="separate"/>
            </w:r>
            <w:r>
              <w:t>8</w:t>
            </w:r>
            <w:r>
              <w:fldChar w:fldCharType="end"/>
            </w:r>
          </w:hyperlink>
        </w:p>
        <w:p>
          <w:r>
            <w:fldChar w:fldCharType="end"/>
          </w:r>
        </w:p>
      </w:sdtContent>
    </w:sdt>
    <w:p>
      <w:pPr>
        <w:spacing w:before="200"/>
      </w:pPr>
      <w:r>
        <w:rPr>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20" w:before="360"/>
      </w:pPr>
      <w:bookmarkStart w:id="100000" w:name="_Toc100000"/>
      <w:r>
        <w:rPr>
          <w:rFonts w:ascii="Calibri" w:eastAsia="SimHei"/>
          <w:b/>
          <w:bCs/>
          <w:color w:val="000000"/>
          <w:sz w:val="32"/>
          <w:szCs w:val="32"/>
        </w:rPr>
        <w:t xml:space="preserve">第一章  執行摘要</w:t>
      </w:r>
      <w:bookmarkEnd w:id="100000"/>
    </w:p>
    <w:p>
      <w:pPr>
        <w:spacing w:after="60" w:line="312"/>
        <w:ind w:firstLine="480"/>
        <w:jc w:val="both"/>
      </w:pPr>
      <w:r>
        <w:rPr>
          <w:rFonts w:ascii="Calibri" w:eastAsia="SimSun"/>
          <w:color w:val="000000"/>
          <w:sz w:val="24"/>
          <w:szCs w:val="24"/>
        </w:rPr>
        <w:t xml:space="preserve">VFK 健康食品推廣計劃與 MCLUB 會員制度為百盛大通家族辦公室（PZC Group）旗下的統一體系，以健康產品為切入點，透過四種進場方案及七階晉升機制，逐步引導會員深入 MCLUB 生態圈。整個體系的核心邏輯為「健康產品 → 團隊推廣 → 家族辦公室」，方案一至方案三聚焦健康產品推廣與團隊建設，方案四則正式接入家族辦公室服務，實現從健康管理到財富管理的無縝衍接。</w:t>
      </w:r>
    </w:p>
    <w:p>
      <w:pPr>
        <w:spacing w:after="60" w:line="312"/>
        <w:ind w:firstLine="480"/>
        <w:jc w:val="both"/>
      </w:pPr>
      <w:r>
        <w:rPr>
          <w:rFonts w:ascii="Calibri" w:eastAsia="SimSun"/>
          <w:color w:val="000000"/>
          <w:sz w:val="24"/>
          <w:szCs w:val="24"/>
        </w:rPr>
        <w:t xml:space="preserve">本報告詳細闡述 VFK 四種進場方案的內容及對應的 MCLUB 會員服務層次，解析七階晉升機制的運作方式，並深入探討四層鎖定模型（絲路模型）如何從資訊、社交、服務到結構四個層面逐步加深會員依賴。最低入場門檻僅需 HK$1,980，而達到方案四（HK$33,800）則可正式接入家族辦公室全套服務，包括香港信訖設立、日本物業投資、NPC 基金認購及家族財富傳承規劃。</w:t>
      </w:r>
    </w:p>
    <w:p>
      <w:pPr>
        <w:pStyle w:val="Heading1"/>
        <w:spacing w:after="120" w:before="360"/>
      </w:pPr>
      <w:bookmarkStart w:id="100001" w:name="_Toc100001"/>
      <w:r>
        <w:rPr>
          <w:rFonts w:ascii="Calibri" w:eastAsia="SimHei"/>
          <w:b/>
          <w:bCs/>
          <w:color w:val="000000"/>
          <w:sz w:val="32"/>
          <w:szCs w:val="32"/>
        </w:rPr>
        <w:t xml:space="preserve">第二章  背景與目標</w:t>
      </w:r>
      <w:bookmarkEnd w:id="100001"/>
    </w:p>
    <w:p>
      <w:pPr>
        <w:pStyle w:val="Heading2"/>
        <w:spacing w:after="120" w:before="240"/>
      </w:pPr>
      <w:bookmarkStart w:id="100002" w:name="_Toc100002"/>
      <w:r>
        <w:rPr>
          <w:rFonts w:ascii="Calibri" w:eastAsia="SimHei"/>
          <w:b/>
          <w:bCs/>
          <w:color w:val="000000"/>
          <w:sz w:val="28"/>
          <w:szCs w:val="28"/>
        </w:rPr>
        <w:t xml:space="preserve">一、項目背景</w:t>
      </w:r>
      <w:bookmarkEnd w:id="100002"/>
    </w:p>
    <w:p>
      <w:pPr>
        <w:spacing w:after="60" w:line="312"/>
        <w:ind w:firstLine="480"/>
        <w:jc w:val="both"/>
      </w:pPr>
      <w:r>
        <w:rPr>
          <w:rFonts w:ascii="Calibri" w:eastAsia="SimSun"/>
          <w:color w:val="000000"/>
          <w:sz w:val="24"/>
          <w:szCs w:val="24"/>
        </w:rPr>
        <w:t xml:space="preserve">百盛大通家族辦公室（PZC Group）旗下擁有多個業務板塊，包括 VFK 健康食品、MCLUB 會員平台、日本物業投資、NPC 基金及家族辦公室服務。傳統上，家族辦公室服務的客戶獲取門檻較高，且缺乏一個從大眾市場到高端服務的自然過渡路徑。VFK 健康食品推廣計劃的設計初衷，正是為了解決這一痛點：以低門檻的健康產品吸引廣泛用戶，再透過會員制和晉升機制逐步篨選出具備財富管理需求的高價值客戶，最終導入家族辦公室服務。</w:t>
      </w:r>
    </w:p>
    <w:p>
      <w:pPr>
        <w:spacing w:after="60" w:line="312"/>
        <w:ind w:firstLine="480"/>
        <w:jc w:val="both"/>
      </w:pPr>
      <w:r>
        <w:rPr>
          <w:rFonts w:ascii="Calibri" w:eastAsia="SimSun"/>
          <w:color w:val="000000"/>
          <w:sz w:val="24"/>
          <w:szCs w:val="24"/>
        </w:rPr>
        <w:t xml:space="preserve">這種「由健康切入，以財富升級」的模式，其優勢在於健康產品為剛需性消費，客戶接受度高，而家族辦公室服務則為深度需求，一旦客戶進入體系後依賴性極強。四層鎖定模型（資訊鎖定→社交鎖定→服務鎖定→結構鎖定）確保會員在每個階段都能感受到價值，同時逐步加深與平台的連結，形成穩固的生態系統。</w:t>
      </w:r>
    </w:p>
    <w:p>
      <w:pPr>
        <w:pStyle w:val="Heading2"/>
        <w:spacing w:after="120" w:before="240"/>
      </w:pPr>
      <w:bookmarkStart w:id="100003" w:name="_Toc100003"/>
      <w:r>
        <w:rPr>
          <w:rFonts w:ascii="Calibri" w:eastAsia="SimHei"/>
          <w:b/>
          <w:bCs/>
          <w:color w:val="000000"/>
          <w:sz w:val="28"/>
          <w:szCs w:val="28"/>
        </w:rPr>
        <w:t xml:space="preserve">二、報告目標</w:t>
      </w:r>
      <w:bookmarkEnd w:id="100003"/>
    </w:p>
    <w:p>
      <w:pPr>
        <w:spacing w:after="60" w:line="312"/>
        <w:ind w:firstLine="480"/>
        <w:jc w:val="both"/>
      </w:pPr>
      <w:r>
        <w:rPr>
          <w:rFonts w:ascii="Calibri" w:eastAsia="SimSun"/>
          <w:color w:val="000000"/>
          <w:sz w:val="24"/>
          <w:szCs w:val="24"/>
        </w:rPr>
        <w:t xml:space="preserve">本報告旨在全面呈現 VFK 健康產品與 MCLUB 會員制的整合體系，包括四種進場方案的詳細內容、七階晉升機制的運作運輯、VFK 旗艦產品資訊，以及四層鎖定模型如何從理論到實踐保證會員的長期留存與轉化。報告適用於內部培訓、合作夥伴說明、以及潜在會員的入門指南。</w:t>
      </w:r>
    </w:p>
    <w:p>
      <w:pPr>
        <w:pStyle w:val="Heading1"/>
        <w:spacing w:after="120" w:before="360"/>
      </w:pPr>
      <w:bookmarkStart w:id="100004" w:name="_Toc100004"/>
      <w:r>
        <w:rPr>
          <w:rFonts w:ascii="Calibri" w:eastAsia="SimHei"/>
          <w:b/>
          <w:bCs/>
          <w:color w:val="000000"/>
          <w:sz w:val="32"/>
          <w:szCs w:val="32"/>
        </w:rPr>
        <w:t xml:space="preserve">第三章  VFK 健康產品概覽</w:t>
      </w:r>
      <w:bookmarkEnd w:id="100004"/>
    </w:p>
    <w:p>
      <w:pPr>
        <w:pStyle w:val="Heading2"/>
        <w:spacing w:after="120" w:before="240"/>
      </w:pPr>
      <w:bookmarkStart w:id="100005" w:name="_Toc100005"/>
      <w:r>
        <w:rPr>
          <w:rFonts w:ascii="Calibri" w:eastAsia="SimHei"/>
          <w:b/>
          <w:bCs/>
          <w:color w:val="000000"/>
          <w:sz w:val="28"/>
          <w:szCs w:val="28"/>
        </w:rPr>
        <w:t xml:space="preserve">一、旗艦產品：VFK 消內脂營養品</w:t>
      </w:r>
      <w:bookmarkEnd w:id="100005"/>
    </w:p>
    <w:p>
      <w:pPr>
        <w:spacing w:after="60" w:line="312"/>
        <w:ind w:firstLine="480"/>
        <w:jc w:val="both"/>
      </w:pPr>
      <w:r>
        <w:rPr>
          <w:rFonts w:ascii="Calibri" w:eastAsia="SimSun"/>
          <w:color w:val="000000"/>
          <w:sz w:val="24"/>
          <w:szCs w:val="24"/>
        </w:rPr>
        <w:t xml:space="preserve">VFK 消內脂營養品是整個推廣計劃的產品基礎，每盒包含 20 包，零售價 HK$998，推廣價 HK$798，由英國製造。產品的核心成份包括 FA 燃內脂因子及 Keto BHD &amp; MCT 生酮消脂組合，前者針對性燃燒內臟脂肪，後者透過生酮機制加速脂肪代謝。臨床實證顯示，在 8 至 12 週內可減少內臟脂肪達 33%，且不需改變飲食習慣即可見效。建議用量為首 20 天每天 2 包（提升燃脂機能），其後每天 1 包作維持。</w:t>
      </w:r>
    </w:p>
    <w:tbl>
      <w:tblPr>
        <w:tblW w:type="pct" w:w="100%"/>
        <w:tblBorders>
          <w:top w:val="single" w:color="C9A84C" w:sz="2"/>
          <w:left w:val="none"/>
          <w:bottom w:val="single" w:color="C9A84C" w:sz="2"/>
          <w:right w:val="none"/>
          <w:insideH w:val="single" w:color="DDD5C0" w:sz="1"/>
          <w:insideV w:val="none"/>
        </w:tblBorders>
      </w:tblPr>
      <w:tblGrid>
        <w:gridCol w:w="100"/>
        <w:gridCol w:w="100"/>
      </w:tblGrid>
      <w:tr>
        <w:trPr>
          <w:cantSplit/>
          <w:tblHeader/>
        </w:trPr>
        <w:tc>
          <w:tcPr>
            <w:tcW w:type="pct" w:w="3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項目</w:t>
            </w:r>
          </w:p>
        </w:tc>
        <w:tc>
          <w:tcPr>
            <w:tcW w:type="pct" w:w="7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內容</w:t>
            </w:r>
          </w:p>
        </w:tc>
      </w:tr>
      <w:tr>
        <w:trPr>
          <w:cantSplit/>
        </w:trPr>
        <w:tc>
          <w:tcPr>
            <w:tcW w:type="pct" w:w="30%"/>
            <w:shd w:fill="F5F2E8" w:val="clear"/>
            <w:tcMar>
              <w:top w:type="dxa" w:w="60"/>
              <w:left w:type="dxa" w:w="120"/>
              <w:bottom w:type="dxa" w:w="60"/>
              <w:right w:type="dxa" w:w="120"/>
            </w:tcMar>
          </w:tcPr>
          <w:p>
            <w:pPr>
              <w:jc w:val="left"/>
            </w:pPr>
            <w:r>
              <w:rPr>
                <w:rFonts w:ascii="Calibri" w:eastAsia="SimSun"/>
                <w:color w:val="000000"/>
                <w:sz w:val="21"/>
                <w:szCs w:val="21"/>
              </w:rPr>
              <w:t xml:space="preserve">產品名稱</w:t>
            </w:r>
          </w:p>
        </w:tc>
        <w:tc>
          <w:tcPr>
            <w:tcW w:type="pct" w:w="70%"/>
            <w:shd w:fill="F5F2E8" w:val="clear"/>
            <w:tcMar>
              <w:top w:type="dxa" w:w="60"/>
              <w:left w:type="dxa" w:w="120"/>
              <w:bottom w:type="dxa" w:w="60"/>
              <w:right w:type="dxa" w:w="120"/>
            </w:tcMar>
          </w:tcPr>
          <w:p>
            <w:pPr>
              <w:jc w:val="center"/>
            </w:pPr>
            <w:r>
              <w:rPr>
                <w:rFonts w:ascii="Calibri" w:eastAsia="SimSun"/>
                <w:color w:val="000000"/>
                <w:sz w:val="21"/>
                <w:szCs w:val="21"/>
              </w:rPr>
              <w:t xml:space="preserve">VFK 消內脂營養品</w:t>
            </w:r>
          </w:p>
        </w:tc>
      </w:tr>
      <w:tr>
        <w:trPr>
          <w:cantSplit/>
        </w:trPr>
        <w:tc>
          <w:tcPr>
            <w:tcW w:type="pct" w:w="30%"/>
            <w:shd w:fill="FFFFFF" w:val="clear"/>
            <w:tcMar>
              <w:top w:type="dxa" w:w="60"/>
              <w:left w:type="dxa" w:w="120"/>
              <w:bottom w:type="dxa" w:w="60"/>
              <w:right w:type="dxa" w:w="120"/>
            </w:tcMar>
          </w:tcPr>
          <w:p>
            <w:pPr>
              <w:jc w:val="left"/>
            </w:pPr>
            <w:r>
              <w:rPr>
                <w:rFonts w:ascii="Calibri" w:eastAsia="SimSun"/>
                <w:color w:val="000000"/>
                <w:sz w:val="21"/>
                <w:szCs w:val="21"/>
              </w:rPr>
              <w:t xml:space="preserve">包裝</w:t>
            </w:r>
          </w:p>
        </w:tc>
        <w:tc>
          <w:tcPr>
            <w:tcW w:type="pct" w:w="70%"/>
            <w:shd w:fill="FFFFFF" w:val="clear"/>
            <w:tcMar>
              <w:top w:type="dxa" w:w="60"/>
              <w:left w:type="dxa" w:w="120"/>
              <w:bottom w:type="dxa" w:w="60"/>
              <w:right w:type="dxa" w:w="120"/>
            </w:tcMar>
          </w:tcPr>
          <w:p>
            <w:pPr>
              <w:jc w:val="center"/>
            </w:pPr>
            <w:r>
              <w:rPr>
                <w:rFonts w:ascii="Calibri" w:eastAsia="SimSun"/>
                <w:color w:val="000000"/>
                <w:sz w:val="21"/>
                <w:szCs w:val="21"/>
              </w:rPr>
              <w:t xml:space="preserve">每盒 20 包</w:t>
            </w:r>
          </w:p>
        </w:tc>
      </w:tr>
      <w:tr>
        <w:trPr>
          <w:cantSplit/>
        </w:trPr>
        <w:tc>
          <w:tcPr>
            <w:tcW w:type="pct" w:w="30%"/>
            <w:shd w:fill="F5F2E8" w:val="clear"/>
            <w:tcMar>
              <w:top w:type="dxa" w:w="60"/>
              <w:left w:type="dxa" w:w="120"/>
              <w:bottom w:type="dxa" w:w="60"/>
              <w:right w:type="dxa" w:w="120"/>
            </w:tcMar>
          </w:tcPr>
          <w:p>
            <w:pPr>
              <w:jc w:val="left"/>
            </w:pPr>
            <w:r>
              <w:rPr>
                <w:rFonts w:ascii="Calibri" w:eastAsia="SimSun"/>
                <w:color w:val="000000"/>
                <w:sz w:val="21"/>
                <w:szCs w:val="21"/>
              </w:rPr>
              <w:t xml:space="preserve">零售價</w:t>
            </w:r>
          </w:p>
        </w:tc>
        <w:tc>
          <w:tcPr>
            <w:tcW w:type="pct" w:w="70%"/>
            <w:shd w:fill="F5F2E8" w:val="clear"/>
            <w:tcMar>
              <w:top w:type="dxa" w:w="60"/>
              <w:left w:type="dxa" w:w="120"/>
              <w:bottom w:type="dxa" w:w="60"/>
              <w:right w:type="dxa" w:w="120"/>
            </w:tcMar>
          </w:tcPr>
          <w:p>
            <w:pPr>
              <w:jc w:val="center"/>
            </w:pPr>
            <w:r>
              <w:rPr>
                <w:rFonts w:ascii="Calibri" w:eastAsia="SimSun"/>
                <w:color w:val="000000"/>
                <w:sz w:val="21"/>
                <w:szCs w:val="21"/>
              </w:rPr>
              <w:t xml:space="preserve">HK$998</w:t>
            </w:r>
          </w:p>
        </w:tc>
      </w:tr>
      <w:tr>
        <w:trPr>
          <w:cantSplit/>
        </w:trPr>
        <w:tc>
          <w:tcPr>
            <w:tcW w:type="pct" w:w="30%"/>
            <w:shd w:fill="FFFFFF" w:val="clear"/>
            <w:tcMar>
              <w:top w:type="dxa" w:w="60"/>
              <w:left w:type="dxa" w:w="120"/>
              <w:bottom w:type="dxa" w:w="60"/>
              <w:right w:type="dxa" w:w="120"/>
            </w:tcMar>
          </w:tcPr>
          <w:p>
            <w:pPr>
              <w:jc w:val="left"/>
            </w:pPr>
            <w:r>
              <w:rPr>
                <w:rFonts w:ascii="Calibri" w:eastAsia="SimSun"/>
                <w:color w:val="000000"/>
                <w:sz w:val="21"/>
                <w:szCs w:val="21"/>
              </w:rPr>
              <w:t xml:space="preserve">推廣價</w:t>
            </w:r>
          </w:p>
        </w:tc>
        <w:tc>
          <w:tcPr>
            <w:tcW w:type="pct" w:w="70%"/>
            <w:shd w:fill="FFFFFF" w:val="clear"/>
            <w:tcMar>
              <w:top w:type="dxa" w:w="60"/>
              <w:left w:type="dxa" w:w="120"/>
              <w:bottom w:type="dxa" w:w="60"/>
              <w:right w:type="dxa" w:w="120"/>
            </w:tcMar>
          </w:tcPr>
          <w:p>
            <w:pPr>
              <w:jc w:val="center"/>
            </w:pPr>
            <w:r>
              <w:rPr>
                <w:rFonts w:ascii="Calibri" w:eastAsia="SimSun"/>
                <w:color w:val="000000"/>
                <w:sz w:val="21"/>
                <w:szCs w:val="21"/>
              </w:rPr>
              <w:t xml:space="preserve">HK$798</w:t>
            </w:r>
          </w:p>
        </w:tc>
      </w:tr>
      <w:tr>
        <w:trPr>
          <w:cantSplit/>
        </w:trPr>
        <w:tc>
          <w:tcPr>
            <w:tcW w:type="pct" w:w="30%"/>
            <w:shd w:fill="F5F2E8" w:val="clear"/>
            <w:tcMar>
              <w:top w:type="dxa" w:w="60"/>
              <w:left w:type="dxa" w:w="120"/>
              <w:bottom w:type="dxa" w:w="60"/>
              <w:right w:type="dxa" w:w="120"/>
            </w:tcMar>
          </w:tcPr>
          <w:p>
            <w:pPr>
              <w:jc w:val="left"/>
            </w:pPr>
            <w:r>
              <w:rPr>
                <w:rFonts w:ascii="Calibri" w:eastAsia="SimSun"/>
                <w:color w:val="000000"/>
                <w:sz w:val="21"/>
                <w:szCs w:val="21"/>
              </w:rPr>
              <w:t xml:space="preserve">製造地</w:t>
            </w:r>
          </w:p>
        </w:tc>
        <w:tc>
          <w:tcPr>
            <w:tcW w:type="pct" w:w="70%"/>
            <w:shd w:fill="F5F2E8" w:val="clear"/>
            <w:tcMar>
              <w:top w:type="dxa" w:w="60"/>
              <w:left w:type="dxa" w:w="120"/>
              <w:bottom w:type="dxa" w:w="60"/>
              <w:right w:type="dxa" w:w="120"/>
            </w:tcMar>
          </w:tcPr>
          <w:p>
            <w:pPr>
              <w:jc w:val="center"/>
            </w:pPr>
            <w:r>
              <w:rPr>
                <w:rFonts w:ascii="Calibri" w:eastAsia="SimSun"/>
                <w:color w:val="000000"/>
                <w:sz w:val="21"/>
                <w:szCs w:val="21"/>
              </w:rPr>
              <w:t xml:space="preserve">英國</w:t>
            </w:r>
          </w:p>
        </w:tc>
      </w:tr>
      <w:tr>
        <w:trPr>
          <w:cantSplit/>
        </w:trPr>
        <w:tc>
          <w:tcPr>
            <w:tcW w:type="pct" w:w="30%"/>
            <w:shd w:fill="FFFFFF" w:val="clear"/>
            <w:tcMar>
              <w:top w:type="dxa" w:w="60"/>
              <w:left w:type="dxa" w:w="120"/>
              <w:bottom w:type="dxa" w:w="60"/>
              <w:right w:type="dxa" w:w="120"/>
            </w:tcMar>
          </w:tcPr>
          <w:p>
            <w:pPr>
              <w:jc w:val="left"/>
            </w:pPr>
            <w:r>
              <w:rPr>
                <w:rFonts w:ascii="Calibri" w:eastAsia="SimSun"/>
                <w:color w:val="000000"/>
                <w:sz w:val="21"/>
                <w:szCs w:val="21"/>
              </w:rPr>
              <w:t xml:space="preserve">核心成份</w:t>
            </w:r>
          </w:p>
        </w:tc>
        <w:tc>
          <w:tcPr>
            <w:tcW w:type="pct" w:w="70%"/>
            <w:shd w:fill="FFFFFF" w:val="clear"/>
            <w:tcMar>
              <w:top w:type="dxa" w:w="60"/>
              <w:left w:type="dxa" w:w="120"/>
              <w:bottom w:type="dxa" w:w="60"/>
              <w:right w:type="dxa" w:w="120"/>
            </w:tcMar>
          </w:tcPr>
          <w:p>
            <w:pPr>
              <w:jc w:val="center"/>
            </w:pPr>
            <w:r>
              <w:rPr>
                <w:rFonts w:ascii="Calibri" w:eastAsia="SimSun"/>
                <w:color w:val="000000"/>
                <w:sz w:val="21"/>
                <w:szCs w:val="21"/>
              </w:rPr>
              <w:t xml:space="preserve">FA 燃內脂因子 + Keto BHD &amp; MCT 生酮消脂組合</w:t>
            </w:r>
          </w:p>
        </w:tc>
      </w:tr>
      <w:tr>
        <w:trPr>
          <w:cantSplit/>
        </w:trPr>
        <w:tc>
          <w:tcPr>
            <w:tcW w:type="pct" w:w="30%"/>
            <w:shd w:fill="F5F2E8" w:val="clear"/>
            <w:tcMar>
              <w:top w:type="dxa" w:w="60"/>
              <w:left w:type="dxa" w:w="120"/>
              <w:bottom w:type="dxa" w:w="60"/>
              <w:right w:type="dxa" w:w="120"/>
            </w:tcMar>
          </w:tcPr>
          <w:p>
            <w:pPr>
              <w:jc w:val="left"/>
            </w:pPr>
            <w:r>
              <w:rPr>
                <w:rFonts w:ascii="Calibri" w:eastAsia="SimSun"/>
                <w:color w:val="000000"/>
                <w:sz w:val="21"/>
                <w:szCs w:val="21"/>
              </w:rPr>
              <w:t xml:space="preserve">臨床實證</w:t>
            </w:r>
          </w:p>
        </w:tc>
        <w:tc>
          <w:tcPr>
            <w:tcW w:type="pct" w:w="70%"/>
            <w:shd w:fill="F5F2E8" w:val="clear"/>
            <w:tcMar>
              <w:top w:type="dxa" w:w="60"/>
              <w:left w:type="dxa" w:w="120"/>
              <w:bottom w:type="dxa" w:w="60"/>
              <w:right w:type="dxa" w:w="120"/>
            </w:tcMar>
          </w:tcPr>
          <w:p>
            <w:pPr>
              <w:jc w:val="center"/>
            </w:pPr>
            <w:r>
              <w:rPr>
                <w:rFonts w:ascii="Calibri" w:eastAsia="SimSun"/>
                <w:color w:val="000000"/>
                <w:sz w:val="21"/>
                <w:szCs w:val="21"/>
              </w:rPr>
              <w:t xml:space="preserve">8-12 週減少內臟脂肪達 33%</w:t>
            </w:r>
          </w:p>
        </w:tc>
      </w:tr>
      <w:tr>
        <w:trPr>
          <w:cantSplit/>
        </w:trPr>
        <w:tc>
          <w:tcPr>
            <w:tcW w:type="pct" w:w="30%"/>
            <w:shd w:fill="FFFFFF" w:val="clear"/>
            <w:tcMar>
              <w:top w:type="dxa" w:w="60"/>
              <w:left w:type="dxa" w:w="120"/>
              <w:bottom w:type="dxa" w:w="60"/>
              <w:right w:type="dxa" w:w="120"/>
            </w:tcMar>
          </w:tcPr>
          <w:p>
            <w:pPr>
              <w:jc w:val="left"/>
            </w:pPr>
            <w:r>
              <w:rPr>
                <w:rFonts w:ascii="Calibri" w:eastAsia="SimSun"/>
                <w:color w:val="000000"/>
                <w:sz w:val="21"/>
                <w:szCs w:val="21"/>
              </w:rPr>
              <w:t xml:space="preserve">建議用量</w:t>
            </w:r>
          </w:p>
        </w:tc>
        <w:tc>
          <w:tcPr>
            <w:tcW w:type="pct" w:w="70%"/>
            <w:shd w:fill="FFFFFF" w:val="clear"/>
            <w:tcMar>
              <w:top w:type="dxa" w:w="60"/>
              <w:left w:type="dxa" w:w="120"/>
              <w:bottom w:type="dxa" w:w="60"/>
              <w:right w:type="dxa" w:w="120"/>
            </w:tcMar>
          </w:tcPr>
          <w:p>
            <w:pPr>
              <w:jc w:val="center"/>
            </w:pPr>
            <w:r>
              <w:rPr>
                <w:rFonts w:ascii="Calibri" w:eastAsia="SimSun"/>
                <w:color w:val="000000"/>
                <w:sz w:val="21"/>
                <w:szCs w:val="21"/>
              </w:rPr>
              <w:t xml:space="preserve">首 20 天每天 2 包，其後每天 1 包</w:t>
            </w:r>
          </w:p>
        </w:tc>
      </w:tr>
    </w:tbl>
    <w:p>
      <w:pPr>
        <w:spacing w:after="200" w:before="80"/>
        <w:jc w:val="center"/>
      </w:pPr>
      <w:r>
        <w:rPr>
          <w:rFonts w:ascii="Calibri" w:eastAsia="SimSun"/>
          <w:color w:val="506070"/>
          <w:sz w:val="18"/>
          <w:szCs w:val="18"/>
        </w:rPr>
        <w:t xml:space="preserve">表 1：VFK 消內脂營養品產品資訊</w:t>
      </w:r>
    </w:p>
    <w:p>
      <w:pPr>
        <w:pStyle w:val="Heading2"/>
        <w:spacing w:after="120" w:before="240"/>
      </w:pPr>
      <w:bookmarkStart w:id="100006" w:name="_Toc100006"/>
      <w:r>
        <w:rPr>
          <w:rFonts w:ascii="Calibri" w:eastAsia="SimHei"/>
          <w:b/>
          <w:bCs/>
          <w:color w:val="000000"/>
          <w:sz w:val="28"/>
          <w:szCs w:val="28"/>
        </w:rPr>
        <w:t xml:space="preserve">二、產品優勢與市場定位</w:t>
      </w:r>
      <w:bookmarkEnd w:id="100006"/>
    </w:p>
    <w:p>
      <w:pPr>
        <w:spacing w:after="60" w:line="312"/>
        <w:ind w:firstLine="480"/>
        <w:jc w:val="both"/>
      </w:pPr>
      <w:r>
        <w:rPr>
          <w:rFonts w:ascii="Calibri" w:eastAsia="SimSun"/>
          <w:color w:val="000000"/>
          <w:sz w:val="24"/>
          <w:szCs w:val="24"/>
        </w:rPr>
        <w:t xml:space="preserve">VFK 消內脂營養品的市場定位具有明確的差異化優勢。首先，內臟脂肪是現代人普遍存在的健康隱患，即使外表看起來不胖的人也可能內臟脂肪超標，這意味著市場潜力極大。其次，產品的臨床實證數據（33% 內臟脂肪減少）提供了強有力的說服工具，降低了推廣障礙。最重要的是，VFK 產品不僅是一個健康產品，更是整個 MCLUB 會員生態的入口，每一個購買 VFK 產品的客戶都有潜力成為家族辦公室的高價值客戶。</w:t>
      </w:r>
    </w:p>
    <w:p>
      <w:pPr>
        <w:pStyle w:val="Heading1"/>
        <w:spacing w:after="120" w:before="360"/>
      </w:pPr>
      <w:bookmarkStart w:id="100007" w:name="_Toc100007"/>
      <w:r>
        <w:rPr>
          <w:rFonts w:ascii="Calibri" w:eastAsia="SimHei"/>
          <w:b/>
          <w:bCs/>
          <w:color w:val="000000"/>
          <w:sz w:val="32"/>
          <w:szCs w:val="32"/>
        </w:rPr>
        <w:t xml:space="preserve">第四章  四種進場方案</w:t>
      </w:r>
      <w:bookmarkEnd w:id="100007"/>
    </w:p>
    <w:p>
      <w:pPr>
        <w:spacing w:after="60" w:line="312"/>
        <w:ind w:firstLine="480"/>
        <w:jc w:val="both"/>
      </w:pPr>
      <w:r>
        <w:rPr>
          <w:rFonts w:ascii="Calibri" w:eastAsia="SimSun"/>
          <w:color w:val="000000"/>
          <w:sz w:val="24"/>
          <w:szCs w:val="24"/>
        </w:rPr>
        <w:t xml:space="preserve">VFK 推廣計劃提供四種進場方案，各方案的投資金額、BV 積分及對應的 MCLUB 會員服務層次均不同。這種分層設計既滿足了不同層次客戶的需求，也為會員提供了清晰的升級路徑。每個方案的 BV 積分換算率為 1 BV = HK$8，所有產品購買及團隊業績均以 BV 計算。</w:t>
      </w:r>
    </w:p>
    <w:tbl>
      <w:tblPr>
        <w:tblW w:type="pct" w:w="100%"/>
        <w:tblBorders>
          <w:top w:val="single" w:color="C9A84C" w:sz="2"/>
          <w:left w:val="none"/>
          <w:bottom w:val="single" w:color="C9A84C" w:sz="2"/>
          <w:right w:val="none"/>
          <w:insideH w:val="single" w:color="DDD5C0" w:sz="1"/>
          <w:insideV w:val="none"/>
        </w:tblBorders>
      </w:tblPr>
      <w:tblGrid>
        <w:gridCol w:w="100"/>
        <w:gridCol w:w="100"/>
        <w:gridCol w:w="100"/>
        <w:gridCol w:w="100"/>
        <w:gridCol w:w="100"/>
      </w:tblGrid>
      <w:tr>
        <w:trPr>
          <w:cantSplit/>
          <w:tblHeader/>
        </w:trPr>
        <w:tc>
          <w:tcPr>
            <w:tcW w:type="pct" w:w="17%"/>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方案</w:t>
            </w:r>
          </w:p>
        </w:tc>
        <w:tc>
          <w:tcPr>
            <w:tcW w:type="pct" w:w="2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投資金額</w:t>
            </w:r>
          </w:p>
        </w:tc>
        <w:tc>
          <w:tcPr>
            <w:tcW w:type="pct" w:w="17%"/>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BV 積分</w:t>
            </w:r>
          </w:p>
        </w:tc>
        <w:tc>
          <w:tcPr>
            <w:tcW w:type="pct" w:w="28%"/>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MCLUB 定位</w:t>
            </w:r>
          </w:p>
        </w:tc>
        <w:tc>
          <w:tcPr>
            <w:tcW w:type="pct" w:w="19%"/>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家族辦公室</w:t>
            </w:r>
          </w:p>
        </w:tc>
      </w:tr>
      <w:tr>
        <w:trPr>
          <w:cantSplit/>
        </w:trPr>
        <w:tc>
          <w:tcPr>
            <w:tcW w:type="pct" w:w="17%"/>
            <w:shd w:fill="F5F2E8" w:val="clear"/>
            <w:tcMar>
              <w:top w:type="dxa" w:w="60"/>
              <w:left w:type="dxa" w:w="120"/>
              <w:bottom w:type="dxa" w:w="60"/>
              <w:right w:type="dxa" w:w="120"/>
            </w:tcMar>
          </w:tcPr>
          <w:p>
            <w:pPr>
              <w:jc w:val="left"/>
            </w:pPr>
            <w:r>
              <w:rPr>
                <w:rFonts w:ascii="Calibri" w:eastAsia="SimSun"/>
                <w:color w:val="000000"/>
                <w:sz w:val="21"/>
                <w:szCs w:val="21"/>
              </w:rPr>
              <w:t xml:space="preserve">方案一</w:t>
            </w:r>
          </w:p>
        </w:tc>
        <w:tc>
          <w:tcPr>
            <w:tcW w:type="pct" w:w="20%"/>
            <w:shd w:fill="F5F2E8" w:val="clear"/>
            <w:tcMar>
              <w:top w:type="dxa" w:w="60"/>
              <w:left w:type="dxa" w:w="120"/>
              <w:bottom w:type="dxa" w:w="60"/>
              <w:right w:type="dxa" w:w="120"/>
            </w:tcMar>
          </w:tcPr>
          <w:p>
            <w:pPr>
              <w:jc w:val="center"/>
            </w:pPr>
            <w:r>
              <w:rPr>
                <w:rFonts w:ascii="Calibri" w:eastAsia="SimSun"/>
                <w:color w:val="000000"/>
                <w:sz w:val="21"/>
                <w:szCs w:val="21"/>
              </w:rPr>
              <w:t xml:space="preserve">HK$1,980</w:t>
            </w:r>
          </w:p>
        </w:tc>
        <w:tc>
          <w:tcPr>
            <w:tcW w:type="pct" w:w="17%"/>
            <w:shd w:fill="F5F2E8" w:val="clear"/>
            <w:tcMar>
              <w:top w:type="dxa" w:w="60"/>
              <w:left w:type="dxa" w:w="120"/>
              <w:bottom w:type="dxa" w:w="60"/>
              <w:right w:type="dxa" w:w="120"/>
            </w:tcMar>
          </w:tcPr>
          <w:p>
            <w:pPr>
              <w:jc w:val="center"/>
            </w:pPr>
            <w:r>
              <w:rPr>
                <w:rFonts w:ascii="Calibri" w:eastAsia="SimSun"/>
                <w:color w:val="000000"/>
                <w:sz w:val="21"/>
                <w:szCs w:val="21"/>
              </w:rPr>
              <w:t xml:space="preserve">150 BV</w:t>
            </w:r>
          </w:p>
        </w:tc>
        <w:tc>
          <w:tcPr>
            <w:tcW w:type="pct" w:w="28%"/>
            <w:shd w:fill="F5F2E8" w:val="clear"/>
            <w:tcMar>
              <w:top w:type="dxa" w:w="60"/>
              <w:left w:type="dxa" w:w="120"/>
              <w:bottom w:type="dxa" w:w="60"/>
              <w:right w:type="dxa" w:w="120"/>
            </w:tcMar>
          </w:tcPr>
          <w:p>
            <w:pPr>
              <w:jc w:val="center"/>
            </w:pPr>
            <w:r>
              <w:rPr>
                <w:rFonts w:ascii="Calibri" w:eastAsia="SimSun"/>
                <w:color w:val="000000"/>
                <w:sz w:val="21"/>
                <w:szCs w:val="21"/>
              </w:rPr>
              <w:t xml:space="preserve">Plan A 入門級</w:t>
            </w:r>
          </w:p>
        </w:tc>
        <w:tc>
          <w:tcPr>
            <w:tcW w:type="pct" w:w="19%"/>
            <w:shd w:fill="F5F2E8" w:val="clear"/>
            <w:tcMar>
              <w:top w:type="dxa" w:w="60"/>
              <w:left w:type="dxa" w:w="120"/>
              <w:bottom w:type="dxa" w:w="60"/>
              <w:right w:type="dxa" w:w="120"/>
            </w:tcMar>
          </w:tcPr>
          <w:p>
            <w:pPr>
              <w:jc w:val="center"/>
            </w:pPr>
            <w:r>
              <w:rPr>
                <w:rFonts w:ascii="Calibri" w:eastAsia="SimSun"/>
                <w:color w:val="000000"/>
                <w:sz w:val="21"/>
                <w:szCs w:val="21"/>
              </w:rPr>
              <w:t xml:space="preserve">✗</w:t>
            </w:r>
          </w:p>
        </w:tc>
      </w:tr>
      <w:tr>
        <w:trPr>
          <w:cantSplit/>
        </w:trPr>
        <w:tc>
          <w:tcPr>
            <w:tcW w:type="pct" w:w="17%"/>
            <w:shd w:fill="FFFFFF" w:val="clear"/>
            <w:tcMar>
              <w:top w:type="dxa" w:w="60"/>
              <w:left w:type="dxa" w:w="120"/>
              <w:bottom w:type="dxa" w:w="60"/>
              <w:right w:type="dxa" w:w="120"/>
            </w:tcMar>
          </w:tcPr>
          <w:p>
            <w:pPr>
              <w:jc w:val="left"/>
            </w:pPr>
            <w:r>
              <w:rPr>
                <w:rFonts w:ascii="Calibri" w:eastAsia="SimSun"/>
                <w:color w:val="000000"/>
                <w:sz w:val="21"/>
                <w:szCs w:val="21"/>
              </w:rPr>
              <w:t xml:space="preserve">方案二</w:t>
            </w:r>
          </w:p>
        </w:tc>
        <w:tc>
          <w:tcPr>
            <w:tcW w:type="pct" w:w="20%"/>
            <w:shd w:fill="FFFFFF" w:val="clear"/>
            <w:tcMar>
              <w:top w:type="dxa" w:w="60"/>
              <w:left w:type="dxa" w:w="120"/>
              <w:bottom w:type="dxa" w:w="60"/>
              <w:right w:type="dxa" w:w="120"/>
            </w:tcMar>
          </w:tcPr>
          <w:p>
            <w:pPr>
              <w:jc w:val="center"/>
            </w:pPr>
            <w:r>
              <w:rPr>
                <w:rFonts w:ascii="Calibri" w:eastAsia="SimSun"/>
                <w:color w:val="000000"/>
                <w:sz w:val="21"/>
                <w:szCs w:val="21"/>
              </w:rPr>
              <w:t xml:space="preserve">HK$8,800</w:t>
            </w:r>
          </w:p>
        </w:tc>
        <w:tc>
          <w:tcPr>
            <w:tcW w:type="pct" w:w="17%"/>
            <w:shd w:fill="FFFFFF" w:val="clear"/>
            <w:tcMar>
              <w:top w:type="dxa" w:w="60"/>
              <w:left w:type="dxa" w:w="120"/>
              <w:bottom w:type="dxa" w:w="60"/>
              <w:right w:type="dxa" w:w="120"/>
            </w:tcMar>
          </w:tcPr>
          <w:p>
            <w:pPr>
              <w:jc w:val="center"/>
            </w:pPr>
            <w:r>
              <w:rPr>
                <w:rFonts w:ascii="Calibri" w:eastAsia="SimSun"/>
                <w:color w:val="000000"/>
                <w:sz w:val="21"/>
                <w:szCs w:val="21"/>
              </w:rPr>
              <w:t xml:space="preserve">750 BV</w:t>
            </w:r>
          </w:p>
        </w:tc>
        <w:tc>
          <w:tcPr>
            <w:tcW w:type="pct" w:w="28%"/>
            <w:shd w:fill="FFFFFF" w:val="clear"/>
            <w:tcMar>
              <w:top w:type="dxa" w:w="60"/>
              <w:left w:type="dxa" w:w="120"/>
              <w:bottom w:type="dxa" w:w="60"/>
              <w:right w:type="dxa" w:w="120"/>
            </w:tcMar>
          </w:tcPr>
          <w:p>
            <w:pPr>
              <w:jc w:val="center"/>
            </w:pPr>
            <w:r>
              <w:rPr>
                <w:rFonts w:ascii="Calibri" w:eastAsia="SimSun"/>
                <w:color w:val="000000"/>
                <w:sz w:val="21"/>
                <w:szCs w:val="21"/>
              </w:rPr>
              <w:t xml:space="preserve">Plan B 進階級</w:t>
            </w:r>
          </w:p>
        </w:tc>
        <w:tc>
          <w:tcPr>
            <w:tcW w:type="pct" w:w="19%"/>
            <w:shd w:fill="FFFFFF" w:val="clear"/>
            <w:tcMar>
              <w:top w:type="dxa" w:w="60"/>
              <w:left w:type="dxa" w:w="120"/>
              <w:bottom w:type="dxa" w:w="60"/>
              <w:right w:type="dxa" w:w="120"/>
            </w:tcMar>
          </w:tcPr>
          <w:p>
            <w:pPr>
              <w:jc w:val="center"/>
            </w:pPr>
            <w:r>
              <w:rPr>
                <w:rFonts w:ascii="Calibri" w:eastAsia="SimSun"/>
                <w:color w:val="000000"/>
                <w:sz w:val="21"/>
                <w:szCs w:val="21"/>
              </w:rPr>
              <w:t xml:space="preserve">✗</w:t>
            </w:r>
          </w:p>
        </w:tc>
      </w:tr>
      <w:tr>
        <w:trPr>
          <w:cantSplit/>
        </w:trPr>
        <w:tc>
          <w:tcPr>
            <w:tcW w:type="pct" w:w="17%"/>
            <w:shd w:fill="F5F2E8" w:val="clear"/>
            <w:tcMar>
              <w:top w:type="dxa" w:w="60"/>
              <w:left w:type="dxa" w:w="120"/>
              <w:bottom w:type="dxa" w:w="60"/>
              <w:right w:type="dxa" w:w="120"/>
            </w:tcMar>
          </w:tcPr>
          <w:p>
            <w:pPr>
              <w:jc w:val="left"/>
            </w:pPr>
            <w:r>
              <w:rPr>
                <w:rFonts w:ascii="Calibri" w:eastAsia="SimSun"/>
                <w:color w:val="000000"/>
                <w:sz w:val="21"/>
                <w:szCs w:val="21"/>
              </w:rPr>
              <w:t xml:space="preserve">方案三</w:t>
            </w:r>
          </w:p>
        </w:tc>
        <w:tc>
          <w:tcPr>
            <w:tcW w:type="pct" w:w="20%"/>
            <w:shd w:fill="F5F2E8" w:val="clear"/>
            <w:tcMar>
              <w:top w:type="dxa" w:w="60"/>
              <w:left w:type="dxa" w:w="120"/>
              <w:bottom w:type="dxa" w:w="60"/>
              <w:right w:type="dxa" w:w="120"/>
            </w:tcMar>
          </w:tcPr>
          <w:p>
            <w:pPr>
              <w:jc w:val="center"/>
            </w:pPr>
            <w:r>
              <w:rPr>
                <w:rFonts w:ascii="Calibri" w:eastAsia="SimSun"/>
                <w:color w:val="000000"/>
                <w:sz w:val="21"/>
                <w:szCs w:val="21"/>
              </w:rPr>
              <w:t xml:space="preserve">HK$16,800</w:t>
            </w:r>
          </w:p>
        </w:tc>
        <w:tc>
          <w:tcPr>
            <w:tcW w:type="pct" w:w="17%"/>
            <w:shd w:fill="F5F2E8" w:val="clear"/>
            <w:tcMar>
              <w:top w:type="dxa" w:w="60"/>
              <w:left w:type="dxa" w:w="120"/>
              <w:bottom w:type="dxa" w:w="60"/>
              <w:right w:type="dxa" w:w="120"/>
            </w:tcMar>
          </w:tcPr>
          <w:p>
            <w:pPr>
              <w:jc w:val="center"/>
            </w:pPr>
            <w:r>
              <w:rPr>
                <w:rFonts w:ascii="Calibri" w:eastAsia="SimSun"/>
                <w:color w:val="000000"/>
                <w:sz w:val="21"/>
                <w:szCs w:val="21"/>
              </w:rPr>
              <w:t xml:space="preserve">1,500 BV</w:t>
            </w:r>
          </w:p>
        </w:tc>
        <w:tc>
          <w:tcPr>
            <w:tcW w:type="pct" w:w="28%"/>
            <w:shd w:fill="F5F2E8" w:val="clear"/>
            <w:tcMar>
              <w:top w:type="dxa" w:w="60"/>
              <w:left w:type="dxa" w:w="120"/>
              <w:bottom w:type="dxa" w:w="60"/>
              <w:right w:type="dxa" w:w="120"/>
            </w:tcMar>
          </w:tcPr>
          <w:p>
            <w:pPr>
              <w:jc w:val="center"/>
            </w:pPr>
            <w:r>
              <w:rPr>
                <w:rFonts w:ascii="Calibri" w:eastAsia="SimSun"/>
                <w:color w:val="000000"/>
                <w:sz w:val="21"/>
                <w:szCs w:val="21"/>
              </w:rPr>
              <w:t xml:space="preserve">Plan B+ 中高級</w:t>
            </w:r>
          </w:p>
        </w:tc>
        <w:tc>
          <w:tcPr>
            <w:tcW w:type="pct" w:w="19%"/>
            <w:shd w:fill="F5F2E8" w:val="clear"/>
            <w:tcMar>
              <w:top w:type="dxa" w:w="60"/>
              <w:left w:type="dxa" w:w="120"/>
              <w:bottom w:type="dxa" w:w="60"/>
              <w:right w:type="dxa" w:w="120"/>
            </w:tcMar>
          </w:tcPr>
          <w:p>
            <w:pPr>
              <w:jc w:val="center"/>
            </w:pPr>
            <w:r>
              <w:rPr>
                <w:rFonts w:ascii="Calibri" w:eastAsia="SimSun"/>
                <w:color w:val="000000"/>
                <w:sz w:val="21"/>
                <w:szCs w:val="21"/>
              </w:rPr>
              <w:t xml:space="preserve">✗</w:t>
            </w:r>
          </w:p>
        </w:tc>
      </w:tr>
      <w:tr>
        <w:trPr>
          <w:cantSplit/>
        </w:trPr>
        <w:tc>
          <w:tcPr>
            <w:tcW w:type="pct" w:w="17%"/>
            <w:shd w:fill="FFFFFF" w:val="clear"/>
            <w:tcMar>
              <w:top w:type="dxa" w:w="60"/>
              <w:left w:type="dxa" w:w="120"/>
              <w:bottom w:type="dxa" w:w="60"/>
              <w:right w:type="dxa" w:w="120"/>
            </w:tcMar>
          </w:tcPr>
          <w:p>
            <w:pPr>
              <w:jc w:val="left"/>
            </w:pPr>
            <w:r>
              <w:rPr>
                <w:rFonts w:ascii="Calibri" w:eastAsia="SimSun"/>
                <w:color w:val="000000"/>
                <w:sz w:val="21"/>
                <w:szCs w:val="21"/>
              </w:rPr>
              <w:t xml:space="preserve">方案四 ★</w:t>
            </w:r>
          </w:p>
        </w:tc>
        <w:tc>
          <w:tcPr>
            <w:tcW w:type="pct" w:w="20%"/>
            <w:shd w:fill="FFFFFF" w:val="clear"/>
            <w:tcMar>
              <w:top w:type="dxa" w:w="60"/>
              <w:left w:type="dxa" w:w="120"/>
              <w:bottom w:type="dxa" w:w="60"/>
              <w:right w:type="dxa" w:w="120"/>
            </w:tcMar>
          </w:tcPr>
          <w:p>
            <w:pPr>
              <w:jc w:val="center"/>
            </w:pPr>
            <w:r>
              <w:rPr>
                <w:rFonts w:ascii="Calibri" w:eastAsia="SimSun"/>
                <w:color w:val="000000"/>
                <w:sz w:val="21"/>
                <w:szCs w:val="21"/>
              </w:rPr>
              <w:t xml:space="preserve">HK$33,800</w:t>
            </w:r>
          </w:p>
        </w:tc>
        <w:tc>
          <w:tcPr>
            <w:tcW w:type="pct" w:w="17%"/>
            <w:shd w:fill="FFFFFF" w:val="clear"/>
            <w:tcMar>
              <w:top w:type="dxa" w:w="60"/>
              <w:left w:type="dxa" w:w="120"/>
              <w:bottom w:type="dxa" w:w="60"/>
              <w:right w:type="dxa" w:w="120"/>
            </w:tcMar>
          </w:tcPr>
          <w:p>
            <w:pPr>
              <w:jc w:val="center"/>
            </w:pPr>
            <w:r>
              <w:rPr>
                <w:rFonts w:ascii="Calibri" w:eastAsia="SimSun"/>
                <w:color w:val="000000"/>
                <w:sz w:val="21"/>
                <w:szCs w:val="21"/>
              </w:rPr>
              <w:t xml:space="preserve">3,000 BV</w:t>
            </w:r>
          </w:p>
        </w:tc>
        <w:tc>
          <w:tcPr>
            <w:tcW w:type="pct" w:w="28%"/>
            <w:shd w:fill="FFFFFF" w:val="clear"/>
            <w:tcMar>
              <w:top w:type="dxa" w:w="60"/>
              <w:left w:type="dxa" w:w="120"/>
              <w:bottom w:type="dxa" w:w="60"/>
              <w:right w:type="dxa" w:w="120"/>
            </w:tcMar>
          </w:tcPr>
          <w:p>
            <w:pPr>
              <w:jc w:val="center"/>
            </w:pPr>
            <w:r>
              <w:rPr>
                <w:rFonts w:ascii="Calibri" w:eastAsia="SimSun"/>
                <w:color w:val="000000"/>
                <w:sz w:val="21"/>
                <w:szCs w:val="21"/>
              </w:rPr>
              <w:t xml:space="preserve">Plan C 高端</w:t>
            </w:r>
          </w:p>
        </w:tc>
        <w:tc>
          <w:tcPr>
            <w:tcW w:type="pct" w:w="19%"/>
            <w:shd w:fill="FFFFFF" w:val="clear"/>
            <w:tcMar>
              <w:top w:type="dxa" w:w="60"/>
              <w:left w:type="dxa" w:w="120"/>
              <w:bottom w:type="dxa" w:w="60"/>
              <w:right w:type="dxa" w:w="120"/>
            </w:tcMar>
          </w:tcPr>
          <w:p>
            <w:pPr>
              <w:jc w:val="center"/>
            </w:pPr>
            <w:r>
              <w:rPr>
                <w:rFonts w:ascii="Calibri" w:eastAsia="SimSun"/>
                <w:color w:val="000000"/>
                <w:sz w:val="21"/>
                <w:szCs w:val="21"/>
              </w:rPr>
              <w:t xml:space="preserve">✓</w:t>
            </w:r>
          </w:p>
        </w:tc>
      </w:tr>
    </w:tbl>
    <w:p>
      <w:pPr>
        <w:spacing w:after="200" w:before="80"/>
        <w:jc w:val="center"/>
      </w:pPr>
      <w:r>
        <w:rPr>
          <w:rFonts w:ascii="Calibri" w:eastAsia="SimSun"/>
          <w:color w:val="506070"/>
          <w:sz w:val="18"/>
          <w:szCs w:val="18"/>
        </w:rPr>
        <w:t xml:space="preserve">表 2：四種進場方案縼覽</w:t>
      </w:r>
    </w:p>
    <w:p>
      <w:pPr>
        <w:pStyle w:val="Heading2"/>
        <w:spacing w:after="120" w:before="240"/>
      </w:pPr>
      <w:bookmarkStart w:id="100008" w:name="_Toc100008"/>
      <w:r>
        <w:rPr>
          <w:rFonts w:ascii="Calibri" w:eastAsia="SimHei"/>
          <w:b/>
          <w:bCs/>
          <w:color w:val="000000"/>
          <w:sz w:val="28"/>
          <w:szCs w:val="28"/>
        </w:rPr>
        <w:t xml:space="preserve">一、方案一（HK$1,980 / 150BV）— Plan A 入門級</w:t>
      </w:r>
      <w:bookmarkEnd w:id="100008"/>
    </w:p>
    <w:p>
      <w:pPr>
        <w:spacing w:after="60" w:line="312"/>
        <w:ind w:firstLine="480"/>
        <w:jc w:val="both"/>
      </w:pPr>
      <w:r>
        <w:rPr>
          <w:rFonts w:ascii="Calibri" w:eastAsia="SimSun"/>
          <w:color w:val="000000"/>
          <w:sz w:val="24"/>
          <w:szCs w:val="24"/>
        </w:rPr>
        <w:t xml:space="preserve">方案一是整個體系的最低入場門檻，適合想先體驗產品效果的新用戶。會員獲得 VFK 健康產品及 MCLUB 基礎會員資格，可接收月報及參加線上研討會，開始建立對 MCLUB 生態圈的認知。從 BV 換算角度來看，150 BV 等於 HK$1,200 的產品價值，投資回報率約 60%，入場門檻低，適合廣泛推廣。這個方案的核心目的是讓更多人接觸 MCLUB 平台，形成初步的資訊鎖定。</w:t>
      </w:r>
    </w:p>
    <w:p>
      <w:pPr>
        <w:pStyle w:val="Heading2"/>
        <w:spacing w:after="120" w:before="240"/>
      </w:pPr>
      <w:bookmarkStart w:id="100009" w:name="_Toc100009"/>
      <w:r>
        <w:rPr>
          <w:rFonts w:ascii="Calibri" w:eastAsia="SimHei"/>
          <w:b/>
          <w:bCs/>
          <w:color w:val="000000"/>
          <w:sz w:val="28"/>
          <w:szCs w:val="28"/>
        </w:rPr>
        <w:t xml:space="preserve">二、方案二（HK$8,800 / 750BV）— Plan B 進階級</w:t>
      </w:r>
      <w:bookmarkEnd w:id="100009"/>
    </w:p>
    <w:p>
      <w:pPr>
        <w:spacing w:after="60" w:line="312"/>
        <w:ind w:firstLine="480"/>
        <w:jc w:val="both"/>
      </w:pPr>
      <w:r>
        <w:rPr>
          <w:rFonts w:ascii="Calibri" w:eastAsia="SimSun"/>
          <w:color w:val="000000"/>
          <w:sz w:val="24"/>
          <w:szCs w:val="24"/>
        </w:rPr>
        <w:t xml:space="preserve">方案二是中階入場選擇，BV 積分提升至方案一的 5 倍，啓動晉升機制的速度更快。除了 VFK 產品外，會員可獲得 MCLUB 深度市場分析報告、獨家物業調研資料，以及參加閉門分享會的優先權，開始接觸日本物業投資相關資訊。這個方案的會員開始進入社交鎖定層，透過分享會和推廣團隊建立人脈網絡，與平台的連結明顯加深。對於已經有推廣經驗的會員而言，這是最佳的入場點。</w:t>
      </w:r>
    </w:p>
    <w:p>
      <w:pPr>
        <w:pStyle w:val="Heading2"/>
        <w:spacing w:after="120" w:before="240"/>
      </w:pPr>
      <w:bookmarkStart w:id="100010" w:name="_Toc100010"/>
      <w:r>
        <w:rPr>
          <w:rFonts w:ascii="Calibri" w:eastAsia="SimHei"/>
          <w:b/>
          <w:bCs/>
          <w:color w:val="000000"/>
          <w:sz w:val="28"/>
          <w:szCs w:val="28"/>
        </w:rPr>
        <w:t xml:space="preserve">三、方案三（HK$16,800 / 1,500BV）— Plan B+ 中高級</w:t>
      </w:r>
      <w:bookmarkEnd w:id="100010"/>
    </w:p>
    <w:p>
      <w:pPr>
        <w:spacing w:after="60" w:line="312"/>
        <w:ind w:firstLine="480"/>
        <w:jc w:val="both"/>
      </w:pPr>
      <w:r>
        <w:rPr>
          <w:rFonts w:ascii="Calibri" w:eastAsia="SimSun"/>
          <w:color w:val="000000"/>
          <w:sz w:val="24"/>
          <w:szCs w:val="24"/>
        </w:rPr>
        <w:t xml:space="preserve">1,500 BV 為方案一的 10 倍，適合認真投入推廣的會員。會員享有更豐富的 VFK 產品組合和更完整的 MCLUB 服務，包括專屬物業清單預覽、日本投資資訊優先推送、分享會 VIP 席位，以及推廣團隊建設支援。這個方案的會員已經蹤踏在服務鎖定的邊緣，對平台提供的服務產生了實質依賴，為進入方案四做好了充分準備。會員在這個階段开始真正理解家族辦公室服務的價值，並積極尋求升級路徑。</w:t>
      </w:r>
    </w:p>
    <w:p>
      <w:pPr>
        <w:pStyle w:val="Heading2"/>
        <w:spacing w:after="120" w:before="240"/>
      </w:pPr>
      <w:bookmarkStart w:id="100011" w:name="_Toc100011"/>
      <w:r>
        <w:rPr>
          <w:rFonts w:ascii="Calibri" w:eastAsia="SimHei"/>
          <w:b/>
          <w:bCs/>
          <w:color w:val="000000"/>
          <w:sz w:val="28"/>
          <w:szCs w:val="28"/>
        </w:rPr>
        <w:t xml:space="preserve">四、方案四（HK$33,800 / 3,000BV）— Plan C 高端 + 家族辦公室 ★</w:t>
      </w:r>
      <w:bookmarkEnd w:id="100011"/>
    </w:p>
    <w:p>
      <w:pPr>
        <w:spacing w:after="60" w:line="312"/>
        <w:ind w:firstLine="480"/>
        <w:jc w:val="both"/>
      </w:pPr>
      <w:r>
        <w:rPr>
          <w:rFonts w:ascii="Calibri" w:eastAsia="SimSun"/>
          <w:color w:val="000000"/>
          <w:sz w:val="24"/>
          <w:szCs w:val="24"/>
        </w:rPr>
        <w:t xml:space="preserve">這是整個體系的關鍵轉折點。3,000 BV 為最高級別，會員不僅獲得全套 VFK 產品，更正式接入百盛大通家族辦公室服務。家族辦公室服務是整個體系的核心價值所在，包括一對一專屬諮詢、香港信訖設立、日本物業投資（實地考察大阪）、NPC 基金認購優先權、家族財富傳承規劃，以及 MyPath AI 旅遊管家服務。這些服務形成了最深層次的結構鎖定，會員的信訖、物業、基金、財富規劃均與平台深度綁定，轉換成本極高。</w:t>
      </w:r>
    </w:p>
    <w:tbl>
      <w:tblPr>
        <w:tblW w:type="pct" w:w="100%"/>
        <w:tblBorders>
          <w:top w:val="single" w:color="C9A84C" w:sz="2"/>
          <w:left w:val="none"/>
          <w:bottom w:val="single" w:color="C9A84C" w:sz="2"/>
          <w:right w:val="none"/>
          <w:insideH w:val="single" w:color="DDD5C0" w:sz="1"/>
          <w:insideV w:val="none"/>
        </w:tblBorders>
      </w:tblPr>
      <w:tblGrid>
        <w:gridCol w:w="100"/>
        <w:gridCol w:w="100"/>
      </w:tblGrid>
      <w:tr>
        <w:trPr>
          <w:cantSplit/>
          <w:tblHeader/>
        </w:trPr>
        <w:tc>
          <w:tcPr>
            <w:tcW w:type="pct" w:w="35%"/>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家族辦公室服務</w:t>
            </w:r>
          </w:p>
        </w:tc>
        <w:tc>
          <w:tcPr>
            <w:tcW w:type="pct" w:w="65%"/>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內容說明</w:t>
            </w:r>
          </w:p>
        </w:tc>
      </w:tr>
      <w:tr>
        <w:trPr>
          <w:cantSplit/>
        </w:trPr>
        <w:tc>
          <w:tcPr>
            <w:tcW w:type="pct" w:w="35%"/>
            <w:shd w:fill="F5F2E8" w:val="clear"/>
            <w:tcMar>
              <w:top w:type="dxa" w:w="60"/>
              <w:left w:type="dxa" w:w="120"/>
              <w:bottom w:type="dxa" w:w="60"/>
              <w:right w:type="dxa" w:w="120"/>
            </w:tcMar>
          </w:tcPr>
          <w:p>
            <w:pPr>
              <w:jc w:val="left"/>
            </w:pPr>
            <w:r>
              <w:rPr>
                <w:rFonts w:ascii="Calibri" w:eastAsia="SimSun"/>
                <w:color w:val="000000"/>
                <w:sz w:val="21"/>
                <w:szCs w:val="21"/>
              </w:rPr>
              <w:t xml:space="preserve">一對一專屬諮詢</w:t>
            </w:r>
          </w:p>
        </w:tc>
        <w:tc>
          <w:tcPr>
            <w:tcW w:type="pct" w:w="65%"/>
            <w:shd w:fill="F5F2E8" w:val="clear"/>
            <w:tcMar>
              <w:top w:type="dxa" w:w="60"/>
              <w:left w:type="dxa" w:w="120"/>
              <w:bottom w:type="dxa" w:w="60"/>
              <w:right w:type="dxa" w:w="120"/>
            </w:tcMar>
          </w:tcPr>
          <w:p>
            <w:pPr>
              <w:jc w:val="center"/>
            </w:pPr>
            <w:r>
              <w:rPr>
                <w:rFonts w:ascii="Calibri" w:eastAsia="SimSun"/>
                <w:color w:val="000000"/>
                <w:sz w:val="21"/>
                <w:szCs w:val="21"/>
              </w:rPr>
              <w:t xml:space="preserve">與投資經理私人會面，客製化投資策略</w:t>
            </w:r>
          </w:p>
        </w:tc>
      </w:tr>
      <w:tr>
        <w:trPr>
          <w:cantSplit/>
        </w:trPr>
        <w:tc>
          <w:tcPr>
            <w:tcW w:type="pct" w:w="35%"/>
            <w:shd w:fill="FFFFFF" w:val="clear"/>
            <w:tcMar>
              <w:top w:type="dxa" w:w="60"/>
              <w:left w:type="dxa" w:w="120"/>
              <w:bottom w:type="dxa" w:w="60"/>
              <w:right w:type="dxa" w:w="120"/>
            </w:tcMar>
          </w:tcPr>
          <w:p>
            <w:pPr>
              <w:jc w:val="left"/>
            </w:pPr>
            <w:r>
              <w:rPr>
                <w:rFonts w:ascii="Calibri" w:eastAsia="SimSun"/>
                <w:color w:val="000000"/>
                <w:sz w:val="21"/>
                <w:szCs w:val="21"/>
              </w:rPr>
              <w:t xml:space="preserve">香港信訖設立</w:t>
            </w:r>
          </w:p>
        </w:tc>
        <w:tc>
          <w:tcPr>
            <w:tcW w:type="pct" w:w="65%"/>
            <w:shd w:fill="FFFFFF" w:val="clear"/>
            <w:tcMar>
              <w:top w:type="dxa" w:w="60"/>
              <w:left w:type="dxa" w:w="120"/>
              <w:bottom w:type="dxa" w:w="60"/>
              <w:right w:type="dxa" w:w="120"/>
            </w:tcMar>
          </w:tcPr>
          <w:p>
            <w:pPr>
              <w:jc w:val="center"/>
            </w:pPr>
            <w:r>
              <w:rPr>
                <w:rFonts w:ascii="Calibri" w:eastAsia="SimSun"/>
                <w:color w:val="000000"/>
                <w:sz w:val="21"/>
                <w:szCs w:val="21"/>
              </w:rPr>
              <w:t xml:space="preserve">專業信訖架構規劃，資產保護與税務優化</w:t>
            </w:r>
          </w:p>
        </w:tc>
      </w:tr>
      <w:tr>
        <w:trPr>
          <w:cantSplit/>
        </w:trPr>
        <w:tc>
          <w:tcPr>
            <w:tcW w:type="pct" w:w="35%"/>
            <w:shd w:fill="F5F2E8" w:val="clear"/>
            <w:tcMar>
              <w:top w:type="dxa" w:w="60"/>
              <w:left w:type="dxa" w:w="120"/>
              <w:bottom w:type="dxa" w:w="60"/>
              <w:right w:type="dxa" w:w="120"/>
            </w:tcMar>
          </w:tcPr>
          <w:p>
            <w:pPr>
              <w:jc w:val="left"/>
            </w:pPr>
            <w:r>
              <w:rPr>
                <w:rFonts w:ascii="Calibri" w:eastAsia="SimSun"/>
                <w:color w:val="000000"/>
                <w:sz w:val="21"/>
                <w:szCs w:val="21"/>
              </w:rPr>
              <w:t xml:space="preserve">日本物業投資</w:t>
            </w:r>
          </w:p>
        </w:tc>
        <w:tc>
          <w:tcPr>
            <w:tcW w:type="pct" w:w="65%"/>
            <w:shd w:fill="F5F2E8" w:val="clear"/>
            <w:tcMar>
              <w:top w:type="dxa" w:w="60"/>
              <w:left w:type="dxa" w:w="120"/>
              <w:bottom w:type="dxa" w:w="60"/>
              <w:right w:type="dxa" w:w="120"/>
            </w:tcMar>
          </w:tcPr>
          <w:p>
            <w:pPr>
              <w:jc w:val="center"/>
            </w:pPr>
            <w:r>
              <w:rPr>
                <w:rFonts w:ascii="Calibri" w:eastAsia="SimSun"/>
                <w:color w:val="000000"/>
                <w:sz w:val="21"/>
                <w:szCs w:val="21"/>
              </w:rPr>
              <w:t xml:space="preserve">實地考察大阪，專屬投資方案設計</w:t>
            </w:r>
          </w:p>
        </w:tc>
      </w:tr>
      <w:tr>
        <w:trPr>
          <w:cantSplit/>
        </w:trPr>
        <w:tc>
          <w:tcPr>
            <w:tcW w:type="pct" w:w="35%"/>
            <w:shd w:fill="FFFFFF" w:val="clear"/>
            <w:tcMar>
              <w:top w:type="dxa" w:w="60"/>
              <w:left w:type="dxa" w:w="120"/>
              <w:bottom w:type="dxa" w:w="60"/>
              <w:right w:type="dxa" w:w="120"/>
            </w:tcMar>
          </w:tcPr>
          <w:p>
            <w:pPr>
              <w:jc w:val="left"/>
            </w:pPr>
            <w:r>
              <w:rPr>
                <w:rFonts w:ascii="Calibri" w:eastAsia="SimSun"/>
                <w:color w:val="000000"/>
                <w:sz w:val="21"/>
                <w:szCs w:val="21"/>
              </w:rPr>
              <w:t xml:space="preserve">NPC 基金認購優先權</w:t>
            </w:r>
          </w:p>
        </w:tc>
        <w:tc>
          <w:tcPr>
            <w:tcW w:type="pct" w:w="65%"/>
            <w:shd w:fill="FFFFFF" w:val="clear"/>
            <w:tcMar>
              <w:top w:type="dxa" w:w="60"/>
              <w:left w:type="dxa" w:w="120"/>
              <w:bottom w:type="dxa" w:w="60"/>
              <w:right w:type="dxa" w:w="120"/>
            </w:tcMar>
          </w:tcPr>
          <w:p>
            <w:pPr>
              <w:jc w:val="center"/>
            </w:pPr>
            <w:r>
              <w:rPr>
                <w:rFonts w:ascii="Calibri" w:eastAsia="SimSun"/>
                <w:color w:val="000000"/>
                <w:sz w:val="21"/>
                <w:szCs w:val="21"/>
              </w:rPr>
              <w:t xml:space="preserve">基金投資的優先通道</w:t>
            </w:r>
          </w:p>
        </w:tc>
      </w:tr>
      <w:tr>
        <w:trPr>
          <w:cantSplit/>
        </w:trPr>
        <w:tc>
          <w:tcPr>
            <w:tcW w:type="pct" w:w="35%"/>
            <w:shd w:fill="F5F2E8" w:val="clear"/>
            <w:tcMar>
              <w:top w:type="dxa" w:w="60"/>
              <w:left w:type="dxa" w:w="120"/>
              <w:bottom w:type="dxa" w:w="60"/>
              <w:right w:type="dxa" w:w="120"/>
            </w:tcMar>
          </w:tcPr>
          <w:p>
            <w:pPr>
              <w:jc w:val="left"/>
            </w:pPr>
            <w:r>
              <w:rPr>
                <w:rFonts w:ascii="Calibri" w:eastAsia="SimSun"/>
                <w:color w:val="000000"/>
                <w:sz w:val="21"/>
                <w:szCs w:val="21"/>
              </w:rPr>
              <w:t xml:space="preserve">家族財富傳承規劃</w:t>
            </w:r>
          </w:p>
        </w:tc>
        <w:tc>
          <w:tcPr>
            <w:tcW w:type="pct" w:w="65%"/>
            <w:shd w:fill="F5F2E8" w:val="clear"/>
            <w:tcMar>
              <w:top w:type="dxa" w:w="60"/>
              <w:left w:type="dxa" w:w="120"/>
              <w:bottom w:type="dxa" w:w="60"/>
              <w:right w:type="dxa" w:w="120"/>
            </w:tcMar>
          </w:tcPr>
          <w:p>
            <w:pPr>
              <w:jc w:val="center"/>
            </w:pPr>
            <w:r>
              <w:rPr>
                <w:rFonts w:ascii="Calibri" w:eastAsia="SimSun"/>
                <w:color w:val="000000"/>
                <w:sz w:val="21"/>
                <w:szCs w:val="21"/>
              </w:rPr>
              <w:t xml:space="preserve">跨境資產配置及家族治理</w:t>
            </w:r>
          </w:p>
        </w:tc>
      </w:tr>
      <w:tr>
        <w:trPr>
          <w:cantSplit/>
        </w:trPr>
        <w:tc>
          <w:tcPr>
            <w:tcW w:type="pct" w:w="35%"/>
            <w:shd w:fill="FFFFFF" w:val="clear"/>
            <w:tcMar>
              <w:top w:type="dxa" w:w="60"/>
              <w:left w:type="dxa" w:w="120"/>
              <w:bottom w:type="dxa" w:w="60"/>
              <w:right w:type="dxa" w:w="120"/>
            </w:tcMar>
          </w:tcPr>
          <w:p>
            <w:pPr>
              <w:jc w:val="left"/>
            </w:pPr>
            <w:r>
              <w:rPr>
                <w:rFonts w:ascii="Calibri" w:eastAsia="SimSun"/>
                <w:color w:val="000000"/>
                <w:sz w:val="21"/>
                <w:szCs w:val="21"/>
              </w:rPr>
              <w:t xml:space="preserve">MyPath AI 旅遊管家</w:t>
            </w:r>
          </w:p>
        </w:tc>
        <w:tc>
          <w:tcPr>
            <w:tcW w:type="pct" w:w="65%"/>
            <w:shd w:fill="FFFFFF" w:val="clear"/>
            <w:tcMar>
              <w:top w:type="dxa" w:w="60"/>
              <w:left w:type="dxa" w:w="120"/>
              <w:bottom w:type="dxa" w:w="60"/>
              <w:right w:type="dxa" w:w="120"/>
            </w:tcMar>
          </w:tcPr>
          <w:p>
            <w:pPr>
              <w:jc w:val="center"/>
            </w:pPr>
            <w:r>
              <w:rPr>
                <w:rFonts w:ascii="Calibri" w:eastAsia="SimSun"/>
                <w:color w:val="000000"/>
                <w:sz w:val="21"/>
                <w:szCs w:val="21"/>
              </w:rPr>
              <w:t xml:space="preserve">日本旅遊全方位支持</w:t>
            </w:r>
          </w:p>
        </w:tc>
      </w:tr>
    </w:tbl>
    <w:p>
      <w:pPr>
        <w:spacing w:after="200" w:before="80"/>
        <w:jc w:val="center"/>
      </w:pPr>
      <w:r>
        <w:rPr>
          <w:rFonts w:ascii="Calibri" w:eastAsia="SimSun"/>
          <w:color w:val="506070"/>
          <w:sz w:val="18"/>
          <w:szCs w:val="18"/>
        </w:rPr>
        <w:t xml:space="preserve">表 3：方案四家族辦公室服務詳情</w:t>
      </w:r>
    </w:p>
    <w:p>
      <w:pPr>
        <w:pStyle w:val="Heading1"/>
        <w:spacing w:after="120" w:before="360"/>
      </w:pPr>
      <w:bookmarkStart w:id="100012" w:name="_Toc100012"/>
      <w:r>
        <w:rPr>
          <w:rFonts w:ascii="Calibri" w:eastAsia="SimHei"/>
          <w:b/>
          <w:bCs/>
          <w:color w:val="000000"/>
          <w:sz w:val="32"/>
          <w:szCs w:val="32"/>
        </w:rPr>
        <w:t xml:space="preserve">第五章  MCLUB 會員制度</w:t>
      </w:r>
      <w:bookmarkEnd w:id="100012"/>
    </w:p>
    <w:p>
      <w:pPr>
        <w:pStyle w:val="Heading2"/>
        <w:spacing w:after="120" w:before="240"/>
      </w:pPr>
      <w:bookmarkStart w:id="100013" w:name="_Toc100013"/>
      <w:r>
        <w:rPr>
          <w:rFonts w:ascii="Calibri" w:eastAsia="SimHei"/>
          <w:b/>
          <w:bCs/>
          <w:color w:val="000000"/>
          <w:sz w:val="28"/>
          <w:szCs w:val="28"/>
        </w:rPr>
        <w:t xml:space="preserve">一、會員層次體系</w:t>
      </w:r>
      <w:bookmarkEnd w:id="100013"/>
    </w:p>
    <w:p>
      <w:pPr>
        <w:spacing w:after="60" w:line="312"/>
        <w:ind w:firstLine="480"/>
        <w:jc w:val="both"/>
      </w:pPr>
      <w:r>
        <w:rPr>
          <w:rFonts w:ascii="Calibri" w:eastAsia="SimSun"/>
          <w:color w:val="000000"/>
          <w:sz w:val="24"/>
          <w:szCs w:val="24"/>
        </w:rPr>
        <w:t xml:space="preserve">MCLUB 會員制度分為三個主要層次，與 VFK 四種進場方案緊密對應。Plan A 為入門級，對應方案一，提供基礎會員資格及資訊服務；Plan B 為進階級，對應方案二及方案三，提供深度分析、專屬物業資訊及 VIP 服務；Plan C 為高端級，對應方案四，是唯一接入家族辦公室服務的層級。這種層層遒進的設計，讓會員在每個階段都能獲得超預期的價值，同時積極尋求下一個層級的服務。</w:t>
      </w:r>
    </w:p>
    <w:tbl>
      <w:tblPr>
        <w:tblW w:type="pct" w:w="100%"/>
        <w:tblBorders>
          <w:top w:val="single" w:color="C9A84C" w:sz="2"/>
          <w:left w:val="none"/>
          <w:bottom w:val="single" w:color="C9A84C" w:sz="2"/>
          <w:right w:val="none"/>
          <w:insideH w:val="single" w:color="DDD5C0" w:sz="1"/>
          <w:insideV w:val="none"/>
        </w:tblBorders>
      </w:tblPr>
      <w:tblGrid>
        <w:gridCol w:w="100"/>
        <w:gridCol w:w="100"/>
        <w:gridCol w:w="100"/>
        <w:gridCol w:w="100"/>
      </w:tblGrid>
      <w:tr>
        <w:trPr>
          <w:cantSplit/>
          <w:tblHeader/>
        </w:trPr>
        <w:tc>
          <w:tcPr>
            <w:tcW w:type="pct" w:w="2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會員層級</w:t>
            </w:r>
          </w:p>
        </w:tc>
        <w:tc>
          <w:tcPr>
            <w:tcW w:type="pct" w:w="2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對應方案</w:t>
            </w:r>
          </w:p>
        </w:tc>
        <w:tc>
          <w:tcPr>
            <w:tcW w:type="pct" w:w="2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入場金額</w:t>
            </w:r>
          </w:p>
        </w:tc>
        <w:tc>
          <w:tcPr>
            <w:tcW w:type="pct" w:w="4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核心服務</w:t>
            </w:r>
          </w:p>
        </w:tc>
      </w:tr>
      <w:tr>
        <w:trPr>
          <w:cantSplit/>
        </w:trPr>
        <w:tc>
          <w:tcPr>
            <w:tcW w:type="pct" w:w="20%"/>
            <w:shd w:fill="F5F2E8" w:val="clear"/>
            <w:tcMar>
              <w:top w:type="dxa" w:w="60"/>
              <w:left w:type="dxa" w:w="120"/>
              <w:bottom w:type="dxa" w:w="60"/>
              <w:right w:type="dxa" w:w="120"/>
            </w:tcMar>
          </w:tcPr>
          <w:p>
            <w:pPr>
              <w:jc w:val="left"/>
            </w:pPr>
            <w:r>
              <w:rPr>
                <w:rFonts w:ascii="Calibri" w:eastAsia="SimSun"/>
                <w:color w:val="000000"/>
                <w:sz w:val="21"/>
                <w:szCs w:val="21"/>
              </w:rPr>
              <w:t xml:space="preserve">Plan A 入門級</w:t>
            </w:r>
          </w:p>
        </w:tc>
        <w:tc>
          <w:tcPr>
            <w:tcW w:type="pct" w:w="20%"/>
            <w:shd w:fill="F5F2E8" w:val="clear"/>
            <w:tcMar>
              <w:top w:type="dxa" w:w="60"/>
              <w:left w:type="dxa" w:w="120"/>
              <w:bottom w:type="dxa" w:w="60"/>
              <w:right w:type="dxa" w:w="120"/>
            </w:tcMar>
          </w:tcPr>
          <w:p>
            <w:pPr>
              <w:jc w:val="center"/>
            </w:pPr>
            <w:r>
              <w:rPr>
                <w:rFonts w:ascii="Calibri" w:eastAsia="SimSun"/>
                <w:color w:val="000000"/>
                <w:sz w:val="21"/>
                <w:szCs w:val="21"/>
              </w:rPr>
              <w:t xml:space="preserve">方案一</w:t>
            </w:r>
          </w:p>
        </w:tc>
        <w:tc>
          <w:tcPr>
            <w:tcW w:type="pct" w:w="20%"/>
            <w:shd w:fill="F5F2E8" w:val="clear"/>
            <w:tcMar>
              <w:top w:type="dxa" w:w="60"/>
              <w:left w:type="dxa" w:w="120"/>
              <w:bottom w:type="dxa" w:w="60"/>
              <w:right w:type="dxa" w:w="120"/>
            </w:tcMar>
          </w:tcPr>
          <w:p>
            <w:pPr>
              <w:jc w:val="center"/>
            </w:pPr>
            <w:r>
              <w:rPr>
                <w:rFonts w:ascii="Calibri" w:eastAsia="SimSun"/>
                <w:color w:val="000000"/>
                <w:sz w:val="21"/>
                <w:szCs w:val="21"/>
              </w:rPr>
              <w:t xml:space="preserve">HK$4,800</w:t>
            </w:r>
          </w:p>
        </w:tc>
        <w:tc>
          <w:tcPr>
            <w:tcW w:type="pct" w:w="40%"/>
            <w:shd w:fill="F5F2E8" w:val="clear"/>
            <w:tcMar>
              <w:top w:type="dxa" w:w="60"/>
              <w:left w:type="dxa" w:w="120"/>
              <w:bottom w:type="dxa" w:w="60"/>
              <w:right w:type="dxa" w:w="120"/>
            </w:tcMar>
          </w:tcPr>
          <w:p>
            <w:pPr>
              <w:jc w:val="center"/>
            </w:pPr>
            <w:r>
              <w:rPr>
                <w:rFonts w:ascii="Calibri" w:eastAsia="SimSun"/>
                <w:color w:val="000000"/>
                <w:sz w:val="21"/>
                <w:szCs w:val="21"/>
              </w:rPr>
              <w:t xml:space="preserve">基礎資訊、月報、線上研討會</w:t>
            </w:r>
          </w:p>
        </w:tc>
      </w:tr>
      <w:tr>
        <w:trPr>
          <w:cantSplit/>
        </w:trPr>
        <w:tc>
          <w:tcPr>
            <w:tcW w:type="pct" w:w="20%"/>
            <w:shd w:fill="FFFFFF" w:val="clear"/>
            <w:tcMar>
              <w:top w:type="dxa" w:w="60"/>
              <w:left w:type="dxa" w:w="120"/>
              <w:bottom w:type="dxa" w:w="60"/>
              <w:right w:type="dxa" w:w="120"/>
            </w:tcMar>
          </w:tcPr>
          <w:p>
            <w:pPr>
              <w:jc w:val="left"/>
            </w:pPr>
            <w:r>
              <w:rPr>
                <w:rFonts w:ascii="Calibri" w:eastAsia="SimSun"/>
                <w:color w:val="000000"/>
                <w:sz w:val="21"/>
                <w:szCs w:val="21"/>
              </w:rPr>
              <w:t xml:space="preserve">Plan B 進階級</w:t>
            </w:r>
          </w:p>
        </w:tc>
        <w:tc>
          <w:tcPr>
            <w:tcW w:type="pct" w:w="20%"/>
            <w:shd w:fill="FFFFFF" w:val="clear"/>
            <w:tcMar>
              <w:top w:type="dxa" w:w="60"/>
              <w:left w:type="dxa" w:w="120"/>
              <w:bottom w:type="dxa" w:w="60"/>
              <w:right w:type="dxa" w:w="120"/>
            </w:tcMar>
          </w:tcPr>
          <w:p>
            <w:pPr>
              <w:jc w:val="center"/>
            </w:pPr>
            <w:r>
              <w:rPr>
                <w:rFonts w:ascii="Calibri" w:eastAsia="SimSun"/>
                <w:color w:val="000000"/>
                <w:sz w:val="21"/>
                <w:szCs w:val="21"/>
              </w:rPr>
              <w:t xml:space="preserve">方案二/三</w:t>
            </w:r>
          </w:p>
        </w:tc>
        <w:tc>
          <w:tcPr>
            <w:tcW w:type="pct" w:w="20%"/>
            <w:shd w:fill="FFFFFF" w:val="clear"/>
            <w:tcMar>
              <w:top w:type="dxa" w:w="60"/>
              <w:left w:type="dxa" w:w="120"/>
              <w:bottom w:type="dxa" w:w="60"/>
              <w:right w:type="dxa" w:w="120"/>
            </w:tcMar>
          </w:tcPr>
          <w:p>
            <w:pPr>
              <w:jc w:val="center"/>
            </w:pPr>
            <w:r>
              <w:rPr>
                <w:rFonts w:ascii="Calibri" w:eastAsia="SimSun"/>
                <w:color w:val="000000"/>
                <w:sz w:val="21"/>
                <w:szCs w:val="21"/>
              </w:rPr>
              <w:t xml:space="preserve">HK$13,800</w:t>
            </w:r>
          </w:p>
        </w:tc>
        <w:tc>
          <w:tcPr>
            <w:tcW w:type="pct" w:w="40%"/>
            <w:shd w:fill="FFFFFF" w:val="clear"/>
            <w:tcMar>
              <w:top w:type="dxa" w:w="60"/>
              <w:left w:type="dxa" w:w="120"/>
              <w:bottom w:type="dxa" w:w="60"/>
              <w:right w:type="dxa" w:w="120"/>
            </w:tcMar>
          </w:tcPr>
          <w:p>
            <w:pPr>
              <w:jc w:val="center"/>
            </w:pPr>
            <w:r>
              <w:rPr>
                <w:rFonts w:ascii="Calibri" w:eastAsia="SimSun"/>
                <w:color w:val="000000"/>
                <w:sz w:val="21"/>
                <w:szCs w:val="21"/>
              </w:rPr>
              <w:t xml:space="preserve">深度分析、物業資訊、分享會 VIP</w:t>
            </w:r>
          </w:p>
        </w:tc>
      </w:tr>
      <w:tr>
        <w:trPr>
          <w:cantSplit/>
        </w:trPr>
        <w:tc>
          <w:tcPr>
            <w:tcW w:type="pct" w:w="20%"/>
            <w:shd w:fill="F5F2E8" w:val="clear"/>
            <w:tcMar>
              <w:top w:type="dxa" w:w="60"/>
              <w:left w:type="dxa" w:w="120"/>
              <w:bottom w:type="dxa" w:w="60"/>
              <w:right w:type="dxa" w:w="120"/>
            </w:tcMar>
          </w:tcPr>
          <w:p>
            <w:pPr>
              <w:jc w:val="left"/>
            </w:pPr>
            <w:r>
              <w:rPr>
                <w:rFonts w:ascii="Calibri" w:eastAsia="SimSun"/>
                <w:color w:val="000000"/>
                <w:sz w:val="21"/>
                <w:szCs w:val="21"/>
              </w:rPr>
              <w:t xml:space="preserve">Plan C 高端級</w:t>
            </w:r>
          </w:p>
        </w:tc>
        <w:tc>
          <w:tcPr>
            <w:tcW w:type="pct" w:w="20%"/>
            <w:shd w:fill="F5F2E8" w:val="clear"/>
            <w:tcMar>
              <w:top w:type="dxa" w:w="60"/>
              <w:left w:type="dxa" w:w="120"/>
              <w:bottom w:type="dxa" w:w="60"/>
              <w:right w:type="dxa" w:w="120"/>
            </w:tcMar>
          </w:tcPr>
          <w:p>
            <w:pPr>
              <w:jc w:val="center"/>
            </w:pPr>
            <w:r>
              <w:rPr>
                <w:rFonts w:ascii="Calibri" w:eastAsia="SimSun"/>
                <w:color w:val="000000"/>
                <w:sz w:val="21"/>
                <w:szCs w:val="21"/>
              </w:rPr>
              <w:t xml:space="preserve">方案四</w:t>
            </w:r>
          </w:p>
        </w:tc>
        <w:tc>
          <w:tcPr>
            <w:tcW w:type="pct" w:w="20%"/>
            <w:shd w:fill="F5F2E8" w:val="clear"/>
            <w:tcMar>
              <w:top w:type="dxa" w:w="60"/>
              <w:left w:type="dxa" w:w="120"/>
              <w:bottom w:type="dxa" w:w="60"/>
              <w:right w:type="dxa" w:w="120"/>
            </w:tcMar>
          </w:tcPr>
          <w:p>
            <w:pPr>
              <w:jc w:val="center"/>
            </w:pPr>
            <w:r>
              <w:rPr>
                <w:rFonts w:ascii="Calibri" w:eastAsia="SimSun"/>
                <w:color w:val="000000"/>
                <w:sz w:val="21"/>
                <w:szCs w:val="21"/>
              </w:rPr>
              <w:t xml:space="preserve">HK$29,800</w:t>
            </w:r>
          </w:p>
        </w:tc>
        <w:tc>
          <w:tcPr>
            <w:tcW w:type="pct" w:w="40%"/>
            <w:shd w:fill="F5F2E8" w:val="clear"/>
            <w:tcMar>
              <w:top w:type="dxa" w:w="60"/>
              <w:left w:type="dxa" w:w="120"/>
              <w:bottom w:type="dxa" w:w="60"/>
              <w:right w:type="dxa" w:w="120"/>
            </w:tcMar>
          </w:tcPr>
          <w:p>
            <w:pPr>
              <w:jc w:val="center"/>
            </w:pPr>
            <w:r>
              <w:rPr>
                <w:rFonts w:ascii="Calibri" w:eastAsia="SimSun"/>
                <w:color w:val="000000"/>
                <w:sz w:val="21"/>
                <w:szCs w:val="21"/>
              </w:rPr>
              <w:t xml:space="preserve">家族辦公室全套服務</w:t>
            </w:r>
          </w:p>
        </w:tc>
      </w:tr>
    </w:tbl>
    <w:p>
      <w:pPr>
        <w:spacing w:after="200" w:before="80"/>
        <w:jc w:val="center"/>
      </w:pPr>
      <w:r>
        <w:rPr>
          <w:rFonts w:ascii="Calibri" w:eastAsia="SimSun"/>
          <w:color w:val="506070"/>
          <w:sz w:val="18"/>
          <w:szCs w:val="18"/>
        </w:rPr>
        <w:t xml:space="preserve">表 4：MCLUB 會員層次對應表</w:t>
      </w:r>
    </w:p>
    <w:p>
      <w:pPr>
        <w:pStyle w:val="Heading2"/>
        <w:spacing w:after="120" w:before="240"/>
      </w:pPr>
      <w:bookmarkStart w:id="100014" w:name="_Toc100014"/>
      <w:r>
        <w:rPr>
          <w:rFonts w:ascii="Calibri" w:eastAsia="SimHei"/>
          <w:b/>
          <w:bCs/>
          <w:color w:val="000000"/>
          <w:sz w:val="28"/>
          <w:szCs w:val="28"/>
        </w:rPr>
        <w:t xml:space="preserve">二、會員路徑規劃</w:t>
      </w:r>
      <w:bookmarkEnd w:id="100014"/>
    </w:p>
    <w:p>
      <w:pPr>
        <w:spacing w:after="60" w:line="312"/>
        <w:ind w:firstLine="480"/>
        <w:jc w:val="both"/>
      </w:pPr>
      <w:r>
        <w:rPr>
          <w:rFonts w:ascii="Calibri" w:eastAsia="SimSun"/>
          <w:color w:val="000000"/>
          <w:sz w:val="24"/>
          <w:szCs w:val="24"/>
        </w:rPr>
        <w:t xml:space="preserve">MCLUB 的會員路徑設計遵循「由健康切入，以財富升級」的核心邏輯。新會員從 VFK 健康產品體驗開始，透過產品效果建立信任；進而參與推廣團隊，獲得更多市場資訊和投資知識；最終透過方案四進入家族辦公室，實現健康管理到財富管理的完整轉變。每一步都有明確的價值主張和升級動力，讓會員始終感受到前進的必要性。</w:t>
      </w:r>
    </w:p>
    <w:p>
      <w:pPr>
        <w:pStyle w:val="Heading1"/>
        <w:spacing w:after="120" w:before="360"/>
      </w:pPr>
      <w:bookmarkStart w:id="100015" w:name="_Toc100015"/>
      <w:r>
        <w:rPr>
          <w:rFonts w:ascii="Calibri" w:eastAsia="SimHei"/>
          <w:b/>
          <w:bCs/>
          <w:color w:val="000000"/>
          <w:sz w:val="32"/>
          <w:szCs w:val="32"/>
        </w:rPr>
        <w:t xml:space="preserve">第六章  七階無限晉升機制</w:t>
      </w:r>
      <w:bookmarkEnd w:id="100015"/>
    </w:p>
    <w:p>
      <w:pPr>
        <w:spacing w:after="60" w:line="312"/>
        <w:ind w:firstLine="480"/>
        <w:jc w:val="both"/>
      </w:pPr>
      <w:r>
        <w:rPr>
          <w:rFonts w:ascii="Calibri" w:eastAsia="SimSun"/>
          <w:color w:val="000000"/>
          <w:sz w:val="24"/>
          <w:szCs w:val="24"/>
        </w:rPr>
        <w:t xml:space="preserve">VFK × MCLUB 採用七階晉升制度，會員透過累積 BV 積分逐步晉升，每個級別對應不同的團隊規模及收益水平。晉升的核心條件是大區和小區各累積 500,000 BV，BV 積分無限期累積，長期有效。這意味著會員不需要擔心積分過期，可以按自己的節奏穩步推進，大大降低了壓力和焦慮感。</w:t>
      </w:r>
    </w:p>
    <w:tbl>
      <w:tblPr>
        <w:tblW w:type="pct" w:w="100%"/>
        <w:tblBorders>
          <w:top w:val="single" w:color="C9A84C" w:sz="2"/>
          <w:left w:val="none"/>
          <w:bottom w:val="single" w:color="C9A84C" w:sz="2"/>
          <w:right w:val="none"/>
          <w:insideH w:val="single" w:color="DDD5C0" w:sz="1"/>
          <w:insideV w:val="none"/>
        </w:tblBorders>
      </w:tblPr>
      <w:tblGrid>
        <w:gridCol w:w="100"/>
        <w:gridCol w:w="100"/>
        <w:gridCol w:w="100"/>
        <w:gridCol w:w="100"/>
      </w:tblGrid>
      <w:tr>
        <w:trPr>
          <w:cantSplit/>
          <w:tblHeader/>
        </w:trPr>
        <w:tc>
          <w:tcPr>
            <w:tcW w:type="pct" w:w="12%"/>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級別</w:t>
            </w:r>
          </w:p>
        </w:tc>
        <w:tc>
          <w:tcPr>
            <w:tcW w:type="pct" w:w="1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簡稱</w:t>
            </w:r>
          </w:p>
        </w:tc>
        <w:tc>
          <w:tcPr>
            <w:tcW w:type="pct" w:w="40%"/>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全稱</w:t>
            </w:r>
          </w:p>
        </w:tc>
        <w:tc>
          <w:tcPr>
            <w:tcW w:type="pct" w:w="38%"/>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說明</w:t>
            </w:r>
          </w:p>
        </w:tc>
      </w:tr>
      <w:tr>
        <w:trPr>
          <w:cantSplit/>
        </w:trPr>
        <w:tc>
          <w:tcPr>
            <w:tcW w:type="pct" w:w="12%"/>
            <w:shd w:fill="F5F2E8" w:val="clear"/>
            <w:tcMar>
              <w:top w:type="dxa" w:w="60"/>
              <w:left w:type="dxa" w:w="120"/>
              <w:bottom w:type="dxa" w:w="60"/>
              <w:right w:type="dxa" w:w="120"/>
            </w:tcMar>
          </w:tcPr>
          <w:p>
            <w:pPr>
              <w:jc w:val="left"/>
            </w:pPr>
            <w:r>
              <w:rPr>
                <w:rFonts w:ascii="Calibri" w:eastAsia="SimSun"/>
                <w:color w:val="000000"/>
                <w:sz w:val="21"/>
                <w:szCs w:val="21"/>
              </w:rPr>
              <w:t xml:space="preserve">第1階</w:t>
            </w:r>
          </w:p>
        </w:tc>
        <w:tc>
          <w:tcPr>
            <w:tcW w:type="pct" w:w="10%"/>
            <w:shd w:fill="F5F2E8" w:val="clear"/>
            <w:tcMar>
              <w:top w:type="dxa" w:w="60"/>
              <w:left w:type="dxa" w:w="120"/>
              <w:bottom w:type="dxa" w:w="60"/>
              <w:right w:type="dxa" w:w="120"/>
            </w:tcMar>
          </w:tcPr>
          <w:p>
            <w:pPr>
              <w:jc w:val="center"/>
            </w:pPr>
            <w:r>
              <w:rPr>
                <w:rFonts w:ascii="Calibri" w:eastAsia="SimSun"/>
                <w:color w:val="000000"/>
                <w:sz w:val="21"/>
                <w:szCs w:val="21"/>
              </w:rPr>
              <w:t xml:space="preserve">S</w:t>
            </w:r>
          </w:p>
        </w:tc>
        <w:tc>
          <w:tcPr>
            <w:tcW w:type="pct" w:w="40%"/>
            <w:shd w:fill="F5F2E8" w:val="clear"/>
            <w:tcMar>
              <w:top w:type="dxa" w:w="60"/>
              <w:left w:type="dxa" w:w="120"/>
              <w:bottom w:type="dxa" w:w="60"/>
              <w:right w:type="dxa" w:w="120"/>
            </w:tcMar>
          </w:tcPr>
          <w:p>
            <w:pPr>
              <w:jc w:val="center"/>
            </w:pPr>
            <w:r>
              <w:rPr>
                <w:rFonts w:ascii="Calibri" w:eastAsia="SimSun"/>
                <w:color w:val="000000"/>
                <w:sz w:val="21"/>
                <w:szCs w:val="21"/>
              </w:rPr>
              <w:t xml:space="preserve">Star 星級會員</w:t>
            </w:r>
          </w:p>
        </w:tc>
        <w:tc>
          <w:tcPr>
            <w:tcW w:type="pct" w:w="38%"/>
            <w:shd w:fill="F5F2E8" w:val="clear"/>
            <w:tcMar>
              <w:top w:type="dxa" w:w="60"/>
              <w:left w:type="dxa" w:w="120"/>
              <w:bottom w:type="dxa" w:w="60"/>
              <w:right w:type="dxa" w:w="120"/>
            </w:tcMar>
          </w:tcPr>
          <w:p>
            <w:pPr>
              <w:jc w:val="center"/>
            </w:pPr>
            <w:r>
              <w:rPr>
                <w:rFonts w:ascii="Calibri" w:eastAsia="SimSun"/>
                <w:color w:val="000000"/>
                <w:sz w:val="21"/>
                <w:szCs w:val="21"/>
              </w:rPr>
              <w:t xml:space="preserve">入門級別，開始累積 BV</w:t>
            </w:r>
          </w:p>
        </w:tc>
      </w:tr>
      <w:tr>
        <w:trPr>
          <w:cantSplit/>
        </w:trPr>
        <w:tc>
          <w:tcPr>
            <w:tcW w:type="pct" w:w="12%"/>
            <w:shd w:fill="FFFFFF" w:val="clear"/>
            <w:tcMar>
              <w:top w:type="dxa" w:w="60"/>
              <w:left w:type="dxa" w:w="120"/>
              <w:bottom w:type="dxa" w:w="60"/>
              <w:right w:type="dxa" w:w="120"/>
            </w:tcMar>
          </w:tcPr>
          <w:p>
            <w:pPr>
              <w:jc w:val="left"/>
            </w:pPr>
            <w:r>
              <w:rPr>
                <w:rFonts w:ascii="Calibri" w:eastAsia="SimSun"/>
                <w:color w:val="000000"/>
                <w:sz w:val="21"/>
                <w:szCs w:val="21"/>
              </w:rPr>
              <w:t xml:space="preserve">第2階</w:t>
            </w:r>
          </w:p>
        </w:tc>
        <w:tc>
          <w:tcPr>
            <w:tcW w:type="pct" w:w="10%"/>
            <w:shd w:fill="FFFFFF" w:val="clear"/>
            <w:tcMar>
              <w:top w:type="dxa" w:w="60"/>
              <w:left w:type="dxa" w:w="120"/>
              <w:bottom w:type="dxa" w:w="60"/>
              <w:right w:type="dxa" w:w="120"/>
            </w:tcMar>
          </w:tcPr>
          <w:p>
            <w:pPr>
              <w:jc w:val="center"/>
            </w:pPr>
            <w:r>
              <w:rPr>
                <w:rFonts w:ascii="Calibri" w:eastAsia="SimSun"/>
                <w:color w:val="000000"/>
                <w:sz w:val="21"/>
                <w:szCs w:val="21"/>
              </w:rPr>
              <w:t xml:space="preserve">M</w:t>
            </w:r>
          </w:p>
        </w:tc>
        <w:tc>
          <w:tcPr>
            <w:tcW w:type="pct" w:w="40%"/>
            <w:shd w:fill="FFFFFF" w:val="clear"/>
            <w:tcMar>
              <w:top w:type="dxa" w:w="60"/>
              <w:left w:type="dxa" w:w="120"/>
              <w:bottom w:type="dxa" w:w="60"/>
              <w:right w:type="dxa" w:w="120"/>
            </w:tcMar>
          </w:tcPr>
          <w:p>
            <w:pPr>
              <w:jc w:val="center"/>
            </w:pPr>
            <w:r>
              <w:rPr>
                <w:rFonts w:ascii="Calibri" w:eastAsia="SimSun"/>
                <w:color w:val="000000"/>
                <w:sz w:val="21"/>
                <w:szCs w:val="21"/>
              </w:rPr>
              <w:t xml:space="preserve">Manager 經理</w:t>
            </w:r>
          </w:p>
        </w:tc>
        <w:tc>
          <w:tcPr>
            <w:tcW w:type="pct" w:w="38%"/>
            <w:shd w:fill="FFFFFF" w:val="clear"/>
            <w:tcMar>
              <w:top w:type="dxa" w:w="60"/>
              <w:left w:type="dxa" w:w="120"/>
              <w:bottom w:type="dxa" w:w="60"/>
              <w:right w:type="dxa" w:w="120"/>
            </w:tcMar>
          </w:tcPr>
          <w:p>
            <w:pPr>
              <w:jc w:val="center"/>
            </w:pPr>
            <w:r>
              <w:rPr>
                <w:rFonts w:ascii="Calibri" w:eastAsia="SimSun"/>
                <w:color w:val="000000"/>
                <w:sz w:val="21"/>
                <w:szCs w:val="21"/>
              </w:rPr>
              <w:t xml:space="preserve">开始建立團隊</w:t>
            </w:r>
          </w:p>
        </w:tc>
      </w:tr>
      <w:tr>
        <w:trPr>
          <w:cantSplit/>
        </w:trPr>
        <w:tc>
          <w:tcPr>
            <w:tcW w:type="pct" w:w="12%"/>
            <w:shd w:fill="F5F2E8" w:val="clear"/>
            <w:tcMar>
              <w:top w:type="dxa" w:w="60"/>
              <w:left w:type="dxa" w:w="120"/>
              <w:bottom w:type="dxa" w:w="60"/>
              <w:right w:type="dxa" w:w="120"/>
            </w:tcMar>
          </w:tcPr>
          <w:p>
            <w:pPr>
              <w:jc w:val="left"/>
            </w:pPr>
            <w:r>
              <w:rPr>
                <w:rFonts w:ascii="Calibri" w:eastAsia="SimSun"/>
                <w:color w:val="000000"/>
                <w:sz w:val="21"/>
                <w:szCs w:val="21"/>
              </w:rPr>
              <w:t xml:space="preserve">第3階</w:t>
            </w:r>
          </w:p>
        </w:tc>
        <w:tc>
          <w:tcPr>
            <w:tcW w:type="pct" w:w="10%"/>
            <w:shd w:fill="F5F2E8" w:val="clear"/>
            <w:tcMar>
              <w:top w:type="dxa" w:w="60"/>
              <w:left w:type="dxa" w:w="120"/>
              <w:bottom w:type="dxa" w:w="60"/>
              <w:right w:type="dxa" w:w="120"/>
            </w:tcMar>
          </w:tcPr>
          <w:p>
            <w:pPr>
              <w:jc w:val="center"/>
            </w:pPr>
            <w:r>
              <w:rPr>
                <w:rFonts w:ascii="Calibri" w:eastAsia="SimSun"/>
                <w:color w:val="000000"/>
                <w:sz w:val="21"/>
                <w:szCs w:val="21"/>
              </w:rPr>
              <w:t xml:space="preserve">SM</w:t>
            </w:r>
          </w:p>
        </w:tc>
        <w:tc>
          <w:tcPr>
            <w:tcW w:type="pct" w:w="40%"/>
            <w:shd w:fill="F5F2E8" w:val="clear"/>
            <w:tcMar>
              <w:top w:type="dxa" w:w="60"/>
              <w:left w:type="dxa" w:w="120"/>
              <w:bottom w:type="dxa" w:w="60"/>
              <w:right w:type="dxa" w:w="120"/>
            </w:tcMar>
          </w:tcPr>
          <w:p>
            <w:pPr>
              <w:jc w:val="center"/>
            </w:pPr>
            <w:r>
              <w:rPr>
                <w:rFonts w:ascii="Calibri" w:eastAsia="SimSun"/>
                <w:color w:val="000000"/>
                <w:sz w:val="21"/>
                <w:szCs w:val="21"/>
              </w:rPr>
              <w:t xml:space="preserve">Senior Manager 高級經理</w:t>
            </w:r>
          </w:p>
        </w:tc>
        <w:tc>
          <w:tcPr>
            <w:tcW w:type="pct" w:w="38%"/>
            <w:shd w:fill="F5F2E8" w:val="clear"/>
            <w:tcMar>
              <w:top w:type="dxa" w:w="60"/>
              <w:left w:type="dxa" w:w="120"/>
              <w:bottom w:type="dxa" w:w="60"/>
              <w:right w:type="dxa" w:w="120"/>
            </w:tcMar>
          </w:tcPr>
          <w:p>
            <w:pPr>
              <w:jc w:val="center"/>
            </w:pPr>
            <w:r>
              <w:rPr>
                <w:rFonts w:ascii="Calibri" w:eastAsia="SimSun"/>
                <w:color w:val="000000"/>
                <w:sz w:val="21"/>
                <w:szCs w:val="21"/>
              </w:rPr>
              <w:t xml:space="preserve">團隊規模擴展</w:t>
            </w:r>
          </w:p>
        </w:tc>
      </w:tr>
      <w:tr>
        <w:trPr>
          <w:cantSplit/>
        </w:trPr>
        <w:tc>
          <w:tcPr>
            <w:tcW w:type="pct" w:w="12%"/>
            <w:shd w:fill="FFFFFF" w:val="clear"/>
            <w:tcMar>
              <w:top w:type="dxa" w:w="60"/>
              <w:left w:type="dxa" w:w="120"/>
              <w:bottom w:type="dxa" w:w="60"/>
              <w:right w:type="dxa" w:w="120"/>
            </w:tcMar>
          </w:tcPr>
          <w:p>
            <w:pPr>
              <w:jc w:val="left"/>
            </w:pPr>
            <w:r>
              <w:rPr>
                <w:rFonts w:ascii="Calibri" w:eastAsia="SimSun"/>
                <w:color w:val="000000"/>
                <w:sz w:val="21"/>
                <w:szCs w:val="21"/>
              </w:rPr>
              <w:t xml:space="preserve">第4階</w:t>
            </w:r>
          </w:p>
        </w:tc>
        <w:tc>
          <w:tcPr>
            <w:tcW w:type="pct" w:w="10%"/>
            <w:shd w:fill="FFFFFF" w:val="clear"/>
            <w:tcMar>
              <w:top w:type="dxa" w:w="60"/>
              <w:left w:type="dxa" w:w="120"/>
              <w:bottom w:type="dxa" w:w="60"/>
              <w:right w:type="dxa" w:w="120"/>
            </w:tcMar>
          </w:tcPr>
          <w:p>
            <w:pPr>
              <w:jc w:val="center"/>
            </w:pPr>
            <w:r>
              <w:rPr>
                <w:rFonts w:ascii="Calibri" w:eastAsia="SimSun"/>
                <w:color w:val="000000"/>
                <w:sz w:val="21"/>
                <w:szCs w:val="21"/>
              </w:rPr>
              <w:t xml:space="preserve">D</w:t>
            </w:r>
          </w:p>
        </w:tc>
        <w:tc>
          <w:tcPr>
            <w:tcW w:type="pct" w:w="40%"/>
            <w:shd w:fill="FFFFFF" w:val="clear"/>
            <w:tcMar>
              <w:top w:type="dxa" w:w="60"/>
              <w:left w:type="dxa" w:w="120"/>
              <w:bottom w:type="dxa" w:w="60"/>
              <w:right w:type="dxa" w:w="120"/>
            </w:tcMar>
          </w:tcPr>
          <w:p>
            <w:pPr>
              <w:jc w:val="center"/>
            </w:pPr>
            <w:r>
              <w:rPr>
                <w:rFonts w:ascii="Calibri" w:eastAsia="SimSun"/>
                <w:color w:val="000000"/>
                <w:sz w:val="21"/>
                <w:szCs w:val="21"/>
              </w:rPr>
              <w:t xml:space="preserve">Director 總監</w:t>
            </w:r>
          </w:p>
        </w:tc>
        <w:tc>
          <w:tcPr>
            <w:tcW w:type="pct" w:w="38%"/>
            <w:shd w:fill="FFFFFF" w:val="clear"/>
            <w:tcMar>
              <w:top w:type="dxa" w:w="60"/>
              <w:left w:type="dxa" w:w="120"/>
              <w:bottom w:type="dxa" w:w="60"/>
              <w:right w:type="dxa" w:w="120"/>
            </w:tcMar>
          </w:tcPr>
          <w:p>
            <w:pPr>
              <w:jc w:val="center"/>
            </w:pPr>
            <w:r>
              <w:rPr>
                <w:rFonts w:ascii="Calibri" w:eastAsia="SimSun"/>
                <w:color w:val="000000"/>
                <w:sz w:val="21"/>
                <w:szCs w:val="21"/>
              </w:rPr>
              <w:t xml:space="preserve">區域影響力形成</w:t>
            </w:r>
          </w:p>
        </w:tc>
      </w:tr>
      <w:tr>
        <w:trPr>
          <w:cantSplit/>
        </w:trPr>
        <w:tc>
          <w:tcPr>
            <w:tcW w:type="pct" w:w="12%"/>
            <w:shd w:fill="F5F2E8" w:val="clear"/>
            <w:tcMar>
              <w:top w:type="dxa" w:w="60"/>
              <w:left w:type="dxa" w:w="120"/>
              <w:bottom w:type="dxa" w:w="60"/>
              <w:right w:type="dxa" w:w="120"/>
            </w:tcMar>
          </w:tcPr>
          <w:p>
            <w:pPr>
              <w:jc w:val="left"/>
            </w:pPr>
            <w:r>
              <w:rPr>
                <w:rFonts w:ascii="Calibri" w:eastAsia="SimSun"/>
                <w:color w:val="000000"/>
                <w:sz w:val="21"/>
                <w:szCs w:val="21"/>
              </w:rPr>
              <w:t xml:space="preserve">第5階</w:t>
            </w:r>
          </w:p>
        </w:tc>
        <w:tc>
          <w:tcPr>
            <w:tcW w:type="pct" w:w="10%"/>
            <w:shd w:fill="F5F2E8" w:val="clear"/>
            <w:tcMar>
              <w:top w:type="dxa" w:w="60"/>
              <w:left w:type="dxa" w:w="120"/>
              <w:bottom w:type="dxa" w:w="60"/>
              <w:right w:type="dxa" w:w="120"/>
            </w:tcMar>
          </w:tcPr>
          <w:p>
            <w:pPr>
              <w:jc w:val="center"/>
            </w:pPr>
            <w:r>
              <w:rPr>
                <w:rFonts w:ascii="Calibri" w:eastAsia="SimSun"/>
                <w:color w:val="000000"/>
                <w:sz w:val="21"/>
                <w:szCs w:val="21"/>
              </w:rPr>
              <w:t xml:space="preserve">ED</w:t>
            </w:r>
          </w:p>
        </w:tc>
        <w:tc>
          <w:tcPr>
            <w:tcW w:type="pct" w:w="40%"/>
            <w:shd w:fill="F5F2E8" w:val="clear"/>
            <w:tcMar>
              <w:top w:type="dxa" w:w="60"/>
              <w:left w:type="dxa" w:w="120"/>
              <w:bottom w:type="dxa" w:w="60"/>
              <w:right w:type="dxa" w:w="120"/>
            </w:tcMar>
          </w:tcPr>
          <w:p>
            <w:pPr>
              <w:jc w:val="center"/>
            </w:pPr>
            <w:r>
              <w:rPr>
                <w:rFonts w:ascii="Calibri" w:eastAsia="SimSun"/>
                <w:color w:val="000000"/>
                <w:sz w:val="21"/>
                <w:szCs w:val="21"/>
              </w:rPr>
              <w:t xml:space="preserve">Executive Director 執行總監</w:t>
            </w:r>
          </w:p>
        </w:tc>
        <w:tc>
          <w:tcPr>
            <w:tcW w:type="pct" w:w="38%"/>
            <w:shd w:fill="F5F2E8" w:val="clear"/>
            <w:tcMar>
              <w:top w:type="dxa" w:w="60"/>
              <w:left w:type="dxa" w:w="120"/>
              <w:bottom w:type="dxa" w:w="60"/>
              <w:right w:type="dxa" w:w="120"/>
            </w:tcMar>
          </w:tcPr>
          <w:p>
            <w:pPr>
              <w:jc w:val="center"/>
            </w:pPr>
            <w:r>
              <w:rPr>
                <w:rFonts w:ascii="Calibri" w:eastAsia="SimSun"/>
                <w:color w:val="000000"/>
                <w:sz w:val="21"/>
                <w:szCs w:val="21"/>
              </w:rPr>
              <w:t xml:space="preserve">多區域管理</w:t>
            </w:r>
          </w:p>
        </w:tc>
      </w:tr>
      <w:tr>
        <w:trPr>
          <w:cantSplit/>
        </w:trPr>
        <w:tc>
          <w:tcPr>
            <w:tcW w:type="pct" w:w="12%"/>
            <w:shd w:fill="FFFFFF" w:val="clear"/>
            <w:tcMar>
              <w:top w:type="dxa" w:w="60"/>
              <w:left w:type="dxa" w:w="120"/>
              <w:bottom w:type="dxa" w:w="60"/>
              <w:right w:type="dxa" w:w="120"/>
            </w:tcMar>
          </w:tcPr>
          <w:p>
            <w:pPr>
              <w:jc w:val="left"/>
            </w:pPr>
            <w:r>
              <w:rPr>
                <w:rFonts w:ascii="Calibri" w:eastAsia="SimSun"/>
                <w:color w:val="000000"/>
                <w:sz w:val="21"/>
                <w:szCs w:val="21"/>
              </w:rPr>
              <w:t xml:space="preserve">第6階</w:t>
            </w:r>
          </w:p>
        </w:tc>
        <w:tc>
          <w:tcPr>
            <w:tcW w:type="pct" w:w="10%"/>
            <w:shd w:fill="FFFFFF" w:val="clear"/>
            <w:tcMar>
              <w:top w:type="dxa" w:w="60"/>
              <w:left w:type="dxa" w:w="120"/>
              <w:bottom w:type="dxa" w:w="60"/>
              <w:right w:type="dxa" w:w="120"/>
            </w:tcMar>
          </w:tcPr>
          <w:p>
            <w:pPr>
              <w:jc w:val="center"/>
            </w:pPr>
            <w:r>
              <w:rPr>
                <w:rFonts w:ascii="Calibri" w:eastAsia="SimSun"/>
                <w:color w:val="000000"/>
                <w:sz w:val="21"/>
                <w:szCs w:val="21"/>
              </w:rPr>
              <w:t xml:space="preserve">VP</w:t>
            </w:r>
          </w:p>
        </w:tc>
        <w:tc>
          <w:tcPr>
            <w:tcW w:type="pct" w:w="40%"/>
            <w:shd w:fill="FFFFFF" w:val="clear"/>
            <w:tcMar>
              <w:top w:type="dxa" w:w="60"/>
              <w:left w:type="dxa" w:w="120"/>
              <w:bottom w:type="dxa" w:w="60"/>
              <w:right w:type="dxa" w:w="120"/>
            </w:tcMar>
          </w:tcPr>
          <w:p>
            <w:pPr>
              <w:jc w:val="center"/>
            </w:pPr>
            <w:r>
              <w:rPr>
                <w:rFonts w:ascii="Calibri" w:eastAsia="SimSun"/>
                <w:color w:val="000000"/>
                <w:sz w:val="21"/>
                <w:szCs w:val="21"/>
              </w:rPr>
              <w:t xml:space="preserve">Vice President 副總裁</w:t>
            </w:r>
          </w:p>
        </w:tc>
        <w:tc>
          <w:tcPr>
            <w:tcW w:type="pct" w:w="38%"/>
            <w:shd w:fill="FFFFFF" w:val="clear"/>
            <w:tcMar>
              <w:top w:type="dxa" w:w="60"/>
              <w:left w:type="dxa" w:w="120"/>
              <w:bottom w:type="dxa" w:w="60"/>
              <w:right w:type="dxa" w:w="120"/>
            </w:tcMar>
          </w:tcPr>
          <w:p>
            <w:pPr>
              <w:jc w:val="center"/>
            </w:pPr>
            <w:r>
              <w:rPr>
                <w:rFonts w:ascii="Calibri" w:eastAsia="SimSun"/>
                <w:color w:val="000000"/>
                <w:sz w:val="21"/>
                <w:szCs w:val="21"/>
              </w:rPr>
              <w:t xml:space="preserve">高層級團隊領導</w:t>
            </w:r>
          </w:p>
        </w:tc>
      </w:tr>
      <w:tr>
        <w:trPr>
          <w:cantSplit/>
        </w:trPr>
        <w:tc>
          <w:tcPr>
            <w:tcW w:type="pct" w:w="12%"/>
            <w:shd w:fill="F5F2E8" w:val="clear"/>
            <w:tcMar>
              <w:top w:type="dxa" w:w="60"/>
              <w:left w:type="dxa" w:w="120"/>
              <w:bottom w:type="dxa" w:w="60"/>
              <w:right w:type="dxa" w:w="120"/>
            </w:tcMar>
          </w:tcPr>
          <w:p>
            <w:pPr>
              <w:jc w:val="left"/>
            </w:pPr>
            <w:r>
              <w:rPr>
                <w:rFonts w:ascii="Calibri" w:eastAsia="SimSun"/>
                <w:color w:val="000000"/>
                <w:sz w:val="21"/>
                <w:szCs w:val="21"/>
              </w:rPr>
              <w:t xml:space="preserve">第7階</w:t>
            </w:r>
          </w:p>
        </w:tc>
        <w:tc>
          <w:tcPr>
            <w:tcW w:type="pct" w:w="10%"/>
            <w:shd w:fill="F5F2E8" w:val="clear"/>
            <w:tcMar>
              <w:top w:type="dxa" w:w="60"/>
              <w:left w:type="dxa" w:w="120"/>
              <w:bottom w:type="dxa" w:w="60"/>
              <w:right w:type="dxa" w:w="120"/>
            </w:tcMar>
          </w:tcPr>
          <w:p>
            <w:pPr>
              <w:jc w:val="center"/>
            </w:pPr>
            <w:r>
              <w:rPr>
                <w:rFonts w:ascii="Calibri" w:eastAsia="SimSun"/>
                <w:color w:val="000000"/>
                <w:sz w:val="21"/>
                <w:szCs w:val="21"/>
              </w:rPr>
              <w:t xml:space="preserve">P</w:t>
            </w:r>
          </w:p>
        </w:tc>
        <w:tc>
          <w:tcPr>
            <w:tcW w:type="pct" w:w="40%"/>
            <w:shd w:fill="F5F2E8" w:val="clear"/>
            <w:tcMar>
              <w:top w:type="dxa" w:w="60"/>
              <w:left w:type="dxa" w:w="120"/>
              <w:bottom w:type="dxa" w:w="60"/>
              <w:right w:type="dxa" w:w="120"/>
            </w:tcMar>
          </w:tcPr>
          <w:p>
            <w:pPr>
              <w:jc w:val="center"/>
            </w:pPr>
            <w:r>
              <w:rPr>
                <w:rFonts w:ascii="Calibri" w:eastAsia="SimSun"/>
                <w:color w:val="000000"/>
                <w:sz w:val="21"/>
                <w:szCs w:val="21"/>
              </w:rPr>
              <w:t xml:space="preserve">President 總裁</w:t>
            </w:r>
          </w:p>
        </w:tc>
        <w:tc>
          <w:tcPr>
            <w:tcW w:type="pct" w:w="38%"/>
            <w:shd w:fill="F5F2E8" w:val="clear"/>
            <w:tcMar>
              <w:top w:type="dxa" w:w="60"/>
              <w:left w:type="dxa" w:w="120"/>
              <w:bottom w:type="dxa" w:w="60"/>
              <w:right w:type="dxa" w:w="120"/>
            </w:tcMar>
          </w:tcPr>
          <w:p>
            <w:pPr>
              <w:jc w:val="center"/>
            </w:pPr>
            <w:r>
              <w:rPr>
                <w:rFonts w:ascii="Calibri" w:eastAsia="SimSun"/>
                <w:color w:val="000000"/>
                <w:sz w:val="21"/>
                <w:szCs w:val="21"/>
              </w:rPr>
              <w:t xml:space="preserve">最高級別，大小區各 500,000 BV</w:t>
            </w:r>
          </w:p>
        </w:tc>
      </w:tr>
    </w:tbl>
    <w:p>
      <w:pPr>
        <w:spacing w:after="200" w:before="80"/>
        <w:jc w:val="center"/>
      </w:pPr>
      <w:r>
        <w:rPr>
          <w:rFonts w:ascii="Calibri" w:eastAsia="SimSun"/>
          <w:color w:val="506070"/>
          <w:sz w:val="18"/>
          <w:szCs w:val="18"/>
        </w:rPr>
        <w:t xml:space="preserve">表 5：七階晉升級別一覽</w:t>
      </w:r>
    </w:p>
    <w:p>
      <w:pPr>
        <w:pStyle w:val="Heading2"/>
        <w:spacing w:after="120" w:before="240"/>
      </w:pPr>
      <w:bookmarkStart w:id="100016" w:name="_Toc100016"/>
      <w:r>
        <w:rPr>
          <w:rFonts w:ascii="Calibri" w:eastAsia="SimHei"/>
          <w:b/>
          <w:bCs/>
          <w:color w:val="000000"/>
          <w:sz w:val="28"/>
          <w:szCs w:val="28"/>
        </w:rPr>
        <w:t xml:space="preserve">一、晉升條件與運作機制</w:t>
      </w:r>
      <w:bookmarkEnd w:id="100016"/>
    </w:p>
    <w:p>
      <w:pPr>
        <w:spacing w:after="60" w:line="312"/>
        <w:ind w:firstLine="480"/>
        <w:jc w:val="both"/>
      </w:pPr>
      <w:r>
        <w:rPr>
          <w:rFonts w:ascii="Calibri" w:eastAsia="SimSun"/>
          <w:color w:val="000000"/>
          <w:sz w:val="24"/>
          <w:szCs w:val="24"/>
        </w:rPr>
        <w:t xml:space="preserve">晉升的核心指標是大區和小區各累積達到 500,000 BV。大區指會員直接推廣的業績總和，小區則指其下線團隊的業績總和。500,000 BV 按換算率計算相當於 HK$4,000,000 的業績量，這是一個可達成但具有挑戰性的目標。BV 積分無限期累積是這個機制的重要設計，會員不需要擔心積分歸零，可以按自己的節奏穩步推進，這大大降低了參與壓力，同時也鼓勵長期經營而非短期衝刺。</w:t>
      </w:r>
    </w:p>
    <w:p>
      <w:pPr>
        <w:pStyle w:val="Heading2"/>
        <w:spacing w:after="120" w:before="240"/>
      </w:pPr>
      <w:bookmarkStart w:id="100017" w:name="_Toc100017"/>
      <w:r>
        <w:rPr>
          <w:rFonts w:ascii="Calibri" w:eastAsia="SimHei"/>
          <w:b/>
          <w:bCs/>
          <w:color w:val="000000"/>
          <w:sz w:val="28"/>
          <w:szCs w:val="28"/>
        </w:rPr>
        <w:t xml:space="preserve">二、晉升路徑與收益預期</w:t>
      </w:r>
      <w:bookmarkEnd w:id="100017"/>
    </w:p>
    <w:p>
      <w:pPr>
        <w:spacing w:after="60" w:line="312"/>
        <w:ind w:firstLine="480"/>
        <w:jc w:val="both"/>
      </w:pPr>
      <w:r>
        <w:rPr>
          <w:rFonts w:ascii="Calibri" w:eastAsia="SimSun"/>
          <w:color w:val="000000"/>
          <w:sz w:val="24"/>
          <w:szCs w:val="24"/>
        </w:rPr>
        <w:t xml:space="preserve">會員從 S 級開始，透過個人購買和團隊推廣累積 BV 積分。每個級別的提升不僅代表榮譽和地位，更意味著更高的收益比例和更多的平台資源。從經理（M）開始，會員可以從團隊業績中獲得分成；到總監（D）層級，團隊規模已經形成穩定收入；而執行總監（ED）以上的會員則已經擁有強大的團隊網絡和可觀的被動收入。總裁（P）級別是最高榮譽，代表團隊業績已達到頂峰水平。</w:t>
      </w:r>
    </w:p>
    <w:p>
      <w:pPr>
        <w:pStyle w:val="Heading1"/>
        <w:spacing w:after="120" w:before="360"/>
      </w:pPr>
      <w:bookmarkStart w:id="100018" w:name="_Toc100018"/>
      <w:r>
        <w:rPr>
          <w:rFonts w:ascii="Calibri" w:eastAsia="SimHei"/>
          <w:b/>
          <w:bCs/>
          <w:color w:val="000000"/>
          <w:sz w:val="32"/>
          <w:szCs w:val="32"/>
        </w:rPr>
        <w:t xml:space="preserve">第七章  四層鎖定模型（絲路模型）</w:t>
      </w:r>
      <w:bookmarkEnd w:id="100018"/>
    </w:p>
    <w:p>
      <w:pPr>
        <w:spacing w:after="60" w:line="312"/>
        <w:ind w:firstLine="480"/>
        <w:jc w:val="both"/>
      </w:pPr>
      <w:r>
        <w:rPr>
          <w:rFonts w:ascii="Calibri" w:eastAsia="SimSun"/>
          <w:color w:val="000000"/>
          <w:sz w:val="24"/>
          <w:szCs w:val="24"/>
        </w:rPr>
        <w:t xml:space="preserve">MCLUB 的四層鎖定模型（絲路模型）是整個會員留存體系的理論基礎。從資訊鎖定到結構鎖定，四個層次逐步加深會員與平台的依賴關係，確保會員在每個階段都能感受到實質價值，同時轉換成本逐層提升。這個模型的精妙之處在於，每一層鎖定都是自然形成的，而非強制性的，會員是因為真正需要平台的服務而留下，而非因為合約或罚則。</w:t>
      </w:r>
    </w:p>
    <w:tbl>
      <w:tblPr>
        <w:tblW w:type="pct" w:w="100%"/>
        <w:tblBorders>
          <w:top w:val="single" w:color="C9A84C" w:sz="2"/>
          <w:left w:val="none"/>
          <w:bottom w:val="single" w:color="C9A84C" w:sz="2"/>
          <w:right w:val="none"/>
          <w:insideH w:val="single" w:color="DDD5C0" w:sz="1"/>
          <w:insideV w:val="none"/>
        </w:tblBorders>
      </w:tblPr>
      <w:tblGrid>
        <w:gridCol w:w="100"/>
        <w:gridCol w:w="100"/>
        <w:gridCol w:w="100"/>
        <w:gridCol w:w="100"/>
        <w:gridCol w:w="100"/>
      </w:tblGrid>
      <w:tr>
        <w:trPr>
          <w:cantSplit/>
          <w:tblHeader/>
        </w:trPr>
        <w:tc>
          <w:tcPr>
            <w:tcW w:type="pct" w:w="17%"/>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鎖定層</w:t>
            </w:r>
          </w:p>
        </w:tc>
        <w:tc>
          <w:tcPr>
            <w:tcW w:type="pct" w:w="17%"/>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對應方案</w:t>
            </w:r>
          </w:p>
        </w:tc>
        <w:tc>
          <w:tcPr>
            <w:tcW w:type="pct" w:w="33%"/>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機制</w:t>
            </w:r>
          </w:p>
        </w:tc>
        <w:tc>
          <w:tcPr>
            <w:tcW w:type="pct" w:w="17%"/>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依賴深度</w:t>
            </w:r>
          </w:p>
        </w:tc>
        <w:tc>
          <w:tcPr>
            <w:tcW w:type="pct" w:w="17%"/>
            <w:shd w:fill="C9A84C" w:val="clear"/>
            <w:tcMar>
              <w:top w:type="dxa" w:w="60"/>
              <w:left w:type="dxa" w:w="120"/>
              <w:bottom w:type="dxa" w:w="60"/>
              <w:right w:type="dxa" w:w="120"/>
            </w:tcMar>
          </w:tcPr>
          <w:p>
            <w:pPr>
              <w:jc w:val="center"/>
            </w:pPr>
            <w:r>
              <w:rPr>
                <w:rFonts w:ascii="Calibri" w:eastAsia="SimHei"/>
                <w:b/>
                <w:bCs/>
                <w:color w:val="1A1A1A"/>
                <w:sz w:val="21"/>
                <w:szCs w:val="21"/>
              </w:rPr>
              <w:t xml:space="preserve">激活時間</w:t>
            </w:r>
          </w:p>
        </w:tc>
      </w:tr>
      <w:tr>
        <w:trPr>
          <w:cantSplit/>
        </w:trPr>
        <w:tc>
          <w:tcPr>
            <w:tcW w:type="pct" w:w="17%"/>
            <w:shd w:fill="F5F2E8" w:val="clear"/>
            <w:tcMar>
              <w:top w:type="dxa" w:w="60"/>
              <w:left w:type="dxa" w:w="120"/>
              <w:bottom w:type="dxa" w:w="60"/>
              <w:right w:type="dxa" w:w="120"/>
            </w:tcMar>
          </w:tcPr>
          <w:p>
            <w:pPr>
              <w:jc w:val="left"/>
            </w:pPr>
            <w:r>
              <w:rPr>
                <w:rFonts w:ascii="Calibri" w:eastAsia="SimSun"/>
                <w:color w:val="000000"/>
                <w:sz w:val="21"/>
                <w:szCs w:val="21"/>
              </w:rPr>
              <w:t xml:space="preserve">資訊鎖定</w:t>
            </w:r>
          </w:p>
        </w:tc>
        <w:tc>
          <w:tcPr>
            <w:tcW w:type="pct" w:w="17%"/>
            <w:shd w:fill="F5F2E8" w:val="clear"/>
            <w:tcMar>
              <w:top w:type="dxa" w:w="60"/>
              <w:left w:type="dxa" w:w="120"/>
              <w:bottom w:type="dxa" w:w="60"/>
              <w:right w:type="dxa" w:w="120"/>
            </w:tcMar>
          </w:tcPr>
          <w:p>
            <w:pPr>
              <w:jc w:val="center"/>
            </w:pPr>
            <w:r>
              <w:rPr>
                <w:rFonts w:ascii="Calibri" w:eastAsia="SimSun"/>
                <w:color w:val="000000"/>
                <w:sz w:val="21"/>
                <w:szCs w:val="21"/>
              </w:rPr>
              <w:t xml:space="preserve">方案一、二</w:t>
            </w:r>
          </w:p>
        </w:tc>
        <w:tc>
          <w:tcPr>
            <w:tcW w:type="pct" w:w="33%"/>
            <w:shd w:fill="F5F2E8" w:val="clear"/>
            <w:tcMar>
              <w:top w:type="dxa" w:w="60"/>
              <w:left w:type="dxa" w:w="120"/>
              <w:bottom w:type="dxa" w:w="60"/>
              <w:right w:type="dxa" w:w="120"/>
            </w:tcMar>
          </w:tcPr>
          <w:p>
            <w:pPr>
              <w:jc w:val="center"/>
            </w:pPr>
            <w:r>
              <w:rPr>
                <w:rFonts w:ascii="Calibri" w:eastAsia="SimSun"/>
                <w:color w:val="000000"/>
                <w:sz w:val="21"/>
                <w:szCs w:val="21"/>
              </w:rPr>
              <w:t xml:space="preserve">健康知識 + 市場資訊持續輸出</w:t>
            </w:r>
          </w:p>
        </w:tc>
        <w:tc>
          <w:tcPr>
            <w:tcW w:type="pct" w:w="17%"/>
            <w:shd w:fill="F5F2E8" w:val="clear"/>
            <w:tcMar>
              <w:top w:type="dxa" w:w="60"/>
              <w:left w:type="dxa" w:w="120"/>
              <w:bottom w:type="dxa" w:w="60"/>
              <w:right w:type="dxa" w:w="120"/>
            </w:tcMar>
          </w:tcPr>
          <w:p>
            <w:pPr>
              <w:jc w:val="center"/>
            </w:pPr>
            <w:r>
              <w:rPr>
                <w:rFonts w:ascii="Calibri" w:eastAsia="SimSun"/>
                <w:color w:val="000000"/>
                <w:sz w:val="21"/>
                <w:szCs w:val="21"/>
              </w:rPr>
              <w:t xml:space="preserve">2/5</w:t>
            </w:r>
          </w:p>
        </w:tc>
        <w:tc>
          <w:tcPr>
            <w:tcW w:type="pct" w:w="17%"/>
            <w:shd w:fill="F5F2E8" w:val="clear"/>
            <w:tcMar>
              <w:top w:type="dxa" w:w="60"/>
              <w:left w:type="dxa" w:w="120"/>
              <w:bottom w:type="dxa" w:w="60"/>
              <w:right w:type="dxa" w:w="120"/>
            </w:tcMar>
          </w:tcPr>
          <w:p>
            <w:pPr>
              <w:jc w:val="center"/>
            </w:pPr>
            <w:r>
              <w:rPr>
                <w:rFonts w:ascii="Calibri" w:eastAsia="SimSun"/>
                <w:color w:val="000000"/>
                <w:sz w:val="21"/>
                <w:szCs w:val="21"/>
              </w:rPr>
              <w:t xml:space="preserve">立即</w:t>
            </w:r>
          </w:p>
        </w:tc>
      </w:tr>
      <w:tr>
        <w:trPr>
          <w:cantSplit/>
        </w:trPr>
        <w:tc>
          <w:tcPr>
            <w:tcW w:type="pct" w:w="17%"/>
            <w:shd w:fill="FFFFFF" w:val="clear"/>
            <w:tcMar>
              <w:top w:type="dxa" w:w="60"/>
              <w:left w:type="dxa" w:w="120"/>
              <w:bottom w:type="dxa" w:w="60"/>
              <w:right w:type="dxa" w:w="120"/>
            </w:tcMar>
          </w:tcPr>
          <w:p>
            <w:pPr>
              <w:jc w:val="left"/>
            </w:pPr>
            <w:r>
              <w:rPr>
                <w:rFonts w:ascii="Calibri" w:eastAsia="SimSun"/>
                <w:color w:val="000000"/>
                <w:sz w:val="21"/>
                <w:szCs w:val="21"/>
              </w:rPr>
              <w:t xml:space="preserve">社交鎖定</w:t>
            </w:r>
          </w:p>
        </w:tc>
        <w:tc>
          <w:tcPr>
            <w:tcW w:type="pct" w:w="17%"/>
            <w:shd w:fill="FFFFFF" w:val="clear"/>
            <w:tcMar>
              <w:top w:type="dxa" w:w="60"/>
              <w:left w:type="dxa" w:w="120"/>
              <w:bottom w:type="dxa" w:w="60"/>
              <w:right w:type="dxa" w:w="120"/>
            </w:tcMar>
          </w:tcPr>
          <w:p>
            <w:pPr>
              <w:jc w:val="center"/>
            </w:pPr>
            <w:r>
              <w:rPr>
                <w:rFonts w:ascii="Calibri" w:eastAsia="SimSun"/>
                <w:color w:val="000000"/>
                <w:sz w:val="21"/>
                <w:szCs w:val="21"/>
              </w:rPr>
              <w:t xml:space="preserve">方案二、三</w:t>
            </w:r>
          </w:p>
        </w:tc>
        <w:tc>
          <w:tcPr>
            <w:tcW w:type="pct" w:w="33%"/>
            <w:shd w:fill="FFFFFF" w:val="clear"/>
            <w:tcMar>
              <w:top w:type="dxa" w:w="60"/>
              <w:left w:type="dxa" w:w="120"/>
              <w:bottom w:type="dxa" w:w="60"/>
              <w:right w:type="dxa" w:w="120"/>
            </w:tcMar>
          </w:tcPr>
          <w:p>
            <w:pPr>
              <w:jc w:val="center"/>
            </w:pPr>
            <w:r>
              <w:rPr>
                <w:rFonts w:ascii="Calibri" w:eastAsia="SimSun"/>
                <w:color w:val="000000"/>
                <w:sz w:val="21"/>
                <w:szCs w:val="21"/>
              </w:rPr>
              <w:t xml:space="preserve">會員圈層 + 分享會 + 推廣團隊</w:t>
            </w:r>
          </w:p>
        </w:tc>
        <w:tc>
          <w:tcPr>
            <w:tcW w:type="pct" w:w="17%"/>
            <w:shd w:fill="FFFFFF" w:val="clear"/>
            <w:tcMar>
              <w:top w:type="dxa" w:w="60"/>
              <w:left w:type="dxa" w:w="120"/>
              <w:bottom w:type="dxa" w:w="60"/>
              <w:right w:type="dxa" w:w="120"/>
            </w:tcMar>
          </w:tcPr>
          <w:p>
            <w:pPr>
              <w:jc w:val="center"/>
            </w:pPr>
            <w:r>
              <w:rPr>
                <w:rFonts w:ascii="Calibri" w:eastAsia="SimSun"/>
                <w:color w:val="000000"/>
                <w:sz w:val="21"/>
                <w:szCs w:val="21"/>
              </w:rPr>
              <w:t xml:space="preserve">3/5</w:t>
            </w:r>
          </w:p>
        </w:tc>
        <w:tc>
          <w:tcPr>
            <w:tcW w:type="pct" w:w="17%"/>
            <w:shd w:fill="FFFFFF" w:val="clear"/>
            <w:tcMar>
              <w:top w:type="dxa" w:w="60"/>
              <w:left w:type="dxa" w:w="120"/>
              <w:bottom w:type="dxa" w:w="60"/>
              <w:right w:type="dxa" w:w="120"/>
            </w:tcMar>
          </w:tcPr>
          <w:p>
            <w:pPr>
              <w:jc w:val="center"/>
            </w:pPr>
            <w:r>
              <w:rPr>
                <w:rFonts w:ascii="Calibri" w:eastAsia="SimSun"/>
                <w:color w:val="000000"/>
                <w:sz w:val="21"/>
                <w:szCs w:val="21"/>
              </w:rPr>
              <w:t xml:space="preserve">3-6個月</w:t>
            </w:r>
          </w:p>
        </w:tc>
      </w:tr>
      <w:tr>
        <w:trPr>
          <w:cantSplit/>
        </w:trPr>
        <w:tc>
          <w:tcPr>
            <w:tcW w:type="pct" w:w="17%"/>
            <w:shd w:fill="F5F2E8" w:val="clear"/>
            <w:tcMar>
              <w:top w:type="dxa" w:w="60"/>
              <w:left w:type="dxa" w:w="120"/>
              <w:bottom w:type="dxa" w:w="60"/>
              <w:right w:type="dxa" w:w="120"/>
            </w:tcMar>
          </w:tcPr>
          <w:p>
            <w:pPr>
              <w:jc w:val="left"/>
            </w:pPr>
            <w:r>
              <w:rPr>
                <w:rFonts w:ascii="Calibri" w:eastAsia="SimSun"/>
                <w:color w:val="000000"/>
                <w:sz w:val="21"/>
                <w:szCs w:val="21"/>
              </w:rPr>
              <w:t xml:space="preserve">服務鎖定</w:t>
            </w:r>
          </w:p>
        </w:tc>
        <w:tc>
          <w:tcPr>
            <w:tcW w:type="pct" w:w="17%"/>
            <w:shd w:fill="F5F2E8" w:val="clear"/>
            <w:tcMar>
              <w:top w:type="dxa" w:w="60"/>
              <w:left w:type="dxa" w:w="120"/>
              <w:bottom w:type="dxa" w:w="60"/>
              <w:right w:type="dxa" w:w="120"/>
            </w:tcMar>
          </w:tcPr>
          <w:p>
            <w:pPr>
              <w:jc w:val="center"/>
            </w:pPr>
            <w:r>
              <w:rPr>
                <w:rFonts w:ascii="Calibri" w:eastAsia="SimSun"/>
                <w:color w:val="000000"/>
                <w:sz w:val="21"/>
                <w:szCs w:val="21"/>
              </w:rPr>
              <w:t xml:space="preserve">方案三、四</w:t>
            </w:r>
          </w:p>
        </w:tc>
        <w:tc>
          <w:tcPr>
            <w:tcW w:type="pct" w:w="33%"/>
            <w:shd w:fill="F5F2E8" w:val="clear"/>
            <w:tcMar>
              <w:top w:type="dxa" w:w="60"/>
              <w:left w:type="dxa" w:w="120"/>
              <w:bottom w:type="dxa" w:w="60"/>
              <w:right w:type="dxa" w:w="120"/>
            </w:tcMar>
          </w:tcPr>
          <w:p>
            <w:pPr>
              <w:jc w:val="center"/>
            </w:pPr>
            <w:r>
              <w:rPr>
                <w:rFonts w:ascii="Calibri" w:eastAsia="SimSun"/>
                <w:color w:val="000000"/>
                <w:sz w:val="21"/>
                <w:szCs w:val="21"/>
              </w:rPr>
              <w:t xml:space="preserve">VFK 產品依賴 + 日本物業/旅遊服務</w:t>
            </w:r>
          </w:p>
        </w:tc>
        <w:tc>
          <w:tcPr>
            <w:tcW w:type="pct" w:w="17%"/>
            <w:shd w:fill="F5F2E8" w:val="clear"/>
            <w:tcMar>
              <w:top w:type="dxa" w:w="60"/>
              <w:left w:type="dxa" w:w="120"/>
              <w:bottom w:type="dxa" w:w="60"/>
              <w:right w:type="dxa" w:w="120"/>
            </w:tcMar>
          </w:tcPr>
          <w:p>
            <w:pPr>
              <w:jc w:val="center"/>
            </w:pPr>
            <w:r>
              <w:rPr>
                <w:rFonts w:ascii="Calibri" w:eastAsia="SimSun"/>
                <w:color w:val="000000"/>
                <w:sz w:val="21"/>
                <w:szCs w:val="21"/>
              </w:rPr>
              <w:t xml:space="preserve">4/5</w:t>
            </w:r>
          </w:p>
        </w:tc>
        <w:tc>
          <w:tcPr>
            <w:tcW w:type="pct" w:w="17%"/>
            <w:shd w:fill="F5F2E8" w:val="clear"/>
            <w:tcMar>
              <w:top w:type="dxa" w:w="60"/>
              <w:left w:type="dxa" w:w="120"/>
              <w:bottom w:type="dxa" w:w="60"/>
              <w:right w:type="dxa" w:w="120"/>
            </w:tcMar>
          </w:tcPr>
          <w:p>
            <w:pPr>
              <w:jc w:val="center"/>
            </w:pPr>
            <w:r>
              <w:rPr>
                <w:rFonts w:ascii="Calibri" w:eastAsia="SimSun"/>
                <w:color w:val="000000"/>
                <w:sz w:val="21"/>
                <w:szCs w:val="21"/>
              </w:rPr>
              <w:t xml:space="preserve">6-12個月</w:t>
            </w:r>
          </w:p>
        </w:tc>
      </w:tr>
      <w:tr>
        <w:trPr>
          <w:cantSplit/>
        </w:trPr>
        <w:tc>
          <w:tcPr>
            <w:tcW w:type="pct" w:w="17%"/>
            <w:shd w:fill="FFFFFF" w:val="clear"/>
            <w:tcMar>
              <w:top w:type="dxa" w:w="60"/>
              <w:left w:type="dxa" w:w="120"/>
              <w:bottom w:type="dxa" w:w="60"/>
              <w:right w:type="dxa" w:w="120"/>
            </w:tcMar>
          </w:tcPr>
          <w:p>
            <w:pPr>
              <w:jc w:val="left"/>
            </w:pPr>
            <w:r>
              <w:rPr>
                <w:rFonts w:ascii="Calibri" w:eastAsia="SimSun"/>
                <w:color w:val="000000"/>
                <w:sz w:val="21"/>
                <w:szCs w:val="21"/>
              </w:rPr>
              <w:t xml:space="preserve">結構鎖定</w:t>
            </w:r>
          </w:p>
        </w:tc>
        <w:tc>
          <w:tcPr>
            <w:tcW w:type="pct" w:w="17%"/>
            <w:shd w:fill="FFFFFF" w:val="clear"/>
            <w:tcMar>
              <w:top w:type="dxa" w:w="60"/>
              <w:left w:type="dxa" w:w="120"/>
              <w:bottom w:type="dxa" w:w="60"/>
              <w:right w:type="dxa" w:w="120"/>
            </w:tcMar>
          </w:tcPr>
          <w:p>
            <w:pPr>
              <w:jc w:val="center"/>
            </w:pPr>
            <w:r>
              <w:rPr>
                <w:rFonts w:ascii="Calibri" w:eastAsia="SimSun"/>
                <w:color w:val="000000"/>
                <w:sz w:val="21"/>
                <w:szCs w:val="21"/>
              </w:rPr>
              <w:t xml:space="preserve">方案四</w:t>
            </w:r>
          </w:p>
        </w:tc>
        <w:tc>
          <w:tcPr>
            <w:tcW w:type="pct" w:w="33%"/>
            <w:shd w:fill="FFFFFF" w:val="clear"/>
            <w:tcMar>
              <w:top w:type="dxa" w:w="60"/>
              <w:left w:type="dxa" w:w="120"/>
              <w:bottom w:type="dxa" w:w="60"/>
              <w:right w:type="dxa" w:w="120"/>
            </w:tcMar>
          </w:tcPr>
          <w:p>
            <w:pPr>
              <w:jc w:val="center"/>
            </w:pPr>
            <w:r>
              <w:rPr>
                <w:rFonts w:ascii="Calibri" w:eastAsia="SimSun"/>
                <w:color w:val="000000"/>
                <w:sz w:val="21"/>
                <w:szCs w:val="21"/>
              </w:rPr>
              <w:t xml:space="preserve">家族辦公室 + 信訖 + 財富架構</w:t>
            </w:r>
          </w:p>
        </w:tc>
        <w:tc>
          <w:tcPr>
            <w:tcW w:type="pct" w:w="17%"/>
            <w:shd w:fill="FFFFFF" w:val="clear"/>
            <w:tcMar>
              <w:top w:type="dxa" w:w="60"/>
              <w:left w:type="dxa" w:w="120"/>
              <w:bottom w:type="dxa" w:w="60"/>
              <w:right w:type="dxa" w:w="120"/>
            </w:tcMar>
          </w:tcPr>
          <w:p>
            <w:pPr>
              <w:jc w:val="center"/>
            </w:pPr>
            <w:r>
              <w:rPr>
                <w:rFonts w:ascii="Calibri" w:eastAsia="SimSun"/>
                <w:color w:val="000000"/>
                <w:sz w:val="21"/>
                <w:szCs w:val="21"/>
              </w:rPr>
              <w:t xml:space="preserve">5/5</w:t>
            </w:r>
          </w:p>
        </w:tc>
        <w:tc>
          <w:tcPr>
            <w:tcW w:type="pct" w:w="17%"/>
            <w:shd w:fill="FFFFFF" w:val="clear"/>
            <w:tcMar>
              <w:top w:type="dxa" w:w="60"/>
              <w:left w:type="dxa" w:w="120"/>
              <w:bottom w:type="dxa" w:w="60"/>
              <w:right w:type="dxa" w:w="120"/>
            </w:tcMar>
          </w:tcPr>
          <w:p>
            <w:pPr>
              <w:jc w:val="center"/>
            </w:pPr>
            <w:r>
              <w:rPr>
                <w:rFonts w:ascii="Calibri" w:eastAsia="SimSun"/>
                <w:color w:val="000000"/>
                <w:sz w:val="21"/>
                <w:szCs w:val="21"/>
              </w:rPr>
              <w:t xml:space="preserve">12-24個月</w:t>
            </w:r>
          </w:p>
        </w:tc>
      </w:tr>
    </w:tbl>
    <w:p>
      <w:pPr>
        <w:spacing w:after="200" w:before="80"/>
        <w:jc w:val="center"/>
      </w:pPr>
      <w:r>
        <w:rPr>
          <w:rFonts w:ascii="Calibri" w:eastAsia="SimSun"/>
          <w:color w:val="506070"/>
          <w:sz w:val="18"/>
          <w:szCs w:val="18"/>
        </w:rPr>
        <w:t xml:space="preserve">表 6：四層鎖定模型詳情</w:t>
      </w:r>
    </w:p>
    <w:p>
      <w:pPr>
        <w:pStyle w:val="Heading2"/>
        <w:spacing w:after="120" w:before="240"/>
      </w:pPr>
      <w:bookmarkStart w:id="100019" w:name="_Toc100019"/>
      <w:r>
        <w:rPr>
          <w:rFonts w:ascii="Calibri" w:eastAsia="SimHei"/>
          <w:b/>
          <w:bCs/>
          <w:color w:val="000000"/>
          <w:sz w:val="28"/>
          <w:szCs w:val="28"/>
        </w:rPr>
        <w:t xml:space="preserve">一、資訊鎖定：知識即連結</w:t>
      </w:r>
      <w:bookmarkEnd w:id="100019"/>
    </w:p>
    <w:p>
      <w:pPr>
        <w:spacing w:after="60" w:line="312"/>
        <w:ind w:firstLine="480"/>
        <w:jc w:val="both"/>
      </w:pPr>
      <w:r>
        <w:rPr>
          <w:rFonts w:ascii="Calibri" w:eastAsia="SimSun"/>
          <w:color w:val="000000"/>
          <w:sz w:val="24"/>
          <w:szCs w:val="24"/>
        </w:rPr>
        <w:t xml:space="preserve">資訊鎖定是最初層次的連結，從方案一開始即生效。會員透過購買 VFK 產品及接收 MCLUB 月報，開始建立對平台的資訊依賴。健康知識、市場分析、投資資訊的持續輸出，讓會員習慣性地期待平台提供的內容，形成穩定的閱讀習慣。這個層次的依賴深度為 2/5，會員仍然可以輕鬆離開，但資訊的持續價值讓他們選擇留下。</w:t>
      </w:r>
    </w:p>
    <w:p>
      <w:pPr>
        <w:pStyle w:val="Heading2"/>
        <w:spacing w:after="120" w:before="240"/>
      </w:pPr>
      <w:bookmarkStart w:id="100020" w:name="_Toc100020"/>
      <w:r>
        <w:rPr>
          <w:rFonts w:ascii="Calibri" w:eastAsia="SimHei"/>
          <w:b/>
          <w:bCs/>
          <w:color w:val="000000"/>
          <w:sz w:val="28"/>
          <w:szCs w:val="28"/>
        </w:rPr>
        <w:t xml:space="preserve">二、社交鎖定：人脈即資產</w:t>
      </w:r>
      <w:bookmarkEnd w:id="100020"/>
    </w:p>
    <w:p>
      <w:pPr>
        <w:spacing w:after="60" w:line="312"/>
        <w:ind w:firstLine="480"/>
        <w:jc w:val="both"/>
      </w:pPr>
      <w:r>
        <w:rPr>
          <w:rFonts w:ascii="Calibri" w:eastAsia="SimSun"/>
          <w:color w:val="000000"/>
          <w:sz w:val="24"/>
          <w:szCs w:val="24"/>
        </w:rPr>
        <w:t xml:space="preserve">社交鎖定在方案二和方案三階段逐步形成，通常需要 3 到 6 個月的時間。會員透過參加閉門分享會、加入推廣團隊、與同層會員交流，建立了穩固的人脈網絡。這個網絡不僅是社交資本，更是事業資本，離開平台意味著失去這些人脈資源。依賴深度提升至 3/5，會員的離開成本開始顯著增加。</w:t>
      </w:r>
    </w:p>
    <w:p>
      <w:pPr>
        <w:pStyle w:val="Heading2"/>
        <w:spacing w:after="120" w:before="240"/>
      </w:pPr>
      <w:bookmarkStart w:id="100021" w:name="_Toc100021"/>
      <w:r>
        <w:rPr>
          <w:rFonts w:ascii="Calibri" w:eastAsia="SimHei"/>
          <w:b/>
          <w:bCs/>
          <w:color w:val="000000"/>
          <w:sz w:val="28"/>
          <w:szCs w:val="28"/>
        </w:rPr>
        <w:t xml:space="preserve">三、服務鎖定：依賴即留存</w:t>
      </w:r>
      <w:bookmarkEnd w:id="100021"/>
    </w:p>
    <w:p>
      <w:pPr>
        <w:spacing w:after="60" w:line="312"/>
        <w:ind w:firstLine="480"/>
        <w:jc w:val="both"/>
      </w:pPr>
      <w:r>
        <w:rPr>
          <w:rFonts w:ascii="Calibri" w:eastAsia="SimSun"/>
          <w:color w:val="000000"/>
          <w:sz w:val="24"/>
          <w:szCs w:val="24"/>
        </w:rPr>
        <w:t xml:space="preserve">服務鎖定在方案三和方案四階段形成，通常需要 6 到 12 個月。會員對 VFK 產品產生了實質性依賴（持續使用帶來的健康效果），同時開始享受日本物業資訊、旅遊服務等平台獨有資源。這些服務是外面市場難以獲得的，依賴深度達 4/5，會員的離開成本已經很高。</w:t>
      </w:r>
    </w:p>
    <w:p>
      <w:pPr>
        <w:pStyle w:val="Heading2"/>
        <w:spacing w:after="120" w:before="240"/>
      </w:pPr>
      <w:bookmarkStart w:id="100022" w:name="_Toc100022"/>
      <w:r>
        <w:rPr>
          <w:rFonts w:ascii="Calibri" w:eastAsia="SimHei"/>
          <w:b/>
          <w:bCs/>
          <w:color w:val="000000"/>
          <w:sz w:val="28"/>
          <w:szCs w:val="28"/>
        </w:rPr>
        <w:t xml:space="preserve">四、結構鎖定：架構即護城河</w:t>
      </w:r>
      <w:bookmarkEnd w:id="100022"/>
    </w:p>
    <w:p>
      <w:pPr>
        <w:spacing w:after="60" w:line="312"/>
        <w:ind w:firstLine="480"/>
        <w:jc w:val="both"/>
      </w:pPr>
      <w:r>
        <w:rPr>
          <w:rFonts w:ascii="Calibri" w:eastAsia="SimSun"/>
          <w:color w:val="000000"/>
          <w:sz w:val="24"/>
          <w:szCs w:val="24"/>
        </w:rPr>
        <w:t xml:space="preserve">結構鎖定是最深層次的連結，僅在方案四階段形成，通常需要 12 到 24 個月。會員的信訖架構、物業投資、基金認購、財富傳承規劃均與平台深度綁定，轉換成本極高。依賴深度達到 5/5，會員已經將個人和家族的財富架構與 MCLUB 融為一體，離開平台的代價不僅是金錢上的，更是架構上的。這是整個體系的最終目標：讓會員的財富架構與平台共生共榮。</w:t>
      </w:r>
    </w:p>
    <w:p>
      <w:pPr>
        <w:pStyle w:val="Heading1"/>
        <w:spacing w:after="120" w:before="360"/>
      </w:pPr>
      <w:bookmarkStart w:id="100023" w:name="_Toc100023"/>
      <w:r>
        <w:rPr>
          <w:rFonts w:ascii="Calibri" w:eastAsia="SimHei"/>
          <w:b/>
          <w:bCs/>
          <w:color w:val="000000"/>
          <w:sz w:val="32"/>
          <w:szCs w:val="32"/>
        </w:rPr>
        <w:t xml:space="preserve">第八章  統一會員路徑：從健康到財富</w:t>
      </w:r>
      <w:bookmarkEnd w:id="100023"/>
    </w:p>
    <w:p>
      <w:pPr>
        <w:spacing w:after="60" w:line="312"/>
        <w:ind w:firstLine="480"/>
        <w:jc w:val="both"/>
      </w:pPr>
      <w:r>
        <w:rPr>
          <w:rFonts w:ascii="Calibri" w:eastAsia="SimSun"/>
          <w:color w:val="000000"/>
          <w:sz w:val="24"/>
          <w:szCs w:val="24"/>
        </w:rPr>
        <w:t xml:space="preserve">VFK × MCLUB 的設計核心是「由健康切入，以財富升級」。會員的完整路徑如下：從 VFK 健康產品體驗開始（方案一），透過產品效果建立信任；進而加深推廣參與（方案二、三），獲得更多市場資訊和投資知識；最終透過方案四進入家族辦公室，實現從健康管理到財富管理的完整轉變。每一步都有明確的價值主張和升級動力，讓會員始終感受到前進的必要性和獲得感。</w:t>
      </w:r>
    </w:p>
    <w:p>
      <w:pPr>
        <w:spacing w:after="60" w:line="312"/>
        <w:ind w:firstLine="480"/>
        <w:jc w:val="both"/>
      </w:pPr>
      <w:r>
        <w:rPr>
          <w:rFonts w:ascii="Calibri" w:eastAsia="SimSun"/>
          <w:color w:val="000000"/>
          <w:sz w:val="24"/>
          <w:szCs w:val="24"/>
        </w:rPr>
        <w:t xml:space="preserve">值得注意的是，整個路徑並非單向的。方案一到方案三的會員在推廣過程中累積的 BV 積分同樣適用於晉升機制，意味著即使會員暫時沒有升級到方案四，他們的推廣業績仍然有價值，可以通過晉升機制獲得更高的收益比例。這種設計讓每個方案都有獨立的價值，同時又形成了往上升級的強烈動力。</w:t>
      </w:r>
    </w:p>
    <w:p>
      <w:pPr>
        <w:pStyle w:val="Heading1"/>
        <w:spacing w:after="120" w:before="360"/>
      </w:pPr>
      <w:bookmarkStart w:id="100024" w:name="_Toc100024"/>
      <w:r>
        <w:rPr>
          <w:rFonts w:ascii="Calibri" w:eastAsia="SimHei"/>
          <w:b/>
          <w:bCs/>
          <w:color w:val="000000"/>
          <w:sz w:val="32"/>
          <w:szCs w:val="32"/>
        </w:rPr>
        <w:t xml:space="preserve">第九章  結論與建議</w:t>
      </w:r>
      <w:bookmarkEnd w:id="100024"/>
    </w:p>
    <w:p>
      <w:pPr>
        <w:pStyle w:val="Heading2"/>
        <w:spacing w:after="120" w:before="240"/>
      </w:pPr>
      <w:bookmarkStart w:id="100025" w:name="_Toc100025"/>
      <w:r>
        <w:rPr>
          <w:rFonts w:ascii="Calibri" w:eastAsia="SimHei"/>
          <w:b/>
          <w:bCs/>
          <w:color w:val="000000"/>
          <w:sz w:val="28"/>
          <w:szCs w:val="28"/>
        </w:rPr>
        <w:t xml:space="preserve">一、體系優勢總結</w:t>
      </w:r>
      <w:bookmarkEnd w:id="100025"/>
    </w:p>
    <w:p>
      <w:pPr>
        <w:spacing w:after="60" w:line="312"/>
        <w:ind w:firstLine="480"/>
        <w:jc w:val="both"/>
      </w:pPr>
      <w:r>
        <w:rPr>
          <w:rFonts w:ascii="Calibri" w:eastAsia="SimSun"/>
          <w:color w:val="000000"/>
          <w:sz w:val="24"/>
          <w:szCs w:val="24"/>
        </w:rPr>
        <w:t xml:space="preserve">VFK × MCLUB 統一體系具有三大核心優勢。第一，低門檻入場：最低僅需 HK$1,980 即可體驗產品及服務，大大擴大了潜在客戶群。第二，自然升級路徑：從健康產品到家族辦公室，每一步都有明確的價值递進，會員升級動力充足。第三，深度鎖定：四層鎖定模型確保會員的長期留存率，尤其是方案四的結構鎖定，讓會員與平台形成真正的共生關係。</w:t>
      </w:r>
    </w:p>
    <w:p>
      <w:pPr>
        <w:pStyle w:val="Heading2"/>
        <w:spacing w:after="120" w:before="240"/>
      </w:pPr>
      <w:bookmarkStart w:id="100026" w:name="_Toc100026"/>
      <w:r>
        <w:rPr>
          <w:rFonts w:ascii="Calibri" w:eastAsia="SimHei"/>
          <w:b/>
          <w:bCs/>
          <w:color w:val="000000"/>
          <w:sz w:val="28"/>
          <w:szCs w:val="28"/>
        </w:rPr>
        <w:t xml:space="preserve">二、實施建議</w:t>
      </w:r>
      <w:bookmarkEnd w:id="100026"/>
    </w:p>
    <w:p>
      <w:pPr>
        <w:spacing w:after="60" w:line="312"/>
        <w:ind w:firstLine="480"/>
        <w:jc w:val="both"/>
      </w:pPr>
      <w:r>
        <w:rPr>
          <w:rFonts w:ascii="Calibri" w:eastAsia="SimSun"/>
          <w:color w:val="000000"/>
          <w:sz w:val="24"/>
          <w:szCs w:val="24"/>
        </w:rPr>
        <w:t xml:space="preserve">建議在實施過程中重點關注以下幾個方面。首先，產品效果是整個體系的基礎，必須確保 VFK 產品的品質和效果穩定，因為會員的信任從產品體驗開始。其次，分享會和團隊建設是社交鎖定的關鍵，應定期舉辦高質量的線上線下活動，增強會員之間的連結。第三，家族辦公室服務的專業性至關重要，這是方案四的核心價值，必須確保服務質素達到客戶預期。最後，建議建立完善的數據追蹤系統，監控每個方案的轉化率和會員流失率，及時優化策略。</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08080"/>
        <w:sz w:val="18"/>
        <w:szCs w:val="18"/>
      </w:rPr>
      <w:t xml:space="preserve">VFK × MCLUB 推廣計劃報告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Calibri" w:eastAsia="SimHei"/>
      <w:b/>
      <w:bCs/>
      <w:color w:val="000000"/>
      <w:sz w:val="32"/>
      <w:szCs w:val="32"/>
    </w:rPr>
  </w:style>
  <w:style w:type="paragraph" w:styleId="Heading2">
    <w:name w:val="Heading 2"/>
    <w:basedOn w:val="Normal"/>
    <w:next w:val="Normal"/>
    <w:qFormat/>
    <w:pPr>
      <w:spacing w:after="120" w:before="240" w:line="312"/>
      <w:outlineLvl w:val="1"/>
    </w:pPr>
    <w:rPr>
      <w:rFonts w:ascii="Calibri" w:eastAsia="SimHei"/>
      <w:b/>
      <w:bCs/>
      <w:color w:val="000000"/>
      <w:sz w:val="28"/>
      <w:szCs w:val="28"/>
    </w:rPr>
  </w:style>
  <w:style w:type="paragraph" w:styleId="Heading3">
    <w:name w:val="Heading 3"/>
    <w:basedOn w:val="Normal"/>
    <w:next w:val="Normal"/>
    <w:qFormat/>
    <w:pPr>
      <w:spacing w:after="100" w:before="200" w:line="312"/>
      <w:outlineLvl w:val="2"/>
    </w:pPr>
    <w:rPr>
      <w:rFonts w:ascii="Calibri" w:eastAsia="SimHei"/>
      <w:b/>
      <w:bCs/>
      <w:color w:val="00000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2026-06-08T12:24:05.644Z</dcterms:created>
  <dcterms:modified xsi:type="dcterms:W3CDTF">2026-06-08T12:24:05.645Z</dcterms:modified>
</cp:coreProperties>
</file>

<file path=docProps/custom.xml><?xml version="1.0" encoding="utf-8"?>
<Properties xmlns="http://schemas.openxmlformats.org/officeDocument/2006/custom-properties" xmlns:vt="http://schemas.openxmlformats.org/officeDocument/2006/docPropsVTypes"/>
</file>