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pPr>
    </w:p>
    <w:p>
      <w:pPr>
        <w:jc w:val="center"/>
      </w:pPr>
      <w:r>
        <w:drawing>
          <wp:inline distT="0" distB="0" distL="0" distR="0">
            <wp:extent cx="1809750" cy="523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1809750" cy="523875"/>
                    </a:xfrm>
                    <a:prstGeom prst="rect">
                      <a:avLst/>
                    </a:prstGeom>
                  </pic:spPr>
                </pic:pic>
              </a:graphicData>
            </a:graphic>
          </wp:inline>
        </w:drawing>
      </w:r>
    </w:p>
    <w:p>
      <w:pPr>
        <w:spacing w:after="700"/>
      </w:pPr>
    </w:p>
    <w:tbl>
      <w:tblPr>
        <w:tblW w:type="dxa" w:w="9000"/>
        <w:tblBorders>
          <w:top w:val="none" w:color="FFFFFF" w:sz="0"/>
          <w:left w:val="none" w:color="FFFFFF" w:sz="0"/>
          <w:bottom w:val="none" w:color="FFFFFF" w:sz="0"/>
          <w:right w:val="none" w:color="FFFFFF" w:sz="0"/>
          <w:insideH w:val="single" w:color="auto" w:sz="4"/>
          <w:insideV w:val="single" w:color="auto" w:sz="4"/>
        </w:tblBorders>
      </w:tblPr>
      <w:tblGrid>
        <w:gridCol w:w="9000"/>
      </w:tblGrid>
      <w:tr>
        <w:tc>
          <w:tcPr>
            <w:tcW w:type="dxa" w:w="9000"/>
            <w:tcBorders>
              <w:top w:val="none" w:color="FFFFFF" w:sz="0"/>
              <w:left w:val="none" w:color="FFFFFF" w:sz="0"/>
              <w:bottom w:val="none" w:color="FFFFFF" w:sz="0"/>
              <w:right w:val="none" w:color="FFFFFF" w:sz="0"/>
            </w:tcBorders>
            <w:shd w:fill="D34817" w:color="auto" w:val="clear"/>
            <w:tcMar>
              <w:top w:type="dxa" w:w="260"/>
              <w:left w:type="dxa" w:w="300"/>
              <w:bottom w:type="dxa" w:w="260"/>
              <w:right w:type="dxa" w:w="300"/>
            </w:tcMar>
          </w:tcPr>
          <w:p>
            <w:pPr>
              <w:spacing w:after="120"/>
              <w:jc w:val="center"/>
            </w:pPr>
            <w:r>
              <w:rPr>
                <w:rFonts w:ascii="Calibri" w:cs="Calibri" w:eastAsia="Calibri" w:hAnsi="Calibri"/>
                <w:b/>
                <w:bCs/>
                <w:color w:val="FFFFFF"/>
                <w:sz w:val="40"/>
                <w:szCs w:val="40"/>
              </w:rPr>
              <w:t xml:space="preserve">Phoneme HR Suite</w:t>
            </w:r>
          </w:p>
          <w:p>
            <w:pPr>
              <w:jc w:val="center"/>
            </w:pPr>
            <w:r>
              <w:rPr>
                <w:rFonts w:ascii="Calibri" w:cs="Calibri" w:eastAsia="Calibri" w:hAnsi="Calibri"/>
                <w:color w:val="FFFFFF"/>
                <w:sz w:val="26"/>
                <w:szCs w:val="26"/>
              </w:rPr>
              <w:t xml:space="preserve">Candidate Search to Onboarding Module</w:t>
            </w:r>
          </w:p>
        </w:tc>
      </w:tr>
      <w:tr>
        <w:tc>
          <w:tcPr>
            <w:tcW w:type="dxa" w:w="9000"/>
            <w:tcBorders>
              <w:top w:val="none" w:color="FFFFFF" w:sz="0"/>
              <w:left w:val="none" w:color="FFFFFF" w:sz="0"/>
              <w:bottom w:val="none" w:color="FFFFFF" w:sz="0"/>
              <w:right w:val="none" w:color="FFFFFF" w:sz="0"/>
            </w:tcBorders>
            <w:shd w:fill="8C8C8C" w:color="auto" w:val="clear"/>
            <w:tcMar>
              <w:top w:type="dxa" w:w="40"/>
              <w:left w:type="dxa" w:w="0"/>
              <w:bottom w:type="dxa" w:w="40"/>
              <w:right w:type="dxa" w:w="0"/>
            </w:tcMar>
          </w:tcPr>
          <w:p/>
        </w:tc>
      </w:tr>
    </w:tbl>
    <w:p>
      <w:pPr>
        <w:spacing w:after="500"/>
      </w:pPr>
    </w:p>
    <w:p>
      <w:pPr>
        <w:jc w:val="center"/>
      </w:pPr>
      <w:r>
        <w:rPr>
          <w:rFonts w:ascii="Calibri" w:cs="Calibri" w:eastAsia="Calibri" w:hAnsi="Calibri"/>
          <w:b/>
          <w:bCs/>
          <w:color w:val="000000"/>
          <w:sz w:val="26"/>
          <w:szCs w:val="26"/>
        </w:rPr>
        <w:t xml:space="preserve">BRD / PRD</w:t>
      </w:r>
    </w:p>
    <w:p>
      <w:pPr>
        <w:spacing w:after="2200"/>
      </w:pPr>
    </w:p>
    <w:p>
      <w:pPr>
        <w:spacing w:after="60"/>
        <w:jc w:val="center"/>
      </w:pPr>
      <w:r>
        <w:rPr>
          <w:rFonts w:ascii="Calibri" w:cs="Calibri" w:eastAsia="Calibri" w:hAnsi="Calibri"/>
          <w:b/>
          <w:bCs/>
          <w:color w:val="D34817"/>
          <w:sz w:val="20"/>
          <w:szCs w:val="20"/>
        </w:rPr>
        <w:t xml:space="preserve">PROJECT CODE: PHN-HR-2026-01</w:t>
      </w:r>
    </w:p>
    <w:p>
      <w:pPr>
        <w:spacing w:after="60"/>
        <w:jc w:val="center"/>
      </w:pPr>
      <w:r>
        <w:rPr>
          <w:rFonts w:ascii="Calibri" w:cs="Calibri" w:eastAsia="Calibri" w:hAnsi="Calibri"/>
          <w:color w:val="333333"/>
          <w:sz w:val="20"/>
          <w:szCs w:val="20"/>
        </w:rPr>
        <w:t xml:space="preserve">September 2026</w:t>
      </w:r>
    </w:p>
    <w:p>
      <w:pPr>
        <w:spacing w:after="60"/>
        <w:jc w:val="center"/>
      </w:pPr>
      <w:r>
        <w:rPr>
          <w:rFonts w:ascii="Calibri" w:cs="Calibri" w:eastAsia="Calibri" w:hAnsi="Calibri"/>
          <w:color w:val="333333"/>
          <w:sz w:val="20"/>
          <w:szCs w:val="20"/>
        </w:rPr>
        <w:t xml:space="preserve">Submitted by: Phoneme Solutions Pvt. Ltd.</w:t>
      </w:r>
    </w:p>
    <w:p>
      <w:pPr>
        <w:jc w:val="center"/>
      </w:pPr>
      <w:r>
        <w:rPr>
          <w:rFonts w:ascii="Calibri" w:cs="Calibri" w:eastAsia="Calibri" w:hAnsi="Calibri"/>
          <w:i/>
          <w:iCs/>
          <w:color w:val="6E6E6E"/>
          <w:sz w:val="18"/>
          <w:szCs w:val="18"/>
        </w:rPr>
        <w:t xml:space="preserve">Security Classification: Confidential — Internal</w:t>
      </w:r>
    </w:p>
    <w:p>
      <w:pPr>
        <w:sectPr>
          <w:pgSz w:w="12240" w:h="15840" w:orient="portrait"/>
          <w:pgMar w:top="1440" w:right="1300" w:bottom="1440" w:left="1300" w:header="708" w:footer="708" w:gutter="0"/>
          <w:pgBorders w:display="allPages" w:offsetFrom="page" w:zOrder="front">
            <w:top w:val="single" w:color="404040" w:sz="10" w:space="24"/>
            <w:left w:val="single" w:color="404040" w:sz="10" w:space="24"/>
            <w:bottom w:val="single" w:color="404040" w:sz="10" w:space="24"/>
            <w:right w:val="single" w:color="404040" w:sz="10" w:space="24"/>
          </w:pgBorders>
          <w:pgNumType/>
          <w:docGrid w:linePitch="360"/>
        </w:sectPr>
      </w:pPr>
    </w:p>
    <w:p>
      <w:pPr>
        <w:pStyle w:val="Heading1"/>
        <w:spacing w:after="140" w:before="320"/>
      </w:pPr>
      <w:bookmarkStart w:name="bm_24_document_control" w:id="1024"/>
      <w:r>
        <w:rPr>
          <w:rFonts w:ascii="Calibri" w:cs="Calibri" w:eastAsia="Calibri" w:hAnsi="Calibri"/>
          <w:b/>
          <w:bCs/>
          <w:color w:val="D34817"/>
          <w:sz w:val="30"/>
          <w:szCs w:val="30"/>
        </w:rPr>
        <w:t xml:space="preserve">Document Control</w:t>
      </w:r>
      <w:bookmarkEnd w:id="1024"/>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800"/>
        <w:gridCol w:w="6600"/>
      </w:tblGrid>
      <w:tr>
        <w:trPr>
          <w:tblHeader/>
        </w:trPr>
        <w:tc>
          <w:tcPr>
            <w:tcW w:type="dxa" w:w="2800"/>
            <w:tcBorders>
              <w:top w:val="single" w:color="CCCCCC" w:sz="2"/>
              <w:left w:val="single" w:color="CCCCCC" w:sz="2"/>
              <w:bottom w:val="single" w:color="CCCCCC" w:sz="2"/>
              <w:right w:val="single" w:color="CCCCCC" w:sz="2"/>
            </w:tcBorders>
            <w:shd w:fill="F2F2F2" w:color="auto" w:val="clear"/>
            <w:tcMar>
              <w:top w:type="dxa" w:w="80"/>
              <w:left w:type="dxa" w:w="100"/>
              <w:bottom w:type="dxa" w:w="80"/>
              <w:right w:type="dxa" w:w="100"/>
            </w:tcMar>
          </w:tcPr>
          <w:p>
            <w:r>
              <w:rPr>
                <w:rFonts w:ascii="Calibri" w:cs="Calibri" w:eastAsia="Calibri" w:hAnsi="Calibri"/>
                <w:b/>
                <w:bCs/>
                <w:color w:val="000000"/>
                <w:sz w:val="19"/>
                <w:szCs w:val="19"/>
              </w:rPr>
              <w:t xml:space="preserve">Field</w:t>
            </w:r>
          </w:p>
        </w:tc>
        <w:tc>
          <w:tcPr>
            <w:tcW w:type="dxa" w:w="6600"/>
            <w:tcBorders>
              <w:top w:val="single" w:color="CCCCCC" w:sz="2"/>
              <w:left w:val="single" w:color="CCCCCC" w:sz="2"/>
              <w:bottom w:val="single" w:color="CCCCCC" w:sz="2"/>
              <w:right w:val="single" w:color="CCCCCC" w:sz="2"/>
            </w:tcBorders>
            <w:shd w:fill="F2F2F2" w:color="auto" w:val="clear"/>
            <w:tcMar>
              <w:top w:type="dxa" w:w="80"/>
              <w:left w:type="dxa" w:w="100"/>
              <w:bottom w:type="dxa" w:w="80"/>
              <w:right w:type="dxa" w:w="100"/>
            </w:tcMar>
          </w:tcPr>
          <w:p>
            <w:r>
              <w:rPr>
                <w:rFonts w:ascii="Calibri" w:cs="Calibri" w:eastAsia="Calibri" w:hAnsi="Calibri"/>
                <w:b/>
                <w:bCs/>
                <w:color w:val="000000"/>
                <w:sz w:val="19"/>
                <w:szCs w:val="19"/>
              </w:rPr>
              <w:t xml:space="preserve">Value</w:t>
            </w:r>
          </w:p>
        </w:tc>
      </w:tr>
      <w:tr>
        <w:tc>
          <w:tcPr>
            <w:tcW w:type="dxa" w:w="28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9"/>
                <w:szCs w:val="19"/>
              </w:rPr>
              <w:t xml:space="preserve">Document Description</w:t>
            </w:r>
          </w:p>
        </w:tc>
        <w:tc>
          <w:tcPr>
            <w:tcW w:type="dxa" w:w="66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9"/>
                <w:szCs w:val="19"/>
              </w:rPr>
              <w:t xml:space="preserve">Business Requirements Document / Product Requirements Document (BRD/PRD) — Phoneme HR Suite: Candidate Search to Onboarding Module</w:t>
            </w:r>
          </w:p>
        </w:tc>
      </w:tr>
      <w:tr>
        <w:tc>
          <w:tcPr>
            <w:tcW w:type="dxa" w:w="28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9"/>
                <w:szCs w:val="19"/>
              </w:rPr>
              <w:t xml:space="preserve">Identification</w:t>
            </w:r>
          </w:p>
        </w:tc>
        <w:tc>
          <w:tcPr>
            <w:tcW w:type="dxa" w:w="66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9"/>
                <w:szCs w:val="19"/>
              </w:rPr>
              <w:t xml:space="preserve">PHN-HR-2026-01-BRDPRD, Version 2.2 (Draft — pending Reviewed/Approved sign-off, see Authorization below)</w:t>
            </w:r>
          </w:p>
        </w:tc>
      </w:tr>
      <w:tr>
        <w:tc>
          <w:tcPr>
            <w:tcW w:type="dxa" w:w="28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9"/>
                <w:szCs w:val="19"/>
              </w:rPr>
              <w:t xml:space="preserve">Security Classification</w:t>
            </w:r>
          </w:p>
        </w:tc>
        <w:tc>
          <w:tcPr>
            <w:tcW w:type="dxa" w:w="66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9"/>
                <w:szCs w:val="19"/>
              </w:rPr>
              <w:t xml:space="preserve">Confidential — Internal</w:t>
            </w:r>
          </w:p>
        </w:tc>
      </w:tr>
      <w:tr>
        <w:tc>
          <w:tcPr>
            <w:tcW w:type="dxa" w:w="28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9"/>
                <w:szCs w:val="19"/>
              </w:rPr>
              <w:t xml:space="preserve">Location</w:t>
            </w:r>
          </w:p>
        </w:tc>
        <w:tc>
          <w:tcPr>
            <w:tcW w:type="dxa" w:w="66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9"/>
                <w:szCs w:val="19"/>
              </w:rPr>
              <w:t xml:space="preserve">HR Management project workspace</w:t>
            </w:r>
          </w:p>
        </w:tc>
      </w:tr>
    </w:tbl>
    <w:p>
      <w:pPr>
        <w:spacing w:after="160"/>
      </w:pPr>
    </w:p>
    <w:p>
      <w:pPr>
        <w:pStyle w:val="Heading1"/>
        <w:spacing w:after="140" w:before="320"/>
      </w:pPr>
      <w:bookmarkStart w:name="bm_25_authorization" w:id="1025"/>
      <w:r>
        <w:rPr>
          <w:rFonts w:ascii="Calibri" w:cs="Calibri" w:eastAsia="Calibri" w:hAnsi="Calibri"/>
          <w:b/>
          <w:bCs/>
          <w:color w:val="D34817"/>
          <w:sz w:val="30"/>
          <w:szCs w:val="30"/>
        </w:rPr>
        <w:t xml:space="preserve">Authorization</w:t>
      </w:r>
      <w:bookmarkEnd w:id="1025"/>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400"/>
        <w:gridCol w:w="4400"/>
        <w:gridCol w:w="2600"/>
      </w:tblGrid>
      <w:tr>
        <w:trPr>
          <w:tblHeader/>
        </w:trPr>
        <w:tc>
          <w:tcPr>
            <w:tcW w:type="dxa" w:w="2400"/>
            <w:tcBorders>
              <w:top w:val="single" w:color="CCCCCC" w:sz="2"/>
              <w:left w:val="single" w:color="CCCCCC" w:sz="2"/>
              <w:bottom w:val="single" w:color="CCCCCC" w:sz="2"/>
              <w:right w:val="single" w:color="CCCCCC" w:sz="2"/>
            </w:tcBorders>
            <w:shd w:fill="F2F2F2" w:color="auto" w:val="clear"/>
            <w:tcMar>
              <w:top w:type="dxa" w:w="80"/>
              <w:left w:type="dxa" w:w="100"/>
              <w:bottom w:type="dxa" w:w="80"/>
              <w:right w:type="dxa" w:w="100"/>
            </w:tcMar>
          </w:tcPr>
          <w:p>
            <w:r>
              <w:rPr>
                <w:rFonts w:ascii="Calibri" w:cs="Calibri" w:eastAsia="Calibri" w:hAnsi="Calibri"/>
                <w:b/>
                <w:bCs/>
                <w:color w:val="000000"/>
                <w:sz w:val="19"/>
                <w:szCs w:val="19"/>
              </w:rPr>
              <w:t xml:space="preserve"/>
            </w:r>
          </w:p>
        </w:tc>
        <w:tc>
          <w:tcPr>
            <w:tcW w:type="dxa" w:w="4400"/>
            <w:tcBorders>
              <w:top w:val="single" w:color="CCCCCC" w:sz="2"/>
              <w:left w:val="single" w:color="CCCCCC" w:sz="2"/>
              <w:bottom w:val="single" w:color="CCCCCC" w:sz="2"/>
              <w:right w:val="single" w:color="CCCCCC" w:sz="2"/>
            </w:tcBorders>
            <w:shd w:fill="F2F2F2" w:color="auto" w:val="clear"/>
            <w:tcMar>
              <w:top w:type="dxa" w:w="80"/>
              <w:left w:type="dxa" w:w="100"/>
              <w:bottom w:type="dxa" w:w="80"/>
              <w:right w:type="dxa" w:w="100"/>
            </w:tcMar>
          </w:tcPr>
          <w:p>
            <w:r>
              <w:rPr>
                <w:rFonts w:ascii="Calibri" w:cs="Calibri" w:eastAsia="Calibri" w:hAnsi="Calibri"/>
                <w:b/>
                <w:bCs/>
                <w:color w:val="000000"/>
                <w:sz w:val="19"/>
                <w:szCs w:val="19"/>
              </w:rPr>
              <w:t xml:space="preserve">Name of the Person</w:t>
            </w:r>
          </w:p>
        </w:tc>
        <w:tc>
          <w:tcPr>
            <w:tcW w:type="dxa" w:w="2600"/>
            <w:tcBorders>
              <w:top w:val="single" w:color="CCCCCC" w:sz="2"/>
              <w:left w:val="single" w:color="CCCCCC" w:sz="2"/>
              <w:bottom w:val="single" w:color="CCCCCC" w:sz="2"/>
              <w:right w:val="single" w:color="CCCCCC" w:sz="2"/>
            </w:tcBorders>
            <w:shd w:fill="F2F2F2" w:color="auto" w:val="clear"/>
            <w:tcMar>
              <w:top w:type="dxa" w:w="80"/>
              <w:left w:type="dxa" w:w="100"/>
              <w:bottom w:type="dxa" w:w="80"/>
              <w:right w:type="dxa" w:w="100"/>
            </w:tcMar>
          </w:tcPr>
          <w:p>
            <w:r>
              <w:rPr>
                <w:rFonts w:ascii="Calibri" w:cs="Calibri" w:eastAsia="Calibri" w:hAnsi="Calibri"/>
                <w:b/>
                <w:bCs/>
                <w:color w:val="000000"/>
                <w:sz w:val="19"/>
                <w:szCs w:val="19"/>
              </w:rPr>
              <w:t xml:space="preserve">Date</w:t>
            </w:r>
          </w:p>
        </w:tc>
      </w:tr>
      <w:tr>
        <w:tc>
          <w:tcPr>
            <w:tcW w:type="dxa" w:w="24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9"/>
                <w:szCs w:val="19"/>
              </w:rPr>
              <w:t xml:space="preserve">Prepared by</w:t>
            </w:r>
          </w:p>
        </w:tc>
        <w:tc>
          <w:tcPr>
            <w:tcW w:type="dxa" w:w="44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9"/>
                <w:szCs w:val="19"/>
              </w:rPr>
              <w:t xml:space="preserve">Anuj (with drafting support)</w:t>
            </w:r>
          </w:p>
        </w:tc>
        <w:tc>
          <w:tcPr>
            <w:tcW w:type="dxa" w:w="26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9"/>
                <w:szCs w:val="19"/>
              </w:rPr>
              <w:t xml:space="preserve">10-Sep-2026</w:t>
            </w:r>
          </w:p>
        </w:tc>
      </w:tr>
      <w:tr>
        <w:tc>
          <w:tcPr>
            <w:tcW w:type="dxa" w:w="24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9"/>
                <w:szCs w:val="19"/>
              </w:rPr>
              <w:t xml:space="preserve">Reviewed by</w:t>
            </w:r>
          </w:p>
        </w:tc>
        <w:tc>
          <w:tcPr>
            <w:tcW w:type="dxa" w:w="44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9"/>
                <w:szCs w:val="19"/>
              </w:rPr>
              <w:t xml:space="preserve">Pending</w:t>
            </w:r>
          </w:p>
        </w:tc>
        <w:tc>
          <w:tcPr>
            <w:tcW w:type="dxa" w:w="26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9"/>
                <w:szCs w:val="19"/>
              </w:rPr>
              <w:t xml:space="preserve">Pending</w:t>
            </w:r>
          </w:p>
        </w:tc>
      </w:tr>
      <w:tr>
        <w:tc>
          <w:tcPr>
            <w:tcW w:type="dxa" w:w="24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9"/>
                <w:szCs w:val="19"/>
              </w:rPr>
              <w:t xml:space="preserve">Approved by</w:t>
            </w:r>
          </w:p>
        </w:tc>
        <w:tc>
          <w:tcPr>
            <w:tcW w:type="dxa" w:w="44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9"/>
                <w:szCs w:val="19"/>
              </w:rPr>
              <w:t xml:space="preserve">Pending</w:t>
            </w:r>
          </w:p>
        </w:tc>
        <w:tc>
          <w:tcPr>
            <w:tcW w:type="dxa" w:w="26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9"/>
                <w:szCs w:val="19"/>
              </w:rPr>
              <w:t xml:space="preserve">Pending</w:t>
            </w:r>
          </w:p>
        </w:tc>
      </w:tr>
    </w:tbl>
    <w:p>
      <w:pPr>
        <w:spacing w:after="160"/>
      </w:pPr>
    </w:p>
    <w:p>
      <w:pPr>
        <w:pStyle w:val="Heading1"/>
        <w:spacing w:after="140" w:before="320"/>
      </w:pPr>
      <w:bookmarkStart w:name="bm_26_change_log" w:id="1026"/>
      <w:r>
        <w:rPr>
          <w:rFonts w:ascii="Calibri" w:cs="Calibri" w:eastAsia="Calibri" w:hAnsi="Calibri"/>
          <w:b/>
          <w:bCs/>
          <w:color w:val="D34817"/>
          <w:sz w:val="30"/>
          <w:szCs w:val="30"/>
        </w:rPr>
        <w:t xml:space="preserve">Change Log</w:t>
      </w:r>
      <w:bookmarkEnd w:id="1026"/>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900"/>
        <w:gridCol w:w="1300"/>
        <w:gridCol w:w="1200"/>
        <w:gridCol w:w="900"/>
        <w:gridCol w:w="3800"/>
        <w:gridCol w:w="1300"/>
      </w:tblGrid>
      <w:tr>
        <w:trPr>
          <w:tblHeader/>
        </w:trPr>
        <w:tc>
          <w:tcPr>
            <w:tcW w:type="dxa" w:w="900"/>
            <w:tcBorders>
              <w:top w:val="single" w:color="CCCCCC" w:sz="2"/>
              <w:left w:val="single" w:color="CCCCCC" w:sz="2"/>
              <w:bottom w:val="single" w:color="CCCCCC" w:sz="2"/>
              <w:right w:val="single" w:color="CCCCCC" w:sz="2"/>
            </w:tcBorders>
            <w:shd w:fill="F2F2F2" w:color="auto" w:val="clear"/>
            <w:tcMar>
              <w:top w:type="dxa" w:w="80"/>
              <w:left w:type="dxa" w:w="100"/>
              <w:bottom w:type="dxa" w:w="80"/>
              <w:right w:type="dxa" w:w="100"/>
            </w:tcMar>
          </w:tcPr>
          <w:p>
            <w:r>
              <w:rPr>
                <w:rFonts w:ascii="Calibri" w:cs="Calibri" w:eastAsia="Calibri" w:hAnsi="Calibri"/>
                <w:b/>
                <w:bCs/>
                <w:color w:val="000000"/>
                <w:sz w:val="19"/>
                <w:szCs w:val="19"/>
              </w:rPr>
              <w:t xml:space="preserve">Version</w:t>
            </w:r>
          </w:p>
        </w:tc>
        <w:tc>
          <w:tcPr>
            <w:tcW w:type="dxa" w:w="1300"/>
            <w:tcBorders>
              <w:top w:val="single" w:color="CCCCCC" w:sz="2"/>
              <w:left w:val="single" w:color="CCCCCC" w:sz="2"/>
              <w:bottom w:val="single" w:color="CCCCCC" w:sz="2"/>
              <w:right w:val="single" w:color="CCCCCC" w:sz="2"/>
            </w:tcBorders>
            <w:shd w:fill="F2F2F2" w:color="auto" w:val="clear"/>
            <w:tcMar>
              <w:top w:type="dxa" w:w="80"/>
              <w:left w:type="dxa" w:w="100"/>
              <w:bottom w:type="dxa" w:w="80"/>
              <w:right w:type="dxa" w:w="100"/>
            </w:tcMar>
          </w:tcPr>
          <w:p>
            <w:r>
              <w:rPr>
                <w:rFonts w:ascii="Calibri" w:cs="Calibri" w:eastAsia="Calibri" w:hAnsi="Calibri"/>
                <w:b/>
                <w:bCs/>
                <w:color w:val="000000"/>
                <w:sz w:val="19"/>
                <w:szCs w:val="19"/>
              </w:rPr>
              <w:t xml:space="preserve">Date</w:t>
            </w:r>
          </w:p>
        </w:tc>
        <w:tc>
          <w:tcPr>
            <w:tcW w:type="dxa" w:w="1200"/>
            <w:tcBorders>
              <w:top w:val="single" w:color="CCCCCC" w:sz="2"/>
              <w:left w:val="single" w:color="CCCCCC" w:sz="2"/>
              <w:bottom w:val="single" w:color="CCCCCC" w:sz="2"/>
              <w:right w:val="single" w:color="CCCCCC" w:sz="2"/>
            </w:tcBorders>
            <w:shd w:fill="F2F2F2" w:color="auto" w:val="clear"/>
            <w:tcMar>
              <w:top w:type="dxa" w:w="80"/>
              <w:left w:type="dxa" w:w="100"/>
              <w:bottom w:type="dxa" w:w="80"/>
              <w:right w:type="dxa" w:w="100"/>
            </w:tcMar>
          </w:tcPr>
          <w:p>
            <w:r>
              <w:rPr>
                <w:rFonts w:ascii="Calibri" w:cs="Calibri" w:eastAsia="Calibri" w:hAnsi="Calibri"/>
                <w:b/>
                <w:bCs/>
                <w:color w:val="000000"/>
                <w:sz w:val="19"/>
                <w:szCs w:val="19"/>
              </w:rPr>
              <w:t xml:space="preserve">Section</w:t>
            </w:r>
          </w:p>
        </w:tc>
        <w:tc>
          <w:tcPr>
            <w:tcW w:type="dxa" w:w="900"/>
            <w:tcBorders>
              <w:top w:val="single" w:color="CCCCCC" w:sz="2"/>
              <w:left w:val="single" w:color="CCCCCC" w:sz="2"/>
              <w:bottom w:val="single" w:color="CCCCCC" w:sz="2"/>
              <w:right w:val="single" w:color="CCCCCC" w:sz="2"/>
            </w:tcBorders>
            <w:shd w:fill="F2F2F2" w:color="auto" w:val="clear"/>
            <w:tcMar>
              <w:top w:type="dxa" w:w="80"/>
              <w:left w:type="dxa" w:w="100"/>
              <w:bottom w:type="dxa" w:w="80"/>
              <w:right w:type="dxa" w:w="100"/>
            </w:tcMar>
          </w:tcPr>
          <w:p>
            <w:r>
              <w:rPr>
                <w:rFonts w:ascii="Calibri" w:cs="Calibri" w:eastAsia="Calibri" w:hAnsi="Calibri"/>
                <w:b/>
                <w:bCs/>
                <w:color w:val="000000"/>
                <w:sz w:val="19"/>
                <w:szCs w:val="19"/>
              </w:rPr>
              <w:t xml:space="preserve">A/M/D</w:t>
            </w:r>
          </w:p>
        </w:tc>
        <w:tc>
          <w:tcPr>
            <w:tcW w:type="dxa" w:w="3800"/>
            <w:tcBorders>
              <w:top w:val="single" w:color="CCCCCC" w:sz="2"/>
              <w:left w:val="single" w:color="CCCCCC" w:sz="2"/>
              <w:bottom w:val="single" w:color="CCCCCC" w:sz="2"/>
              <w:right w:val="single" w:color="CCCCCC" w:sz="2"/>
            </w:tcBorders>
            <w:shd w:fill="F2F2F2" w:color="auto" w:val="clear"/>
            <w:tcMar>
              <w:top w:type="dxa" w:w="80"/>
              <w:left w:type="dxa" w:w="100"/>
              <w:bottom w:type="dxa" w:w="80"/>
              <w:right w:type="dxa" w:w="100"/>
            </w:tcMar>
          </w:tcPr>
          <w:p>
            <w:r>
              <w:rPr>
                <w:rFonts w:ascii="Calibri" w:cs="Calibri" w:eastAsia="Calibri" w:hAnsi="Calibri"/>
                <w:b/>
                <w:bCs/>
                <w:color w:val="000000"/>
                <w:sz w:val="19"/>
                <w:szCs w:val="19"/>
              </w:rPr>
              <w:t xml:space="preserve">Description</w:t>
            </w:r>
          </w:p>
        </w:tc>
        <w:tc>
          <w:tcPr>
            <w:tcW w:type="dxa" w:w="1300"/>
            <w:tcBorders>
              <w:top w:val="single" w:color="CCCCCC" w:sz="2"/>
              <w:left w:val="single" w:color="CCCCCC" w:sz="2"/>
              <w:bottom w:val="single" w:color="CCCCCC" w:sz="2"/>
              <w:right w:val="single" w:color="CCCCCC" w:sz="2"/>
            </w:tcBorders>
            <w:shd w:fill="F2F2F2" w:color="auto" w:val="clear"/>
            <w:tcMar>
              <w:top w:type="dxa" w:w="80"/>
              <w:left w:type="dxa" w:w="100"/>
              <w:bottom w:type="dxa" w:w="80"/>
              <w:right w:type="dxa" w:w="100"/>
            </w:tcMar>
          </w:tcPr>
          <w:p>
            <w:r>
              <w:rPr>
                <w:rFonts w:ascii="Calibri" w:cs="Calibri" w:eastAsia="Calibri" w:hAnsi="Calibri"/>
                <w:b/>
                <w:bCs/>
                <w:color w:val="000000"/>
                <w:sz w:val="19"/>
                <w:szCs w:val="19"/>
              </w:rPr>
              <w:t xml:space="preserve">Reviewed By</w:t>
            </w:r>
          </w:p>
        </w:tc>
      </w:tr>
      <w:tr>
        <w:tc>
          <w:tcPr>
            <w:tcW w:type="dxa" w:w="9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9"/>
                <w:szCs w:val="19"/>
              </w:rPr>
              <w:t xml:space="preserve">0.1–0.2</w:t>
            </w:r>
          </w:p>
        </w:tc>
        <w:tc>
          <w:tcPr>
            <w:tcW w:type="dxa" w:w="13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9"/>
                <w:szCs w:val="19"/>
              </w:rPr>
              <w:t xml:space="preserve">03-Sep-2026</w:t>
            </w:r>
          </w:p>
        </w:tc>
        <w:tc>
          <w:tcPr>
            <w:tcW w:type="dxa" w:w="12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9"/>
                <w:szCs w:val="19"/>
              </w:rPr>
              <w:t xml:space="preserve">All</w:t>
            </w:r>
          </w:p>
        </w:tc>
        <w:tc>
          <w:tcPr>
            <w:tcW w:type="dxa" w:w="9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9"/>
                <w:szCs w:val="19"/>
              </w:rPr>
              <w:t xml:space="preserve">A</w:t>
            </w:r>
          </w:p>
        </w:tc>
        <w:tc>
          <w:tcPr>
            <w:tcW w:type="dxa" w:w="38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9"/>
                <w:szCs w:val="19"/>
              </w:rPr>
              <w:t xml:space="preserve">Initial BRD/PRD draft; Module 1 &amp; 2 requirements locked</w:t>
            </w:r>
          </w:p>
        </w:tc>
        <w:tc>
          <w:tcPr>
            <w:tcW w:type="dxa" w:w="13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9"/>
                <w:szCs w:val="19"/>
              </w:rPr>
              <w:t xml:space="preserve">Pending</w:t>
            </w:r>
          </w:p>
        </w:tc>
      </w:tr>
      <w:tr>
        <w:tc>
          <w:tcPr>
            <w:tcW w:type="dxa" w:w="9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9"/>
                <w:szCs w:val="19"/>
              </w:rPr>
              <w:t xml:space="preserve">1.0</w:t>
            </w:r>
          </w:p>
        </w:tc>
        <w:tc>
          <w:tcPr>
            <w:tcW w:type="dxa" w:w="13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9"/>
                <w:szCs w:val="19"/>
              </w:rPr>
              <w:t xml:space="preserve">10-Sep-2026</w:t>
            </w:r>
          </w:p>
        </w:tc>
        <w:tc>
          <w:tcPr>
            <w:tcW w:type="dxa" w:w="12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9"/>
                <w:szCs w:val="19"/>
              </w:rPr>
              <w:t xml:space="preserve">All</w:t>
            </w:r>
          </w:p>
        </w:tc>
        <w:tc>
          <w:tcPr>
            <w:tcW w:type="dxa" w:w="9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9"/>
                <w:szCs w:val="19"/>
              </w:rPr>
              <w:t xml:space="preserve">M</w:t>
            </w:r>
          </w:p>
        </w:tc>
        <w:tc>
          <w:tcPr>
            <w:tcW w:type="dxa" w:w="38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9"/>
                <w:szCs w:val="19"/>
              </w:rPr>
              <w:t xml:space="preserve">Rebuilt on the standard Phoneme corporate template; renamed to BRD/PRD; trimmed to requirements-only scope — pricing, commercial terms, project management, and infrastructure sizing moved out to the Technical Design and consolidated Proposal documents</w:t>
            </w:r>
          </w:p>
        </w:tc>
        <w:tc>
          <w:tcPr>
            <w:tcW w:type="dxa" w:w="13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9"/>
                <w:szCs w:val="19"/>
              </w:rPr>
              <w:t xml:space="preserve">Pending</w:t>
            </w:r>
          </w:p>
        </w:tc>
      </w:tr>
      <w:tr>
        <w:tc>
          <w:tcPr>
            <w:tcW w:type="dxa" w:w="9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9"/>
                <w:szCs w:val="19"/>
              </w:rPr>
              <w:t xml:space="preserve">2.0</w:t>
            </w:r>
          </w:p>
        </w:tc>
        <w:tc>
          <w:tcPr>
            <w:tcW w:type="dxa" w:w="13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9"/>
                <w:szCs w:val="19"/>
              </w:rPr>
              <w:t xml:space="preserve">15-Sep-2026</w:t>
            </w:r>
          </w:p>
        </w:tc>
        <w:tc>
          <w:tcPr>
            <w:tcW w:type="dxa" w:w="12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9"/>
                <w:szCs w:val="19"/>
              </w:rPr>
              <w:t xml:space="preserve">1, 3, 4, 5, 6</w:t>
            </w:r>
          </w:p>
        </w:tc>
        <w:tc>
          <w:tcPr>
            <w:tcW w:type="dxa" w:w="9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9"/>
                <w:szCs w:val="19"/>
              </w:rPr>
              <w:t xml:space="preserve">A/M</w:t>
            </w:r>
          </w:p>
        </w:tc>
        <w:tc>
          <w:tcPr>
            <w:tcW w:type="dxa" w:w="38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9"/>
                <w:szCs w:val="19"/>
              </w:rPr>
              <w:t xml:space="preserve">Resolved critical/high review findings: replaced "locked" language with a formal Draft/Reviewed/Approved Baseline/Superseded status lifecycle (Section 1.2); stated the Release 1 boundary as Modules 1-2 only, with Modules 3-10 marked as roadmap (Section 1.3, 3, 4.3); added the staffing-agency/multi-client tenant model as an in-scope Release 1 requirement and resolved the corresponding open dependency; excluded soft-skill/behavioral signals entirely from the screening-stage scoring matrix per business decision, removing the prior contradiction with the locked no-numeric-soft-skill-scoring rule (Section 4.1); reworked the JD-freeze process flow to reflect a draft-then-freeze scoring matrix rather than a matrix generated only at the freeze moment; added requirement IDs (HR-M1-FR-xxx / HR-M2-FR-xxx) and an Acceptance Scenarios table to both Module 1 and Module 2 (Section 4.1, 4.2); corrected the resume-format claim to PDF/DOCX only, matching the Technical Design (Section 4.2); added measurable, testable acceptance thresholds and a traceability-register requirement (Section 5); updated Naukri RMS/LinkedIn Talent Solutions references to reflect their proposed-adapter-contract status pending vendor confirmation</w:t>
            </w:r>
          </w:p>
        </w:tc>
        <w:tc>
          <w:tcPr>
            <w:tcW w:type="dxa" w:w="13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9"/>
                <w:szCs w:val="19"/>
              </w:rPr>
              <w:t xml:space="preserve">Pending</w:t>
            </w:r>
          </w:p>
        </w:tc>
      </w:tr>
      <w:tr>
        <w:tc>
          <w:tcPr>
            <w:tcW w:type="dxa" w:w="9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9"/>
                <w:szCs w:val="19"/>
              </w:rPr>
              <w:t xml:space="preserve">2.1</w:t>
            </w:r>
          </w:p>
        </w:tc>
        <w:tc>
          <w:tcPr>
            <w:tcW w:type="dxa" w:w="13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9"/>
                <w:szCs w:val="19"/>
              </w:rPr>
              <w:t xml:space="preserve">15-Sep-2026</w:t>
            </w:r>
          </w:p>
        </w:tc>
        <w:tc>
          <w:tcPr>
            <w:tcW w:type="dxa" w:w="12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9"/>
                <w:szCs w:val="19"/>
              </w:rPr>
              <w:t xml:space="preserve">1.2, 3, 4.1, 4.2, 5, 6</w:t>
            </w:r>
          </w:p>
        </w:tc>
        <w:tc>
          <w:tcPr>
            <w:tcW w:type="dxa" w:w="9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9"/>
                <w:szCs w:val="19"/>
              </w:rPr>
              <w:t xml:space="preserve">A/M</w:t>
            </w:r>
          </w:p>
        </w:tc>
        <w:tc>
          <w:tcPr>
            <w:tcW w:type="dxa" w:w="38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9"/>
                <w:szCs w:val="19"/>
              </w:rPr>
              <w:t xml:space="preserve">Resolved second-pass review findings: relabeled module and document status from "Approved Baseline" to "Draft, pending Reviewed/Approved sign-off" throughout, since no actual approver/date was recorded — status now requires an actual Authorization-table entry, not just build-ready content (Section 1.2, 3, 4.1, 4.2, 5); fixed the HR-M1-FR-007 inconsistency with the Technical Design by stating a direct-employer requisition with a client selected is rejected (422), not silently ignored, and added the corresponding scenario; extended Acceptance Scenarios coverage from 8 to all 16 requirement IDs across both modules; added concrete (provisional, pending Product/Engineering sign-off) measurable targets for duplicate-detection precision, resume-parsing accuracy/time, search latency/volume, upload limits, and availability/RPO/RTO (Section 5); added dependencies for sign-off on those provisional targets and for scheduling the formal document review/approval itself (Section 6); aligned the Client Stakeholder dependency wording with the Technical Design's explicit Release 1 deferral rather than leaving it open-ended</w:t>
            </w:r>
          </w:p>
        </w:tc>
        <w:tc>
          <w:tcPr>
            <w:tcW w:type="dxa" w:w="13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9"/>
                <w:szCs w:val="19"/>
              </w:rPr>
              <w:t xml:space="preserve">Pending</w:t>
            </w:r>
          </w:p>
        </w:tc>
      </w:tr>
      <w:tr>
        <w:tc>
          <w:tcPr>
            <w:tcW w:type="dxa" w:w="9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9"/>
                <w:szCs w:val="19"/>
              </w:rPr>
              <w:t xml:space="preserve">2.2</w:t>
            </w:r>
          </w:p>
        </w:tc>
        <w:tc>
          <w:tcPr>
            <w:tcW w:type="dxa" w:w="13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9"/>
                <w:szCs w:val="19"/>
              </w:rPr>
              <w:t xml:space="preserve">15-Sep-2026</w:t>
            </w:r>
          </w:p>
        </w:tc>
        <w:tc>
          <w:tcPr>
            <w:tcW w:type="dxa" w:w="12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9"/>
                <w:szCs w:val="19"/>
              </w:rPr>
              <w:t xml:space="preserve">1.2, 8, 9</w:t>
            </w:r>
          </w:p>
        </w:tc>
        <w:tc>
          <w:tcPr>
            <w:tcW w:type="dxa" w:w="9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9"/>
                <w:szCs w:val="19"/>
              </w:rPr>
              <w:t xml:space="preserve">A</w:t>
            </w:r>
          </w:p>
        </w:tc>
        <w:tc>
          <w:tcPr>
            <w:tcW w:type="dxa" w:w="38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9"/>
                <w:szCs w:val="19"/>
              </w:rPr>
              <w:t xml:space="preserve">Added new Section 8, Competitive Landscape &amp; USP Analysis: a feature cross-matrix benchmarking Module 1/2 capabilities against six Indian (Darwinbox, Keka, greytHR, Zoho Recruit, PeopleStrong, Turbohire) and five global (Workday Recruiting, BambooHR, Greenhouse, Lever, SmartRecruiters) ATS/HRMS providers, drawn from each provider's public product/help/pricing pages (Sep 2026), plus the resulting six USPs; renumbered the former Section 8 (Road Ahead) to Section 9 and updated its cross-references</w:t>
            </w:r>
          </w:p>
        </w:tc>
        <w:tc>
          <w:tcPr>
            <w:tcW w:type="dxa" w:w="13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9"/>
                <w:szCs w:val="19"/>
              </w:rPr>
              <w:t xml:space="preserve">Pending</w:t>
            </w:r>
          </w:p>
        </w:tc>
      </w:tr>
    </w:tbl>
    <w:p>
      <w:pPr>
        <w:spacing w:after="160"/>
      </w:pPr>
    </w:p>
    <w:p>
      <w:pPr>
        <w:pStyle w:val="Heading1"/>
        <w:spacing w:after="140" w:before="320"/>
      </w:pPr>
      <w:bookmarkStart w:name="bm_27_client_sign_off" w:id="1027"/>
      <w:r>
        <w:rPr>
          <w:rFonts w:ascii="Calibri" w:cs="Calibri" w:eastAsia="Calibri" w:hAnsi="Calibri"/>
          <w:b/>
          <w:bCs/>
          <w:color w:val="D34817"/>
          <w:sz w:val="30"/>
          <w:szCs w:val="30"/>
        </w:rPr>
        <w:t xml:space="preserve">Client Sign Off</w:t>
      </w:r>
      <w:bookmarkEnd w:id="1027"/>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600"/>
        <w:gridCol w:w="2200"/>
        <w:gridCol w:w="2000"/>
        <w:gridCol w:w="2600"/>
      </w:tblGrid>
      <w:tr>
        <w:trPr>
          <w:tblHeader/>
        </w:trPr>
        <w:tc>
          <w:tcPr>
            <w:tcW w:type="dxa" w:w="2600"/>
            <w:tcBorders>
              <w:top w:val="single" w:color="CCCCCC" w:sz="2"/>
              <w:left w:val="single" w:color="CCCCCC" w:sz="2"/>
              <w:bottom w:val="single" w:color="CCCCCC" w:sz="2"/>
              <w:right w:val="single" w:color="CCCCCC" w:sz="2"/>
            </w:tcBorders>
            <w:shd w:fill="F2F2F2" w:color="auto" w:val="clear"/>
            <w:tcMar>
              <w:top w:type="dxa" w:w="80"/>
              <w:left w:type="dxa" w:w="100"/>
              <w:bottom w:type="dxa" w:w="80"/>
              <w:right w:type="dxa" w:w="100"/>
            </w:tcMar>
          </w:tcPr>
          <w:p>
            <w:r>
              <w:rPr>
                <w:rFonts w:ascii="Calibri" w:cs="Calibri" w:eastAsia="Calibri" w:hAnsi="Calibri"/>
                <w:b/>
                <w:bCs/>
                <w:color w:val="000000"/>
                <w:sz w:val="19"/>
                <w:szCs w:val="19"/>
              </w:rPr>
              <w:t xml:space="preserve">Stakeholder Name</w:t>
            </w:r>
          </w:p>
        </w:tc>
        <w:tc>
          <w:tcPr>
            <w:tcW w:type="dxa" w:w="2200"/>
            <w:tcBorders>
              <w:top w:val="single" w:color="CCCCCC" w:sz="2"/>
              <w:left w:val="single" w:color="CCCCCC" w:sz="2"/>
              <w:bottom w:val="single" w:color="CCCCCC" w:sz="2"/>
              <w:right w:val="single" w:color="CCCCCC" w:sz="2"/>
            </w:tcBorders>
            <w:shd w:fill="F2F2F2" w:color="auto" w:val="clear"/>
            <w:tcMar>
              <w:top w:type="dxa" w:w="80"/>
              <w:left w:type="dxa" w:w="100"/>
              <w:bottom w:type="dxa" w:w="80"/>
              <w:right w:type="dxa" w:w="100"/>
            </w:tcMar>
          </w:tcPr>
          <w:p>
            <w:r>
              <w:rPr>
                <w:rFonts w:ascii="Calibri" w:cs="Calibri" w:eastAsia="Calibri" w:hAnsi="Calibri"/>
                <w:b/>
                <w:bCs/>
                <w:color w:val="000000"/>
                <w:sz w:val="19"/>
                <w:szCs w:val="19"/>
              </w:rPr>
              <w:t xml:space="preserve">Role</w:t>
            </w:r>
          </w:p>
        </w:tc>
        <w:tc>
          <w:tcPr>
            <w:tcW w:type="dxa" w:w="2000"/>
            <w:tcBorders>
              <w:top w:val="single" w:color="CCCCCC" w:sz="2"/>
              <w:left w:val="single" w:color="CCCCCC" w:sz="2"/>
              <w:bottom w:val="single" w:color="CCCCCC" w:sz="2"/>
              <w:right w:val="single" w:color="CCCCCC" w:sz="2"/>
            </w:tcBorders>
            <w:shd w:fill="F2F2F2" w:color="auto" w:val="clear"/>
            <w:tcMar>
              <w:top w:type="dxa" w:w="80"/>
              <w:left w:type="dxa" w:w="100"/>
              <w:bottom w:type="dxa" w:w="80"/>
              <w:right w:type="dxa" w:w="100"/>
            </w:tcMar>
          </w:tcPr>
          <w:p>
            <w:r>
              <w:rPr>
                <w:rFonts w:ascii="Calibri" w:cs="Calibri" w:eastAsia="Calibri" w:hAnsi="Calibri"/>
                <w:b/>
                <w:bCs/>
                <w:color w:val="000000"/>
                <w:sz w:val="19"/>
                <w:szCs w:val="19"/>
              </w:rPr>
              <w:t xml:space="preserve">Sign Off Date</w:t>
            </w:r>
          </w:p>
        </w:tc>
        <w:tc>
          <w:tcPr>
            <w:tcW w:type="dxa" w:w="2600"/>
            <w:tcBorders>
              <w:top w:val="single" w:color="CCCCCC" w:sz="2"/>
              <w:left w:val="single" w:color="CCCCCC" w:sz="2"/>
              <w:bottom w:val="single" w:color="CCCCCC" w:sz="2"/>
              <w:right w:val="single" w:color="CCCCCC" w:sz="2"/>
            </w:tcBorders>
            <w:shd w:fill="F2F2F2" w:color="auto" w:val="clear"/>
            <w:tcMar>
              <w:top w:type="dxa" w:w="80"/>
              <w:left w:type="dxa" w:w="100"/>
              <w:bottom w:type="dxa" w:w="80"/>
              <w:right w:type="dxa" w:w="100"/>
            </w:tcMar>
          </w:tcPr>
          <w:p>
            <w:r>
              <w:rPr>
                <w:rFonts w:ascii="Calibri" w:cs="Calibri" w:eastAsia="Calibri" w:hAnsi="Calibri"/>
                <w:b/>
                <w:bCs/>
                <w:color w:val="000000"/>
                <w:sz w:val="19"/>
                <w:szCs w:val="19"/>
              </w:rPr>
              <w:t xml:space="preserve">Communication</w:t>
            </w:r>
          </w:p>
        </w:tc>
      </w:tr>
      <w:tr>
        <w:tc>
          <w:tcPr>
            <w:tcW w:type="dxa" w:w="26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9"/>
                <w:szCs w:val="19"/>
              </w:rPr>
              <w:t xml:space="preserve"/>
            </w:r>
          </w:p>
        </w:tc>
        <w:tc>
          <w:tcPr>
            <w:tcW w:type="dxa" w:w="22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9"/>
                <w:szCs w:val="19"/>
              </w:rPr>
              <w:t xml:space="preserve"/>
            </w:r>
          </w:p>
        </w:tc>
        <w:tc>
          <w:tcPr>
            <w:tcW w:type="dxa" w:w="20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9"/>
                <w:szCs w:val="19"/>
              </w:rPr>
              <w:t xml:space="preserve"/>
            </w:r>
          </w:p>
        </w:tc>
        <w:tc>
          <w:tcPr>
            <w:tcW w:type="dxa" w:w="26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9"/>
                <w:szCs w:val="19"/>
              </w:rPr>
              <w:t xml:space="preserve"/>
            </w:r>
          </w:p>
        </w:tc>
      </w:tr>
      <w:tr>
        <w:tc>
          <w:tcPr>
            <w:tcW w:type="dxa" w:w="26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9"/>
                <w:szCs w:val="19"/>
              </w:rPr>
              <w:t xml:space="preserve"/>
            </w:r>
          </w:p>
        </w:tc>
        <w:tc>
          <w:tcPr>
            <w:tcW w:type="dxa" w:w="22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9"/>
                <w:szCs w:val="19"/>
              </w:rPr>
              <w:t xml:space="preserve"/>
            </w:r>
          </w:p>
        </w:tc>
        <w:tc>
          <w:tcPr>
            <w:tcW w:type="dxa" w:w="20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9"/>
                <w:szCs w:val="19"/>
              </w:rPr>
              <w:t xml:space="preserve"/>
            </w:r>
          </w:p>
        </w:tc>
        <w:tc>
          <w:tcPr>
            <w:tcW w:type="dxa" w:w="26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9"/>
                <w:szCs w:val="19"/>
              </w:rPr>
              <w:t xml:space="preserve"/>
            </w:r>
          </w:p>
        </w:tc>
      </w:tr>
    </w:tbl>
    <w:p>
      <w:pPr>
        <w:spacing w:after="220"/>
      </w:pPr>
    </w:p>
    <w:p>
      <w:pPr>
        <w:spacing w:after="100" w:before="120"/>
      </w:pPr>
      <w:r>
        <w:rPr>
          <w:rFonts w:ascii="Calibri" w:cs="Calibri" w:eastAsia="Calibri" w:hAnsi="Calibri"/>
          <w:b/>
          <w:bCs/>
          <w:color w:val="9B2D1F"/>
          <w:sz w:val="24"/>
          <w:szCs w:val="24"/>
        </w:rPr>
        <w:t xml:space="preserve">Confidentiality Agreement</w:t>
      </w:r>
    </w:p>
    <w:p>
      <w:pPr>
        <w:spacing w:after="160" w:line="300"/>
        <w:jc w:val="both"/>
      </w:pPr>
      <w:r>
        <w:rPr>
          <w:rFonts w:ascii="Calibri" w:cs="Calibri" w:eastAsia="Calibri" w:hAnsi="Calibri"/>
          <w:color w:val="1A1A1A"/>
          <w:sz w:val="22"/>
          <w:szCs w:val="22"/>
        </w:rPr>
        <w:t xml:space="preserve">This document is copyrighted, and all rights are reserved. This document may not, in whole or in part, be copied, photocopied, reproduced, translated, or reduced to any electronic medium or machine-readable form without prior consent, in writing. This document is for internal use only and may, in whole or in part, be provided to anyone outside of the Company, including customers, clients, or prospects after taking an approval from an authorized representative.</w:t>
      </w:r>
    </w:p>
    <w:p>
      <w:r>
        <w:br w:type="page"/>
      </w:r>
    </w:p>
    <w:p>
      <w:pPr>
        <w:pStyle w:val="Heading1"/>
        <w:spacing w:after="140" w:before="320"/>
      </w:pPr>
      <w:bookmarkStart w:name="bm_23_table_of_contents" w:id="1023"/>
      <w:r>
        <w:rPr>
          <w:rFonts w:ascii="Calibri" w:cs="Calibri" w:eastAsia="Calibri" w:hAnsi="Calibri"/>
          <w:b/>
          <w:bCs/>
          <w:color w:val="D34817"/>
          <w:sz w:val="30"/>
          <w:szCs w:val="30"/>
        </w:rPr>
        <w:t xml:space="preserve">Table of Contents</w:t>
      </w:r>
      <w:bookmarkEnd w:id="1023"/>
    </w:p>
    <w:p>
      <w:pPr>
        <w:spacing w:after="120"/>
      </w:pPr>
    </w:p>
    <w:p>
      <w:pPr>
        <w:tabs>
          <w:tab w:val="right" w:pos="9350" w:leader="dot"/>
        </w:tabs>
        <w:spacing w:after="60" w:line="240"/>
      </w:pPr>
      <w:r>
        <w:rPr>
          <w:rFonts w:ascii="Calibri" w:cs="Calibri" w:eastAsia="Calibri" w:hAnsi="Calibri"/>
          <w:b/>
          <w:bCs/>
          <w:color w:val="000000"/>
          <w:sz w:val="21"/>
          <w:szCs w:val="21"/>
        </w:rPr>
        <w:t xml:space="preserve">1. Introduction</w:t>
      </w:r>
      <w:r>
        <w:rPr>
          <w:rFonts w:ascii="Calibri" w:cs="Calibri" w:eastAsia="Calibri" w:hAnsi="Calibri"/>
          <w:sz w:val="19"/>
          <w:szCs w:val="19"/>
        </w:rPr>
        <w:t xml:space="preserve">	</w:t>
      </w:r>
      <w:r>
        <w:fldChar w:fldCharType="begin" w:dirty="true"/>
        <w:instrText xml:space="preserve">PAGEREF bm_0_1_introduction</w:instrText>
        <w:fldChar w:fldCharType="end"/>
      </w:r>
    </w:p>
    <w:p>
      <w:pPr>
        <w:tabs>
          <w:tab w:val="right" w:pos="9350" w:leader="dot"/>
        </w:tabs>
        <w:spacing w:after="30" w:line="240"/>
        <w:ind w:left="360"/>
      </w:pPr>
      <w:r>
        <w:rPr>
          <w:rFonts w:ascii="Calibri" w:cs="Calibri" w:eastAsia="Calibri" w:hAnsi="Calibri"/>
          <w:b w:val="false"/>
          <w:bCs w:val="false"/>
          <w:color w:val="333333"/>
          <w:sz w:val="19"/>
          <w:szCs w:val="19"/>
        </w:rPr>
        <w:t xml:space="preserve">1.1 Overview</w:t>
      </w:r>
      <w:r>
        <w:rPr>
          <w:rFonts w:ascii="Calibri" w:cs="Calibri" w:eastAsia="Calibri" w:hAnsi="Calibri"/>
          <w:sz w:val="19"/>
          <w:szCs w:val="19"/>
        </w:rPr>
        <w:t xml:space="preserve">	</w:t>
      </w:r>
      <w:r>
        <w:fldChar w:fldCharType="begin" w:dirty="true"/>
        <w:instrText xml:space="preserve">PAGEREF bm_1_1_1_overview</w:instrText>
        <w:fldChar w:fldCharType="end"/>
      </w:r>
    </w:p>
    <w:p>
      <w:pPr>
        <w:tabs>
          <w:tab w:val="right" w:pos="9350" w:leader="dot"/>
        </w:tabs>
        <w:spacing w:after="30" w:line="240"/>
        <w:ind w:left="360"/>
      </w:pPr>
      <w:r>
        <w:rPr>
          <w:rFonts w:ascii="Calibri" w:cs="Calibri" w:eastAsia="Calibri" w:hAnsi="Calibri"/>
          <w:b w:val="false"/>
          <w:bCs w:val="false"/>
          <w:color w:val="333333"/>
          <w:sz w:val="19"/>
          <w:szCs w:val="19"/>
        </w:rPr>
        <w:t xml:space="preserve">1.2 Purpose</w:t>
      </w:r>
      <w:r>
        <w:rPr>
          <w:rFonts w:ascii="Calibri" w:cs="Calibri" w:eastAsia="Calibri" w:hAnsi="Calibri"/>
          <w:sz w:val="19"/>
          <w:szCs w:val="19"/>
        </w:rPr>
        <w:t xml:space="preserve">	</w:t>
      </w:r>
      <w:r>
        <w:fldChar w:fldCharType="begin" w:dirty="true"/>
        <w:instrText xml:space="preserve">PAGEREF bm_2_1_2_purpose</w:instrText>
        <w:fldChar w:fldCharType="end"/>
      </w:r>
    </w:p>
    <w:p>
      <w:pPr>
        <w:tabs>
          <w:tab w:val="right" w:pos="9350" w:leader="dot"/>
        </w:tabs>
        <w:spacing w:after="30" w:line="240"/>
        <w:ind w:left="360"/>
      </w:pPr>
      <w:r>
        <w:rPr>
          <w:rFonts w:ascii="Calibri" w:cs="Calibri" w:eastAsia="Calibri" w:hAnsi="Calibri"/>
          <w:b w:val="false"/>
          <w:bCs w:val="false"/>
          <w:color w:val="333333"/>
          <w:sz w:val="19"/>
          <w:szCs w:val="19"/>
        </w:rPr>
        <w:t xml:space="preserve">1.3 Scope</w:t>
      </w:r>
      <w:r>
        <w:rPr>
          <w:rFonts w:ascii="Calibri" w:cs="Calibri" w:eastAsia="Calibri" w:hAnsi="Calibri"/>
          <w:sz w:val="19"/>
          <w:szCs w:val="19"/>
        </w:rPr>
        <w:t xml:space="preserve">	</w:t>
      </w:r>
      <w:r>
        <w:fldChar w:fldCharType="begin" w:dirty="true"/>
        <w:instrText xml:space="preserve">PAGEREF bm_3_1_3_scope</w:instrText>
        <w:fldChar w:fldCharType="end"/>
      </w:r>
    </w:p>
    <w:p>
      <w:pPr>
        <w:tabs>
          <w:tab w:val="right" w:pos="9350" w:leader="dot"/>
        </w:tabs>
        <w:spacing w:after="30" w:line="240"/>
        <w:ind w:left="360"/>
      </w:pPr>
      <w:r>
        <w:rPr>
          <w:rFonts w:ascii="Calibri" w:cs="Calibri" w:eastAsia="Calibri" w:hAnsi="Calibri"/>
          <w:b w:val="false"/>
          <w:bCs w:val="false"/>
          <w:color w:val="333333"/>
          <w:sz w:val="19"/>
          <w:szCs w:val="19"/>
        </w:rPr>
        <w:t xml:space="preserve">1.4 References</w:t>
      </w:r>
      <w:r>
        <w:rPr>
          <w:rFonts w:ascii="Calibri" w:cs="Calibri" w:eastAsia="Calibri" w:hAnsi="Calibri"/>
          <w:sz w:val="19"/>
          <w:szCs w:val="19"/>
        </w:rPr>
        <w:t xml:space="preserve">	</w:t>
      </w:r>
      <w:r>
        <w:fldChar w:fldCharType="begin" w:dirty="true"/>
        <w:instrText xml:space="preserve">PAGEREF bm_4_1_4_references</w:instrText>
        <w:fldChar w:fldCharType="end"/>
      </w:r>
    </w:p>
    <w:p>
      <w:pPr>
        <w:tabs>
          <w:tab w:val="right" w:pos="9350" w:leader="dot"/>
        </w:tabs>
        <w:spacing w:after="30" w:line="240"/>
        <w:ind w:left="360"/>
      </w:pPr>
      <w:r>
        <w:rPr>
          <w:rFonts w:ascii="Calibri" w:cs="Calibri" w:eastAsia="Calibri" w:hAnsi="Calibri"/>
          <w:b w:val="false"/>
          <w:bCs w:val="false"/>
          <w:color w:val="333333"/>
          <w:sz w:val="19"/>
          <w:szCs w:val="19"/>
        </w:rPr>
        <w:t xml:space="preserve">1.5 Abbreviations</w:t>
      </w:r>
      <w:r>
        <w:rPr>
          <w:rFonts w:ascii="Calibri" w:cs="Calibri" w:eastAsia="Calibri" w:hAnsi="Calibri"/>
          <w:sz w:val="19"/>
          <w:szCs w:val="19"/>
        </w:rPr>
        <w:t xml:space="preserve">	</w:t>
      </w:r>
      <w:r>
        <w:fldChar w:fldCharType="begin" w:dirty="true"/>
        <w:instrText xml:space="preserve">PAGEREF bm_5_1_5_abbreviations</w:instrText>
        <w:fldChar w:fldCharType="end"/>
      </w:r>
    </w:p>
    <w:p>
      <w:pPr>
        <w:tabs>
          <w:tab w:val="right" w:pos="9350" w:leader="dot"/>
        </w:tabs>
        <w:spacing w:after="60" w:line="240"/>
      </w:pPr>
      <w:r>
        <w:rPr>
          <w:rFonts w:ascii="Calibri" w:cs="Calibri" w:eastAsia="Calibri" w:hAnsi="Calibri"/>
          <w:b/>
          <w:bCs/>
          <w:color w:val="000000"/>
          <w:sz w:val="21"/>
          <w:szCs w:val="21"/>
        </w:rPr>
        <w:t xml:space="preserve">2. Overall Description / Background</w:t>
      </w:r>
      <w:r>
        <w:rPr>
          <w:rFonts w:ascii="Calibri" w:cs="Calibri" w:eastAsia="Calibri" w:hAnsi="Calibri"/>
          <w:sz w:val="19"/>
          <w:szCs w:val="19"/>
        </w:rPr>
        <w:t xml:space="preserve">	</w:t>
      </w:r>
      <w:r>
        <w:fldChar w:fldCharType="begin" w:dirty="true"/>
        <w:instrText xml:space="preserve">PAGEREF bm_6_2_overall_description_backgrou</w:instrText>
        <w:fldChar w:fldCharType="end"/>
      </w:r>
    </w:p>
    <w:p>
      <w:pPr>
        <w:tabs>
          <w:tab w:val="right" w:pos="9350" w:leader="dot"/>
        </w:tabs>
        <w:spacing w:after="30" w:line="240"/>
        <w:ind w:left="360"/>
      </w:pPr>
      <w:r>
        <w:rPr>
          <w:rFonts w:ascii="Calibri" w:cs="Calibri" w:eastAsia="Calibri" w:hAnsi="Calibri"/>
          <w:b w:val="false"/>
          <w:bCs w:val="false"/>
          <w:color w:val="333333"/>
          <w:sz w:val="19"/>
          <w:szCs w:val="19"/>
        </w:rPr>
        <w:t xml:space="preserve">2.1 Background &amp; Problem Statement</w:t>
      </w:r>
      <w:r>
        <w:rPr>
          <w:rFonts w:ascii="Calibri" w:cs="Calibri" w:eastAsia="Calibri" w:hAnsi="Calibri"/>
          <w:sz w:val="19"/>
          <w:szCs w:val="19"/>
        </w:rPr>
        <w:t xml:space="preserve">	</w:t>
      </w:r>
      <w:r>
        <w:fldChar w:fldCharType="begin" w:dirty="true"/>
        <w:instrText xml:space="preserve">PAGEREF bm_7_2_1_background_problem_stateme</w:instrText>
        <w:fldChar w:fldCharType="end"/>
      </w:r>
    </w:p>
    <w:p>
      <w:pPr>
        <w:tabs>
          <w:tab w:val="right" w:pos="9350" w:leader="dot"/>
        </w:tabs>
        <w:spacing w:after="30" w:line="240"/>
        <w:ind w:left="360"/>
      </w:pPr>
      <w:r>
        <w:rPr>
          <w:rFonts w:ascii="Calibri" w:cs="Calibri" w:eastAsia="Calibri" w:hAnsi="Calibri"/>
          <w:b w:val="false"/>
          <w:bCs w:val="false"/>
          <w:color w:val="333333"/>
          <w:sz w:val="19"/>
          <w:szCs w:val="19"/>
        </w:rPr>
        <w:t xml:space="preserve">2.2 Business Objectives</w:t>
      </w:r>
      <w:r>
        <w:rPr>
          <w:rFonts w:ascii="Calibri" w:cs="Calibri" w:eastAsia="Calibri" w:hAnsi="Calibri"/>
          <w:sz w:val="19"/>
          <w:szCs w:val="19"/>
        </w:rPr>
        <w:t xml:space="preserve">	</w:t>
      </w:r>
      <w:r>
        <w:fldChar w:fldCharType="begin" w:dirty="true"/>
        <w:instrText xml:space="preserve">PAGEREF bm_8_2_2_business_objectives</w:instrText>
        <w:fldChar w:fldCharType="end"/>
      </w:r>
    </w:p>
    <w:p>
      <w:pPr>
        <w:tabs>
          <w:tab w:val="right" w:pos="9350" w:leader="dot"/>
        </w:tabs>
        <w:spacing w:after="30" w:line="240"/>
        <w:ind w:left="360"/>
      </w:pPr>
      <w:r>
        <w:rPr>
          <w:rFonts w:ascii="Calibri" w:cs="Calibri" w:eastAsia="Calibri" w:hAnsi="Calibri"/>
          <w:b w:val="false"/>
          <w:bCs w:val="false"/>
          <w:color w:val="333333"/>
          <w:sz w:val="19"/>
          <w:szCs w:val="19"/>
        </w:rPr>
        <w:t xml:space="preserve">2.3 Target Market &amp; Personas</w:t>
      </w:r>
      <w:r>
        <w:rPr>
          <w:rFonts w:ascii="Calibri" w:cs="Calibri" w:eastAsia="Calibri" w:hAnsi="Calibri"/>
          <w:sz w:val="19"/>
          <w:szCs w:val="19"/>
        </w:rPr>
        <w:t xml:space="preserve">	</w:t>
      </w:r>
      <w:r>
        <w:fldChar w:fldCharType="begin" w:dirty="true"/>
        <w:instrText xml:space="preserve">PAGEREF bm_9_2_3_target_market_personas</w:instrText>
        <w:fldChar w:fldCharType="end"/>
      </w:r>
    </w:p>
    <w:p>
      <w:pPr>
        <w:tabs>
          <w:tab w:val="right" w:pos="9350" w:leader="dot"/>
        </w:tabs>
        <w:spacing w:after="60" w:line="240"/>
      </w:pPr>
      <w:r>
        <w:rPr>
          <w:rFonts w:ascii="Calibri" w:cs="Calibri" w:eastAsia="Calibri" w:hAnsi="Calibri"/>
          <w:b/>
          <w:bCs/>
          <w:color w:val="000000"/>
          <w:sz w:val="21"/>
          <w:szCs w:val="21"/>
        </w:rPr>
        <w:t xml:space="preserve">3. Proposed Solution — Overview</w:t>
      </w:r>
      <w:r>
        <w:rPr>
          <w:rFonts w:ascii="Calibri" w:cs="Calibri" w:eastAsia="Calibri" w:hAnsi="Calibri"/>
          <w:sz w:val="19"/>
          <w:szCs w:val="19"/>
        </w:rPr>
        <w:t xml:space="preserve">	</w:t>
      </w:r>
      <w:r>
        <w:fldChar w:fldCharType="begin" w:dirty="true"/>
        <w:instrText xml:space="preserve">PAGEREF bm_10_3_proposed_solution_overview</w:instrText>
        <w:fldChar w:fldCharType="end"/>
      </w:r>
    </w:p>
    <w:p>
      <w:pPr>
        <w:tabs>
          <w:tab w:val="right" w:pos="9350" w:leader="dot"/>
        </w:tabs>
        <w:spacing w:after="60" w:line="240"/>
      </w:pPr>
      <w:r>
        <w:rPr>
          <w:rFonts w:ascii="Calibri" w:cs="Calibri" w:eastAsia="Calibri" w:hAnsi="Calibri"/>
          <w:b/>
          <w:bCs/>
          <w:color w:val="000000"/>
          <w:sz w:val="21"/>
          <w:szCs w:val="21"/>
        </w:rPr>
        <w:t xml:space="preserve">4. Specific Requirements</w:t>
      </w:r>
      <w:r>
        <w:rPr>
          <w:rFonts w:ascii="Calibri" w:cs="Calibri" w:eastAsia="Calibri" w:hAnsi="Calibri"/>
          <w:sz w:val="19"/>
          <w:szCs w:val="19"/>
        </w:rPr>
        <w:t xml:space="preserve">	</w:t>
      </w:r>
      <w:r>
        <w:fldChar w:fldCharType="begin" w:dirty="true"/>
        <w:instrText xml:space="preserve">PAGEREF bm_11_4_specific_requirements</w:instrText>
        <w:fldChar w:fldCharType="end"/>
      </w:r>
    </w:p>
    <w:p>
      <w:pPr>
        <w:tabs>
          <w:tab w:val="right" w:pos="9350" w:leader="dot"/>
        </w:tabs>
        <w:spacing w:after="30" w:line="240"/>
        <w:ind w:left="360"/>
      </w:pPr>
      <w:r>
        <w:rPr>
          <w:rFonts w:ascii="Calibri" w:cs="Calibri" w:eastAsia="Calibri" w:hAnsi="Calibri"/>
          <w:b w:val="false"/>
          <w:bCs w:val="false"/>
          <w:color w:val="333333"/>
          <w:sz w:val="19"/>
          <w:szCs w:val="19"/>
        </w:rPr>
        <w:t xml:space="preserve">4.1 Module 1 — Job Description (JD) Intake &amp; Freezing  —  Status: Draft v2.1, pending Reviewed/Approved sign-off (supersedes v1.0)</w:t>
      </w:r>
      <w:r>
        <w:rPr>
          <w:rFonts w:ascii="Calibri" w:cs="Calibri" w:eastAsia="Calibri" w:hAnsi="Calibri"/>
          <w:sz w:val="19"/>
          <w:szCs w:val="19"/>
        </w:rPr>
        <w:t xml:space="preserve">	</w:t>
      </w:r>
      <w:r>
        <w:fldChar w:fldCharType="begin" w:dirty="true"/>
        <w:instrText xml:space="preserve">PAGEREF bm_12_4_1_module_1_job_description_j</w:instrText>
        <w:fldChar w:fldCharType="end"/>
      </w:r>
    </w:p>
    <w:p>
      <w:pPr>
        <w:tabs>
          <w:tab w:val="right" w:pos="9350" w:leader="dot"/>
        </w:tabs>
        <w:spacing w:after="30" w:line="240"/>
        <w:ind w:left="360"/>
      </w:pPr>
      <w:r>
        <w:rPr>
          <w:rFonts w:ascii="Calibri" w:cs="Calibri" w:eastAsia="Calibri" w:hAnsi="Calibri"/>
          <w:b w:val="false"/>
          <w:bCs w:val="false"/>
          <w:color w:val="333333"/>
          <w:sz w:val="19"/>
          <w:szCs w:val="19"/>
        </w:rPr>
        <w:t xml:space="preserve">4.2 Module 2 — Candidate Sourcing &amp; Resume Aggregation  —  Status: Draft v2.1, pending Reviewed/Approved sign-off (supersedes v1.0)</w:t>
      </w:r>
      <w:r>
        <w:rPr>
          <w:rFonts w:ascii="Calibri" w:cs="Calibri" w:eastAsia="Calibri" w:hAnsi="Calibri"/>
          <w:sz w:val="19"/>
          <w:szCs w:val="19"/>
        </w:rPr>
        <w:t xml:space="preserve">	</w:t>
      </w:r>
      <w:r>
        <w:fldChar w:fldCharType="begin" w:dirty="true"/>
        <w:instrText xml:space="preserve">PAGEREF bm_13_4_2_module_2_candidate_sourcin</w:instrText>
        <w:fldChar w:fldCharType="end"/>
      </w:r>
    </w:p>
    <w:p>
      <w:pPr>
        <w:tabs>
          <w:tab w:val="right" w:pos="9350" w:leader="dot"/>
        </w:tabs>
        <w:spacing w:after="30" w:line="240"/>
        <w:ind w:left="360"/>
      </w:pPr>
      <w:r>
        <w:rPr>
          <w:rFonts w:ascii="Calibri" w:cs="Calibri" w:eastAsia="Calibri" w:hAnsi="Calibri"/>
          <w:b w:val="false"/>
          <w:bCs w:val="false"/>
          <w:color w:val="333333"/>
          <w:sz w:val="19"/>
          <w:szCs w:val="19"/>
        </w:rPr>
        <w:t xml:space="preserve">4.3 Modules 3–10 — Requirement-Level Scope (Draft, roadmap — not part of Release 1)</w:t>
      </w:r>
      <w:r>
        <w:rPr>
          <w:rFonts w:ascii="Calibri" w:cs="Calibri" w:eastAsia="Calibri" w:hAnsi="Calibri"/>
          <w:sz w:val="19"/>
          <w:szCs w:val="19"/>
        </w:rPr>
        <w:t xml:space="preserve">	</w:t>
      </w:r>
      <w:r>
        <w:fldChar w:fldCharType="begin" w:dirty="true"/>
        <w:instrText xml:space="preserve">PAGEREF bm_14_4_3_modules_3_10_requirement_l</w:instrText>
        <w:fldChar w:fldCharType="end"/>
      </w:r>
    </w:p>
    <w:p>
      <w:pPr>
        <w:tabs>
          <w:tab w:val="right" w:pos="9350" w:leader="dot"/>
        </w:tabs>
        <w:spacing w:after="60" w:line="240"/>
      </w:pPr>
      <w:r>
        <w:rPr>
          <w:rFonts w:ascii="Calibri" w:cs="Calibri" w:eastAsia="Calibri" w:hAnsi="Calibri"/>
          <w:b/>
          <w:bCs/>
          <w:color w:val="000000"/>
          <w:sz w:val="21"/>
          <w:szCs w:val="21"/>
        </w:rPr>
        <w:t xml:space="preserve">5. Acceptance Criteria</w:t>
      </w:r>
      <w:r>
        <w:rPr>
          <w:rFonts w:ascii="Calibri" w:cs="Calibri" w:eastAsia="Calibri" w:hAnsi="Calibri"/>
          <w:sz w:val="19"/>
          <w:szCs w:val="19"/>
        </w:rPr>
        <w:t xml:space="preserve">	</w:t>
      </w:r>
      <w:r>
        <w:fldChar w:fldCharType="begin" w:dirty="true"/>
        <w:instrText xml:space="preserve">PAGEREF bm_15_5_acceptance_criteria</w:instrText>
        <w:fldChar w:fldCharType="end"/>
      </w:r>
    </w:p>
    <w:p>
      <w:pPr>
        <w:tabs>
          <w:tab w:val="right" w:pos="9350" w:leader="dot"/>
        </w:tabs>
        <w:spacing w:after="60" w:line="240"/>
      </w:pPr>
      <w:r>
        <w:rPr>
          <w:rFonts w:ascii="Calibri" w:cs="Calibri" w:eastAsia="Calibri" w:hAnsi="Calibri"/>
          <w:b/>
          <w:bCs/>
          <w:color w:val="000000"/>
          <w:sz w:val="21"/>
          <w:szCs w:val="21"/>
        </w:rPr>
        <w:t xml:space="preserve">6. Dependencies from Stakeholder Side</w:t>
      </w:r>
      <w:r>
        <w:rPr>
          <w:rFonts w:ascii="Calibri" w:cs="Calibri" w:eastAsia="Calibri" w:hAnsi="Calibri"/>
          <w:sz w:val="19"/>
          <w:szCs w:val="19"/>
        </w:rPr>
        <w:t xml:space="preserve">	</w:t>
      </w:r>
      <w:r>
        <w:fldChar w:fldCharType="begin" w:dirty="true"/>
        <w:instrText xml:space="preserve">PAGEREF bm_16_6_dependencies_from_stakeholde</w:instrText>
        <w:fldChar w:fldCharType="end"/>
      </w:r>
    </w:p>
    <w:p>
      <w:pPr>
        <w:tabs>
          <w:tab w:val="right" w:pos="9350" w:leader="dot"/>
        </w:tabs>
        <w:spacing w:after="60" w:line="240"/>
      </w:pPr>
      <w:r>
        <w:rPr>
          <w:rFonts w:ascii="Calibri" w:cs="Calibri" w:eastAsia="Calibri" w:hAnsi="Calibri"/>
          <w:b/>
          <w:bCs/>
          <w:color w:val="000000"/>
          <w:sz w:val="21"/>
          <w:szCs w:val="21"/>
        </w:rPr>
        <w:t xml:space="preserve">7. Key Risks</w:t>
      </w:r>
      <w:r>
        <w:rPr>
          <w:rFonts w:ascii="Calibri" w:cs="Calibri" w:eastAsia="Calibri" w:hAnsi="Calibri"/>
          <w:sz w:val="19"/>
          <w:szCs w:val="19"/>
        </w:rPr>
        <w:t xml:space="preserve">	</w:t>
      </w:r>
      <w:r>
        <w:fldChar w:fldCharType="begin" w:dirty="true"/>
        <w:instrText xml:space="preserve">PAGEREF bm_17_7_key_risks</w:instrText>
        <w:fldChar w:fldCharType="end"/>
      </w:r>
    </w:p>
    <w:p>
      <w:pPr>
        <w:tabs>
          <w:tab w:val="right" w:pos="9350" w:leader="dot"/>
        </w:tabs>
        <w:spacing w:after="60" w:line="240"/>
      </w:pPr>
      <w:r>
        <w:rPr>
          <w:rFonts w:ascii="Calibri" w:cs="Calibri" w:eastAsia="Calibri" w:hAnsi="Calibri"/>
          <w:b/>
          <w:bCs/>
          <w:color w:val="000000"/>
          <w:sz w:val="21"/>
          <w:szCs w:val="21"/>
        </w:rPr>
        <w:t xml:space="preserve">8. Competitive Landscape &amp; USP Analysis</w:t>
      </w:r>
      <w:r>
        <w:rPr>
          <w:rFonts w:ascii="Calibri" w:cs="Calibri" w:eastAsia="Calibri" w:hAnsi="Calibri"/>
          <w:sz w:val="19"/>
          <w:szCs w:val="19"/>
        </w:rPr>
        <w:t xml:space="preserve">	</w:t>
      </w:r>
      <w:r>
        <w:fldChar w:fldCharType="begin" w:dirty="true"/>
        <w:instrText xml:space="preserve">PAGEREF bm_18_8_competitive_landscape_usp_an</w:instrText>
        <w:fldChar w:fldCharType="end"/>
      </w:r>
    </w:p>
    <w:p>
      <w:pPr>
        <w:tabs>
          <w:tab w:val="right" w:pos="9350" w:leader="dot"/>
        </w:tabs>
        <w:spacing w:after="30" w:line="240"/>
        <w:ind w:left="360"/>
      </w:pPr>
      <w:r>
        <w:rPr>
          <w:rFonts w:ascii="Calibri" w:cs="Calibri" w:eastAsia="Calibri" w:hAnsi="Calibri"/>
          <w:b w:val="false"/>
          <w:bCs w:val="false"/>
          <w:color w:val="333333"/>
          <w:sz w:val="19"/>
          <w:szCs w:val="19"/>
        </w:rPr>
        <w:t xml:space="preserve">8.1 Indian HRMS/ATS Providers</w:t>
      </w:r>
      <w:r>
        <w:rPr>
          <w:rFonts w:ascii="Calibri" w:cs="Calibri" w:eastAsia="Calibri" w:hAnsi="Calibri"/>
          <w:sz w:val="19"/>
          <w:szCs w:val="19"/>
        </w:rPr>
        <w:t xml:space="preserve">	</w:t>
      </w:r>
      <w:r>
        <w:fldChar w:fldCharType="begin" w:dirty="true"/>
        <w:instrText xml:space="preserve">PAGEREF bm_19_8_1_indian_hrms_ats_providers</w:instrText>
        <w:fldChar w:fldCharType="end"/>
      </w:r>
    </w:p>
    <w:p>
      <w:pPr>
        <w:tabs>
          <w:tab w:val="right" w:pos="9350" w:leader="dot"/>
        </w:tabs>
        <w:spacing w:after="30" w:line="240"/>
        <w:ind w:left="360"/>
      </w:pPr>
      <w:r>
        <w:rPr>
          <w:rFonts w:ascii="Calibri" w:cs="Calibri" w:eastAsia="Calibri" w:hAnsi="Calibri"/>
          <w:b w:val="false"/>
          <w:bCs w:val="false"/>
          <w:color w:val="333333"/>
          <w:sz w:val="19"/>
          <w:szCs w:val="19"/>
        </w:rPr>
        <w:t xml:space="preserve">8.2 Global ATS/HRMS Providers</w:t>
      </w:r>
      <w:r>
        <w:rPr>
          <w:rFonts w:ascii="Calibri" w:cs="Calibri" w:eastAsia="Calibri" w:hAnsi="Calibri"/>
          <w:sz w:val="19"/>
          <w:szCs w:val="19"/>
        </w:rPr>
        <w:t xml:space="preserve">	</w:t>
      </w:r>
      <w:r>
        <w:fldChar w:fldCharType="begin" w:dirty="true"/>
        <w:instrText xml:space="preserve">PAGEREF bm_20_8_2_global_ats_hrms_providers</w:instrText>
        <w:fldChar w:fldCharType="end"/>
      </w:r>
    </w:p>
    <w:p>
      <w:pPr>
        <w:tabs>
          <w:tab w:val="right" w:pos="9350" w:leader="dot"/>
        </w:tabs>
        <w:spacing w:after="30" w:line="240"/>
        <w:ind w:left="360"/>
      </w:pPr>
      <w:r>
        <w:rPr>
          <w:rFonts w:ascii="Calibri" w:cs="Calibri" w:eastAsia="Calibri" w:hAnsi="Calibri"/>
          <w:b w:val="false"/>
          <w:bCs w:val="false"/>
          <w:color w:val="333333"/>
          <w:sz w:val="19"/>
          <w:szCs w:val="19"/>
        </w:rPr>
        <w:t xml:space="preserve">8.3 Resulting USPs for Phoneme HR Suite</w:t>
      </w:r>
      <w:r>
        <w:rPr>
          <w:rFonts w:ascii="Calibri" w:cs="Calibri" w:eastAsia="Calibri" w:hAnsi="Calibri"/>
          <w:sz w:val="19"/>
          <w:szCs w:val="19"/>
        </w:rPr>
        <w:t xml:space="preserve">	</w:t>
      </w:r>
      <w:r>
        <w:fldChar w:fldCharType="begin" w:dirty="true"/>
        <w:instrText xml:space="preserve">PAGEREF bm_21_8_3_resulting_usps_for_phoneme</w:instrText>
        <w:fldChar w:fldCharType="end"/>
      </w:r>
    </w:p>
    <w:p>
      <w:pPr>
        <w:tabs>
          <w:tab w:val="right" w:pos="9350" w:leader="dot"/>
        </w:tabs>
        <w:spacing w:after="60" w:line="240"/>
      </w:pPr>
      <w:r>
        <w:rPr>
          <w:rFonts w:ascii="Calibri" w:cs="Calibri" w:eastAsia="Calibri" w:hAnsi="Calibri"/>
          <w:b/>
          <w:bCs/>
          <w:color w:val="000000"/>
          <w:sz w:val="21"/>
          <w:szCs w:val="21"/>
        </w:rPr>
        <w:t xml:space="preserve">9. Road Ahead — SDLC Sequence</w:t>
      </w:r>
      <w:r>
        <w:rPr>
          <w:rFonts w:ascii="Calibri" w:cs="Calibri" w:eastAsia="Calibri" w:hAnsi="Calibri"/>
          <w:sz w:val="19"/>
          <w:szCs w:val="19"/>
        </w:rPr>
        <w:t xml:space="preserve">	</w:t>
      </w:r>
      <w:r>
        <w:fldChar w:fldCharType="begin" w:dirty="true"/>
        <w:instrText xml:space="preserve">PAGEREF bm_22_9_road_ahead_sdlc_sequence</w:instrText>
        <w:fldChar w:fldCharType="end"/>
      </w:r>
    </w:p>
    <w:p>
      <w:r>
        <w:br w:type="page"/>
      </w:r>
    </w:p>
    <w:p>
      <w:pPr>
        <w:pStyle w:val="Heading1"/>
        <w:spacing w:after="140" w:before="320"/>
      </w:pPr>
      <w:bookmarkStart w:name="bm_0_1_introduction" w:id="1000"/>
      <w:r>
        <w:rPr>
          <w:rFonts w:ascii="Calibri" w:cs="Calibri" w:eastAsia="Calibri" w:hAnsi="Calibri"/>
          <w:b/>
          <w:bCs/>
          <w:color w:val="D34817"/>
          <w:sz w:val="30"/>
          <w:szCs w:val="30"/>
        </w:rPr>
        <w:t xml:space="preserve">1. Introduction</w:t>
      </w:r>
      <w:bookmarkEnd w:id="1000"/>
    </w:p>
    <w:p>
      <w:pPr>
        <w:pStyle w:val="Heading2"/>
        <w:spacing w:after="100" w:before="220"/>
      </w:pPr>
      <w:bookmarkStart w:name="bm_1_1_1_overview" w:id="1001"/>
      <w:r>
        <w:rPr>
          <w:rFonts w:ascii="Calibri" w:cs="Calibri" w:eastAsia="Calibri" w:hAnsi="Calibri"/>
          <w:b/>
          <w:bCs/>
          <w:color w:val="404040"/>
          <w:sz w:val="24"/>
          <w:szCs w:val="24"/>
        </w:rPr>
        <w:t xml:space="preserve">1.1 Overview</w:t>
      </w:r>
      <w:bookmarkEnd w:id="1001"/>
    </w:p>
    <w:p>
      <w:pPr>
        <w:spacing w:after="160" w:line="300"/>
        <w:jc w:val="both"/>
      </w:pPr>
      <w:r>
        <w:rPr>
          <w:rFonts w:ascii="Calibri" w:cs="Calibri" w:eastAsia="Calibri" w:hAnsi="Calibri"/>
          <w:color w:val="1A1A1A"/>
          <w:sz w:val="22"/>
          <w:szCs w:val="22"/>
        </w:rPr>
        <w:t xml:space="preserve">Phoneme HR Suite is a B2B, multi-tenant SaaS HR module being scoped to automate the full talent lifecycle — from candidate search through onboarding completion — for companies with 50–2,000 employees and recruitment/staffing agencies, in India first. Today, HR and talent teams run this process across a disconnected set of spreadsheets, inboxes, and 2–3 unconnected point tools; Phoneme HR Suite replaces that patchwork with a single system of record covering ten connected process modules under one candidate record, one audit trail, and one set of role-based permissions per tenant company.</w:t>
      </w:r>
    </w:p>
    <w:p>
      <w:pPr>
        <w:pStyle w:val="Heading2"/>
        <w:spacing w:after="100" w:before="220"/>
      </w:pPr>
      <w:bookmarkStart w:name="bm_2_1_2_purpose" w:id="1002"/>
      <w:r>
        <w:rPr>
          <w:rFonts w:ascii="Calibri" w:cs="Calibri" w:eastAsia="Calibri" w:hAnsi="Calibri"/>
          <w:b/>
          <w:bCs/>
          <w:color w:val="404040"/>
          <w:sz w:val="24"/>
          <w:szCs w:val="24"/>
        </w:rPr>
        <w:t xml:space="preserve">1.2 Purpose</w:t>
      </w:r>
      <w:bookmarkEnd w:id="1002"/>
    </w:p>
    <w:p>
      <w:pPr>
        <w:spacing w:after="160" w:line="300"/>
        <w:jc w:val="both"/>
      </w:pPr>
      <w:r>
        <w:rPr>
          <w:rFonts w:ascii="Calibri" w:cs="Calibri" w:eastAsia="Calibri" w:hAnsi="Calibri"/>
          <w:color w:val="1A1A1A"/>
          <w:sz w:val="22"/>
          <w:szCs w:val="22"/>
        </w:rPr>
        <w:t xml:space="preserve">This is a living Business Requirements Document (BRD) and Product Requirements Document (PRD) — requirements only. It carries no pricing, commercial terms, or delivery-plan detail; those belong to the Technical Design documents and the consolidated Proposal that follow once every module's requirements are frozen (see Section 9). Each module's requirement set moves through a formal status lifecycle — Draft → Reviewed → Approved Baseline → (on later revision) Superseded — rather than a single informal "locked" label; a status of Approved Baseline is recorded only once an actual Reviewed-by/Approved-by name and date appear in this document's own Authorization table, never inferred from requirement detail alone. Two of the ten process modules — JD Intake &amp; Freezing, and Candidate Sourcing &amp; Resume Aggregation — carry Draft v2.1 requirement detail in Section 4, build-ready in content but pending that formal review/approval step; the remaining eight are scoped at requirement level (Draft) and will follow the same path in sequence.</w:t>
      </w:r>
    </w:p>
    <w:p>
      <w:pPr>
        <w:pStyle w:val="Heading2"/>
        <w:spacing w:after="100" w:before="220"/>
      </w:pPr>
      <w:bookmarkStart w:name="bm_3_1_3_scope" w:id="1003"/>
      <w:r>
        <w:rPr>
          <w:rFonts w:ascii="Calibri" w:cs="Calibri" w:eastAsia="Calibri" w:hAnsi="Calibri"/>
          <w:b/>
          <w:bCs/>
          <w:color w:val="404040"/>
          <w:sz w:val="24"/>
          <w:szCs w:val="24"/>
        </w:rPr>
        <w:t xml:space="preserve">1.3 Scope</w:t>
      </w:r>
      <w:bookmarkEnd w:id="1003"/>
    </w:p>
    <w:p>
      <w:pPr>
        <w:spacing w:after="160" w:line="300"/>
        <w:jc w:val="both"/>
      </w:pPr>
      <w:r>
        <w:rPr>
          <w:rFonts w:ascii="Calibri" w:cs="Calibri" w:eastAsia="Calibri" w:hAnsi="Calibri"/>
          <w:color w:val="1A1A1A"/>
          <w:sz w:val="22"/>
          <w:szCs w:val="22"/>
        </w:rPr>
        <w:t xml:space="preserve">Release 1 boundary: the build-ready scope of this document, and of the companion Technical Design Document, is Module 1 (JD Intake &amp; Freezing) and Module 2 (Sourcing &amp; Resume Aggregation) only. Modules 3–10 remain requirement-level roadmap content (Section 4.3) and are explicitly out of scope for Release 1 build work — they are not implied to ship alongside Modules 1–2. Release 1 also includes, as an in-scope (not deferred) requirement, the staffing-agency / multi-client tenant model: a tenant may operate as a direct employer or as a staffing agency managing requisitions and candidates on behalf of multiple end-client companies, and this distinction is reflected throughout the Module 1 and Module 2 requirements below.</w:t>
      </w:r>
    </w:p>
    <w:p>
      <w:pPr>
        <w:spacing w:after="160" w:line="300"/>
        <w:jc w:val="both"/>
      </w:pPr>
      <w:r>
        <w:rPr>
          <w:rFonts w:ascii="Calibri" w:cs="Calibri" w:eastAsia="Calibri" w:hAnsi="Calibri"/>
          <w:color w:val="1A1A1A"/>
          <w:sz w:val="22"/>
          <w:szCs w:val="22"/>
        </w:rPr>
        <w:t xml:space="preserve">In scope for requirements across the full ten-module roadmap: JD intake and freezing (AI-generated variants, auto-generated weighted scoring matrix), multi-channel candidate sourcing, automated screening and scoring, candidate pre-interview data capture, multi-round interview management, selection and background verification, offer management with KRA/KPI generation and e-signature, onboarding, and the downstream payroll and appraisal modules the hiring record feeds into. Explicitly out of scope for this document: architecture/API design (Technical Design stage), pricing and commercial terms (Proposal stage), and project timeline/resourcing (Project Management stage).</w:t>
      </w:r>
    </w:p>
    <w:p>
      <w:pPr>
        <w:pStyle w:val="Heading2"/>
        <w:spacing w:after="100" w:before="220"/>
      </w:pPr>
      <w:bookmarkStart w:name="bm_4_1_4_references" w:id="1004"/>
      <w:r>
        <w:rPr>
          <w:rFonts w:ascii="Calibri" w:cs="Calibri" w:eastAsia="Calibri" w:hAnsi="Calibri"/>
          <w:b/>
          <w:bCs/>
          <w:color w:val="404040"/>
          <w:sz w:val="24"/>
          <w:szCs w:val="24"/>
        </w:rPr>
        <w:t xml:space="preserve">1.4 References</w:t>
      </w:r>
      <w:bookmarkEnd w:id="1004"/>
    </w:p>
    <w:p>
      <w:pPr>
        <w:pStyle w:val="ListParagraph"/>
        <w:numPr>
          <w:ilvl w:val="0"/>
          <w:numId w:val="2"/>
        </w:numPr>
        <w:spacing w:after="80" w:line="280"/>
      </w:pPr>
      <w:r>
        <w:rPr>
          <w:rFonts w:ascii="Calibri" w:cs="Calibri" w:eastAsia="Calibri" w:hAnsi="Calibri"/>
          <w:color w:val="1A1A1A"/>
          <w:sz w:val="22"/>
          <w:szCs w:val="22"/>
        </w:rPr>
        <w:t xml:space="preserve">Digital Personal Data Protection Act, 2023 (India) — governs candidate and employee personal data handling throughout this product.</w:t>
      </w:r>
    </w:p>
    <w:p>
      <w:pPr>
        <w:pStyle w:val="ListParagraph"/>
        <w:numPr>
          <w:ilvl w:val="0"/>
          <w:numId w:val="2"/>
        </w:numPr>
        <w:spacing w:after="80" w:line="280"/>
      </w:pPr>
      <w:r>
        <w:rPr>
          <w:rFonts w:ascii="Calibri" w:cs="Calibri" w:eastAsia="Calibri" w:hAnsi="Calibri"/>
          <w:color w:val="1A1A1A"/>
          <w:sz w:val="22"/>
          <w:szCs w:val="22"/>
        </w:rPr>
        <w:t xml:space="preserve">Naukri RMS, LinkedIn Talent Solutions, and equivalent official job-board employer integrations — the sourcing-channel standard adopted in Section 4.2, pending vendor/product-tier confirmation (Section 6).</w:t>
      </w:r>
    </w:p>
    <w:p>
      <w:pPr>
        <w:pStyle w:val="ListParagraph"/>
        <w:numPr>
          <w:ilvl w:val="0"/>
          <w:numId w:val="2"/>
        </w:numPr>
        <w:spacing w:after="80" w:line="280"/>
      </w:pPr>
      <w:r>
        <w:rPr>
          <w:rFonts w:ascii="Calibri" w:cs="Calibri" w:eastAsia="Calibri" w:hAnsi="Calibri"/>
          <w:color w:val="1A1A1A"/>
          <w:sz w:val="22"/>
          <w:szCs w:val="22"/>
        </w:rPr>
        <w:t xml:space="preserve">India's RBI Account Aggregator framework and licensed income-verification providers (e.g. Perfios, HyperVerge) — the compliant alternative adopted for candidate income verification in the future Background Verification module.</w:t>
      </w:r>
    </w:p>
    <w:p>
      <w:pPr>
        <w:pStyle w:val="ListParagraph"/>
        <w:numPr>
          <w:ilvl w:val="0"/>
          <w:numId w:val="2"/>
        </w:numPr>
        <w:spacing w:after="80" w:line="280"/>
      </w:pPr>
      <w:r>
        <w:rPr>
          <w:rFonts w:ascii="Calibri" w:cs="Calibri" w:eastAsia="Calibri" w:hAnsi="Calibri"/>
          <w:color w:val="1A1A1A"/>
          <w:sz w:val="22"/>
          <w:szCs w:val="22"/>
        </w:rPr>
        <w:t xml:space="preserve">Industry benchmarking of current ATS/HRMS platforms (Darwinbox, Keka, Zoho Recruit, Zimyo, NeoRecruit, greytHR) — informing the differentiators noted throughout Section 4.</w:t>
      </w:r>
    </w:p>
    <w:p>
      <w:pPr>
        <w:pStyle w:val="Heading2"/>
        <w:spacing w:after="100" w:before="220"/>
      </w:pPr>
      <w:bookmarkStart w:name="bm_5_1_5_abbreviations" w:id="1005"/>
      <w:r>
        <w:rPr>
          <w:rFonts w:ascii="Calibri" w:cs="Calibri" w:eastAsia="Calibri" w:hAnsi="Calibri"/>
          <w:b/>
          <w:bCs/>
          <w:color w:val="404040"/>
          <w:sz w:val="24"/>
          <w:szCs w:val="24"/>
        </w:rPr>
        <w:t xml:space="preserve">1.5 Abbreviations</w:t>
      </w:r>
      <w:bookmarkEnd w:id="1005"/>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400"/>
        <w:gridCol w:w="7000"/>
      </w:tblGrid>
      <w:tr>
        <w:trPr>
          <w:tblHeader/>
        </w:trPr>
        <w:tc>
          <w:tcPr>
            <w:tcW w:type="dxa" w:w="2400"/>
            <w:tcBorders>
              <w:top w:val="single" w:color="CCCCCC" w:sz="2"/>
              <w:left w:val="single" w:color="CCCCCC" w:sz="2"/>
              <w:bottom w:val="single" w:color="CCCCCC" w:sz="2"/>
              <w:right w:val="single" w:color="CCCCCC" w:sz="2"/>
            </w:tcBorders>
            <w:shd w:fill="F2F2F2" w:color="auto" w:val="clear"/>
            <w:tcMar>
              <w:top w:type="dxa" w:w="80"/>
              <w:left w:type="dxa" w:w="100"/>
              <w:bottom w:type="dxa" w:w="80"/>
              <w:right w:type="dxa" w:w="100"/>
            </w:tcMar>
          </w:tcPr>
          <w:p>
            <w:r>
              <w:rPr>
                <w:rFonts w:ascii="Calibri" w:cs="Calibri" w:eastAsia="Calibri" w:hAnsi="Calibri"/>
                <w:b/>
                <w:bCs/>
                <w:color w:val="000000"/>
                <w:sz w:val="19"/>
                <w:szCs w:val="19"/>
              </w:rPr>
              <w:t xml:space="preserve">Term</w:t>
            </w:r>
          </w:p>
        </w:tc>
        <w:tc>
          <w:tcPr>
            <w:tcW w:type="dxa" w:w="7000"/>
            <w:tcBorders>
              <w:top w:val="single" w:color="CCCCCC" w:sz="2"/>
              <w:left w:val="single" w:color="CCCCCC" w:sz="2"/>
              <w:bottom w:val="single" w:color="CCCCCC" w:sz="2"/>
              <w:right w:val="single" w:color="CCCCCC" w:sz="2"/>
            </w:tcBorders>
            <w:shd w:fill="F2F2F2" w:color="auto" w:val="clear"/>
            <w:tcMar>
              <w:top w:type="dxa" w:w="80"/>
              <w:left w:type="dxa" w:w="100"/>
              <w:bottom w:type="dxa" w:w="80"/>
              <w:right w:type="dxa" w:w="100"/>
            </w:tcMar>
          </w:tcPr>
          <w:p>
            <w:r>
              <w:rPr>
                <w:rFonts w:ascii="Calibri" w:cs="Calibri" w:eastAsia="Calibri" w:hAnsi="Calibri"/>
                <w:b/>
                <w:bCs/>
                <w:color w:val="000000"/>
                <w:sz w:val="19"/>
                <w:szCs w:val="19"/>
              </w:rPr>
              <w:t xml:space="preserve">Meaning</w:t>
            </w:r>
          </w:p>
        </w:tc>
      </w:tr>
      <w:tr>
        <w:tc>
          <w:tcPr>
            <w:tcW w:type="dxa" w:w="24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9"/>
                <w:szCs w:val="19"/>
              </w:rPr>
              <w:t xml:space="preserve">ATS</w:t>
            </w:r>
          </w:p>
        </w:tc>
        <w:tc>
          <w:tcPr>
            <w:tcW w:type="dxa" w:w="70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9"/>
                <w:szCs w:val="19"/>
              </w:rPr>
              <w:t xml:space="preserve">Applicant Tracking System</w:t>
            </w:r>
          </w:p>
        </w:tc>
      </w:tr>
      <w:tr>
        <w:tc>
          <w:tcPr>
            <w:tcW w:type="dxa" w:w="24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9"/>
                <w:szCs w:val="19"/>
              </w:rPr>
              <w:t xml:space="preserve">BGV</w:t>
            </w:r>
          </w:p>
        </w:tc>
        <w:tc>
          <w:tcPr>
            <w:tcW w:type="dxa" w:w="70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9"/>
                <w:szCs w:val="19"/>
              </w:rPr>
              <w:t xml:space="preserve">Background Verification</w:t>
            </w:r>
          </w:p>
        </w:tc>
      </w:tr>
      <w:tr>
        <w:tc>
          <w:tcPr>
            <w:tcW w:type="dxa" w:w="24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9"/>
                <w:szCs w:val="19"/>
              </w:rPr>
              <w:t xml:space="preserve">JD</w:t>
            </w:r>
          </w:p>
        </w:tc>
        <w:tc>
          <w:tcPr>
            <w:tcW w:type="dxa" w:w="70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9"/>
                <w:szCs w:val="19"/>
              </w:rPr>
              <w:t xml:space="preserve">Job Description</w:t>
            </w:r>
          </w:p>
        </w:tc>
      </w:tr>
      <w:tr>
        <w:tc>
          <w:tcPr>
            <w:tcW w:type="dxa" w:w="24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9"/>
                <w:szCs w:val="19"/>
              </w:rPr>
              <w:t xml:space="preserve">KRA / KPI</w:t>
            </w:r>
          </w:p>
        </w:tc>
        <w:tc>
          <w:tcPr>
            <w:tcW w:type="dxa" w:w="70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9"/>
                <w:szCs w:val="19"/>
              </w:rPr>
              <w:t xml:space="preserve">Key Result Area / Key Performance Indicator</w:t>
            </w:r>
          </w:p>
        </w:tc>
      </w:tr>
      <w:tr>
        <w:tc>
          <w:tcPr>
            <w:tcW w:type="dxa" w:w="24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9"/>
                <w:szCs w:val="19"/>
              </w:rPr>
              <w:t xml:space="preserve">DPDP Act</w:t>
            </w:r>
          </w:p>
        </w:tc>
        <w:tc>
          <w:tcPr>
            <w:tcW w:type="dxa" w:w="70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9"/>
                <w:szCs w:val="19"/>
              </w:rPr>
              <w:t xml:space="preserve">Digital Personal Data Protection Act, 2023 (India)</w:t>
            </w:r>
          </w:p>
        </w:tc>
      </w:tr>
      <w:tr>
        <w:tc>
          <w:tcPr>
            <w:tcW w:type="dxa" w:w="24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9"/>
                <w:szCs w:val="19"/>
              </w:rPr>
              <w:t xml:space="preserve">SLA</w:t>
            </w:r>
          </w:p>
        </w:tc>
        <w:tc>
          <w:tcPr>
            <w:tcW w:type="dxa" w:w="70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9"/>
                <w:szCs w:val="19"/>
              </w:rPr>
              <w:t xml:space="preserve">Service Level Agreement</w:t>
            </w:r>
          </w:p>
        </w:tc>
      </w:tr>
      <w:tr>
        <w:tc>
          <w:tcPr>
            <w:tcW w:type="dxa" w:w="24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9"/>
                <w:szCs w:val="19"/>
              </w:rPr>
              <w:t xml:space="preserve">MVP</w:t>
            </w:r>
          </w:p>
        </w:tc>
        <w:tc>
          <w:tcPr>
            <w:tcW w:type="dxa" w:w="70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9"/>
                <w:szCs w:val="19"/>
              </w:rPr>
              <w:t xml:space="preserve">Minimum Viable Product</w:t>
            </w:r>
          </w:p>
        </w:tc>
      </w:tr>
      <w:tr>
        <w:tc>
          <w:tcPr>
            <w:tcW w:type="dxa" w:w="24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9"/>
                <w:szCs w:val="19"/>
              </w:rPr>
              <w:t xml:space="preserve">RMS</w:t>
            </w:r>
          </w:p>
        </w:tc>
        <w:tc>
          <w:tcPr>
            <w:tcW w:type="dxa" w:w="70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9"/>
                <w:szCs w:val="19"/>
              </w:rPr>
              <w:t xml:space="preserve">Recruiter Management System (job-board employer integration)</w:t>
            </w:r>
          </w:p>
        </w:tc>
      </w:tr>
      <w:tr>
        <w:tc>
          <w:tcPr>
            <w:tcW w:type="dxa" w:w="24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9"/>
                <w:szCs w:val="19"/>
              </w:rPr>
              <w:t xml:space="preserve">BRD / PRD</w:t>
            </w:r>
          </w:p>
        </w:tc>
        <w:tc>
          <w:tcPr>
            <w:tcW w:type="dxa" w:w="70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9"/>
                <w:szCs w:val="19"/>
              </w:rPr>
              <w:t xml:space="preserve">Business Requirements Document / Product Requirements Document</w:t>
            </w:r>
          </w:p>
        </w:tc>
      </w:tr>
    </w:tbl>
    <w:p>
      <w:pPr>
        <w:spacing w:after="200"/>
      </w:pPr>
    </w:p>
    <w:p>
      <w:pPr>
        <w:pStyle w:val="Heading1"/>
        <w:spacing w:after="140" w:before="320"/>
      </w:pPr>
      <w:bookmarkStart w:name="bm_6_2_overall_description_backgrou" w:id="1006"/>
      <w:r>
        <w:rPr>
          <w:rFonts w:ascii="Calibri" w:cs="Calibri" w:eastAsia="Calibri" w:hAnsi="Calibri"/>
          <w:b/>
          <w:bCs/>
          <w:color w:val="D34817"/>
          <w:sz w:val="30"/>
          <w:szCs w:val="30"/>
        </w:rPr>
        <w:t xml:space="preserve">2. Overall Description / Background</w:t>
      </w:r>
      <w:bookmarkEnd w:id="1006"/>
    </w:p>
    <w:p>
      <w:pPr>
        <w:pStyle w:val="Heading2"/>
        <w:spacing w:after="100" w:before="220"/>
      </w:pPr>
      <w:bookmarkStart w:name="bm_7_2_1_background_problem_stateme" w:id="1007"/>
      <w:r>
        <w:rPr>
          <w:rFonts w:ascii="Calibri" w:cs="Calibri" w:eastAsia="Calibri" w:hAnsi="Calibri"/>
          <w:b/>
          <w:bCs/>
          <w:color w:val="404040"/>
          <w:sz w:val="24"/>
          <w:szCs w:val="24"/>
        </w:rPr>
        <w:t xml:space="preserve">2.1 Background &amp; Problem Statement</w:t>
      </w:r>
      <w:bookmarkEnd w:id="1007"/>
    </w:p>
    <w:p>
      <w:pPr>
        <w:spacing w:after="160" w:line="300"/>
        <w:jc w:val="both"/>
      </w:pPr>
      <w:r>
        <w:rPr>
          <w:rFonts w:ascii="Calibri" w:cs="Calibri" w:eastAsia="Calibri" w:hAnsi="Calibri"/>
          <w:color w:val="1A1A1A"/>
          <w:sz w:val="22"/>
          <w:szCs w:val="22"/>
        </w:rPr>
        <w:t xml:space="preserve">HR and talent teams at small-to-mid-size companies currently run recruitment and onboarding across a disconnected set of tools: spreadsheets or free ATS tiers for pipeline tracking, WhatsApp/email for interview coordination, a separate e-sign tool for offer letters, and manual checklists for onboarding. This produces four recurring problems: no single source of truth on candidate status; slow, manually-chased handoffs between offer acceptance and day-one readiness; compliance exposure from candidate PII scattered across personal inboxes with no consistent retention trail; and no structured hiring analytics for leadership to act on.</w:t>
      </w:r>
    </w:p>
    <w:p>
      <w:pPr>
        <w:pStyle w:val="Heading2"/>
        <w:spacing w:after="100" w:before="220"/>
      </w:pPr>
      <w:bookmarkStart w:name="bm_8_2_2_business_objectives" w:id="1008"/>
      <w:r>
        <w:rPr>
          <w:rFonts w:ascii="Calibri" w:cs="Calibri" w:eastAsia="Calibri" w:hAnsi="Calibri"/>
          <w:b/>
          <w:bCs/>
          <w:color w:val="404040"/>
          <w:sz w:val="24"/>
          <w:szCs w:val="24"/>
        </w:rPr>
        <w:t xml:space="preserve">2.2 Business Objectives</w:t>
      </w:r>
      <w:bookmarkEnd w:id="1008"/>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3200"/>
        <w:gridCol w:w="6200"/>
      </w:tblGrid>
      <w:tr>
        <w:trPr>
          <w:tblHeader/>
        </w:trPr>
        <w:tc>
          <w:tcPr>
            <w:tcW w:type="dxa" w:w="3200"/>
            <w:tcBorders>
              <w:top w:val="single" w:color="CCCCCC" w:sz="2"/>
              <w:left w:val="single" w:color="CCCCCC" w:sz="2"/>
              <w:bottom w:val="single" w:color="CCCCCC" w:sz="2"/>
              <w:right w:val="single" w:color="CCCCCC" w:sz="2"/>
            </w:tcBorders>
            <w:shd w:fill="F2F2F2" w:color="auto" w:val="clear"/>
            <w:tcMar>
              <w:top w:type="dxa" w:w="80"/>
              <w:left w:type="dxa" w:w="100"/>
              <w:bottom w:type="dxa" w:w="80"/>
              <w:right w:type="dxa" w:w="100"/>
            </w:tcMar>
          </w:tcPr>
          <w:p>
            <w:r>
              <w:rPr>
                <w:rFonts w:ascii="Calibri" w:cs="Calibri" w:eastAsia="Calibri" w:hAnsi="Calibri"/>
                <w:b/>
                <w:bCs/>
                <w:color w:val="000000"/>
                <w:sz w:val="19"/>
                <w:szCs w:val="19"/>
              </w:rPr>
              <w:t xml:space="preserve">Objective</w:t>
            </w:r>
          </w:p>
        </w:tc>
        <w:tc>
          <w:tcPr>
            <w:tcW w:type="dxa" w:w="6200"/>
            <w:tcBorders>
              <w:top w:val="single" w:color="CCCCCC" w:sz="2"/>
              <w:left w:val="single" w:color="CCCCCC" w:sz="2"/>
              <w:bottom w:val="single" w:color="CCCCCC" w:sz="2"/>
              <w:right w:val="single" w:color="CCCCCC" w:sz="2"/>
            </w:tcBorders>
            <w:shd w:fill="F2F2F2" w:color="auto" w:val="clear"/>
            <w:tcMar>
              <w:top w:type="dxa" w:w="80"/>
              <w:left w:type="dxa" w:w="100"/>
              <w:bottom w:type="dxa" w:w="80"/>
              <w:right w:type="dxa" w:w="100"/>
            </w:tcMar>
          </w:tcPr>
          <w:p>
            <w:r>
              <w:rPr>
                <w:rFonts w:ascii="Calibri" w:cs="Calibri" w:eastAsia="Calibri" w:hAnsi="Calibri"/>
                <w:b/>
                <w:bCs/>
                <w:color w:val="000000"/>
                <w:sz w:val="19"/>
                <w:szCs w:val="19"/>
              </w:rPr>
              <w:t xml:space="preserve">How Phoneme HR Suite addresses it</w:t>
            </w:r>
          </w:p>
        </w:tc>
      </w:tr>
      <w:tr>
        <w:tc>
          <w:tcPr>
            <w:tcW w:type="dxa" w:w="32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9"/>
                <w:szCs w:val="19"/>
              </w:rPr>
              <w:t xml:space="preserve">Reduce time-to-hire</w:t>
            </w:r>
          </w:p>
        </w:tc>
        <w:tc>
          <w:tcPr>
            <w:tcW w:type="dxa" w:w="62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9"/>
                <w:szCs w:val="19"/>
              </w:rPr>
              <w:t xml:space="preserve">Single pipeline with automated stage transitions, scheduling, and reminders removes manual chase-up delay</w:t>
            </w:r>
          </w:p>
        </w:tc>
      </w:tr>
      <w:tr>
        <w:tc>
          <w:tcPr>
            <w:tcW w:type="dxa" w:w="32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9"/>
                <w:szCs w:val="19"/>
              </w:rPr>
              <w:t xml:space="preserve">Reduce time-to-productive</w:t>
            </w:r>
          </w:p>
        </w:tc>
        <w:tc>
          <w:tcPr>
            <w:tcW w:type="dxa" w:w="62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9"/>
                <w:szCs w:val="19"/>
              </w:rPr>
              <w:t xml:space="preserve">Automated onboarding checklists and cross-team task assignment starting the moment an offer is accepted</w:t>
            </w:r>
          </w:p>
        </w:tc>
      </w:tr>
      <w:tr>
        <w:tc>
          <w:tcPr>
            <w:tcW w:type="dxa" w:w="32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9"/>
                <w:szCs w:val="19"/>
              </w:rPr>
              <w:t xml:space="preserve">Reduce compliance risk</w:t>
            </w:r>
          </w:p>
        </w:tc>
        <w:tc>
          <w:tcPr>
            <w:tcW w:type="dxa" w:w="62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9"/>
                <w:szCs w:val="19"/>
              </w:rPr>
              <w:t xml:space="preserve">Centralised, access-controlled candidate records with consent capture, retention policy, and audit trail, aligned to the DPDP Act 2023</w:t>
            </w:r>
          </w:p>
        </w:tc>
      </w:tr>
      <w:tr>
        <w:tc>
          <w:tcPr>
            <w:tcW w:type="dxa" w:w="32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9"/>
                <w:szCs w:val="19"/>
              </w:rPr>
              <w:t xml:space="preserve">Create a defensible data moat</w:t>
            </w:r>
          </w:p>
        </w:tc>
        <w:tc>
          <w:tcPr>
            <w:tcW w:type="dxa" w:w="62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9"/>
                <w:szCs w:val="19"/>
              </w:rPr>
              <w:t xml:space="preserve">Every pipeline event captured as structured data from day one, supporting future AI-matching features</w:t>
            </w:r>
          </w:p>
        </w:tc>
      </w:tr>
      <w:tr>
        <w:tc>
          <w:tcPr>
            <w:tcW w:type="dxa" w:w="32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9"/>
                <w:szCs w:val="19"/>
              </w:rPr>
              <w:t xml:space="preserve">Land-and-expand within accounts</w:t>
            </w:r>
          </w:p>
        </w:tc>
        <w:tc>
          <w:tcPr>
            <w:tcW w:type="dxa" w:w="62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9"/>
                <w:szCs w:val="19"/>
              </w:rPr>
              <w:t xml:space="preserve">Positioned as the first module of a broader Phoneme HR suite (payroll, performance) sharing one tenant and employee record</w:t>
            </w:r>
          </w:p>
        </w:tc>
      </w:tr>
    </w:tbl>
    <w:p>
      <w:pPr>
        <w:pStyle w:val="Heading2"/>
        <w:spacing w:after="100" w:before="220"/>
      </w:pPr>
      <w:bookmarkStart w:name="bm_9_2_3_target_market_personas" w:id="1009"/>
      <w:r>
        <w:rPr>
          <w:rFonts w:ascii="Calibri" w:cs="Calibri" w:eastAsia="Calibri" w:hAnsi="Calibri"/>
          <w:b/>
          <w:bCs/>
          <w:color w:val="404040"/>
          <w:sz w:val="24"/>
          <w:szCs w:val="24"/>
        </w:rPr>
        <w:t xml:space="preserve">2.3 Target Market &amp; Personas</w:t>
      </w:r>
      <w:bookmarkEnd w:id="1009"/>
    </w:p>
    <w:p>
      <w:pPr>
        <w:spacing w:after="160" w:line="300"/>
        <w:jc w:val="both"/>
      </w:pPr>
      <w:r>
        <w:rPr>
          <w:rFonts w:ascii="Calibri" w:cs="Calibri" w:eastAsia="Calibri" w:hAnsi="Calibri"/>
          <w:color w:val="1A1A1A"/>
          <w:sz w:val="22"/>
          <w:szCs w:val="22"/>
        </w:rPr>
        <w:t xml:space="preserve">Primary segment: companies with 50–2,000 employees in India, plus recruitment/staffing agencies managing multiple client pipelines. Primary buyer and daily user: the HR Manager / Talent Acquisition Lead. Day-to-day users span Recruiters, Hiring Managers, Interview Panelists, HR Ops/Onboarding Coordinators, and — on the candidate-facing side — the applicant and new hire themselves, interacting through a token-based portal with no account creation required.</w:t>
      </w:r>
    </w:p>
    <w:p>
      <w:pPr>
        <w:spacing w:after="200"/>
      </w:pPr>
    </w:p>
    <w:p>
      <w:pPr>
        <w:pStyle w:val="Heading1"/>
        <w:spacing w:after="140" w:before="320"/>
      </w:pPr>
      <w:bookmarkStart w:name="bm_10_3_proposed_solution_overview" w:id="1010"/>
      <w:r>
        <w:rPr>
          <w:rFonts w:ascii="Calibri" w:cs="Calibri" w:eastAsia="Calibri" w:hAnsi="Calibri"/>
          <w:b/>
          <w:bCs/>
          <w:color w:val="D34817"/>
          <w:sz w:val="30"/>
          <w:szCs w:val="30"/>
        </w:rPr>
        <w:t xml:space="preserve">3. Proposed Solution — Overview</w:t>
      </w:r>
      <w:bookmarkEnd w:id="1010"/>
    </w:p>
    <w:p>
      <w:pPr>
        <w:spacing w:after="160" w:line="300"/>
        <w:jc w:val="both"/>
      </w:pPr>
      <w:r>
        <w:rPr>
          <w:rFonts w:ascii="Calibri" w:cs="Calibri" w:eastAsia="Calibri" w:hAnsi="Calibri"/>
          <w:color w:val="1A1A1A"/>
          <w:sz w:val="22"/>
          <w:szCs w:val="22"/>
        </w:rPr>
        <w:t xml:space="preserve">The solution is structured as ten sequential, connected process modules, each owning a distinct stage of the talent lifecycle and handing structured data — not free text — to the next. Full architecture and technology decisions for each module are captured in that module's Technical Design document, not here. Modules 1 and 2 are the Release 1 build scope (Section 1.3); Modules 3–10 are roadmap content, not part of Release 1.</w:t>
      </w:r>
    </w:p>
    <w:p>
      <w:pPr>
        <w:pStyle w:val="ListParagraph"/>
        <w:numPr>
          <w:ilvl w:val="0"/>
          <w:numId w:val="3"/>
        </w:numPr>
        <w:spacing w:after="80" w:line="280"/>
      </w:pPr>
      <w:r>
        <w:rPr>
          <w:rFonts w:ascii="Calibri" w:cs="Calibri" w:eastAsia="Calibri" w:hAnsi="Calibri"/>
          <w:color w:val="1A1A1A"/>
          <w:sz w:val="22"/>
          <w:szCs w:val="22"/>
        </w:rPr>
        <w:t xml:space="preserve">Job Description (JD) Intake &amp; Freezing — Draft v2.1, pending approval, Release 1 (Section 4.1)</w:t>
      </w:r>
    </w:p>
    <w:p>
      <w:pPr>
        <w:pStyle w:val="ListParagraph"/>
        <w:numPr>
          <w:ilvl w:val="0"/>
          <w:numId w:val="3"/>
        </w:numPr>
        <w:spacing w:after="80" w:line="280"/>
      </w:pPr>
      <w:r>
        <w:rPr>
          <w:rFonts w:ascii="Calibri" w:cs="Calibri" w:eastAsia="Calibri" w:hAnsi="Calibri"/>
          <w:color w:val="1A1A1A"/>
          <w:sz w:val="22"/>
          <w:szCs w:val="22"/>
        </w:rPr>
        <w:t xml:space="preserve">Candidate Sourcing &amp; Resume Aggregation — Draft v2.1, pending approval, Release 1 (Section 4.2)</w:t>
      </w:r>
    </w:p>
    <w:p>
      <w:pPr>
        <w:pStyle w:val="ListParagraph"/>
        <w:numPr>
          <w:ilvl w:val="0"/>
          <w:numId w:val="3"/>
        </w:numPr>
        <w:spacing w:after="80" w:line="280"/>
      </w:pPr>
      <w:r>
        <w:rPr>
          <w:rFonts w:ascii="Calibri" w:cs="Calibri" w:eastAsia="Calibri" w:hAnsi="Calibri"/>
          <w:color w:val="1A1A1A"/>
          <w:sz w:val="22"/>
          <w:szCs w:val="22"/>
        </w:rPr>
        <w:t xml:space="preserve">Screening &amp; Shortlisting — roadmap; scored against the Module 1 matrix, threshold-gated auto-advancement</w:t>
      </w:r>
    </w:p>
    <w:p>
      <w:pPr>
        <w:pStyle w:val="ListParagraph"/>
        <w:numPr>
          <w:ilvl w:val="0"/>
          <w:numId w:val="3"/>
        </w:numPr>
        <w:spacing w:after="80" w:line="280"/>
      </w:pPr>
      <w:r>
        <w:rPr>
          <w:rFonts w:ascii="Calibri" w:cs="Calibri" w:eastAsia="Calibri" w:hAnsi="Calibri"/>
          <w:color w:val="1A1A1A"/>
          <w:sz w:val="22"/>
          <w:szCs w:val="22"/>
        </w:rPr>
        <w:t xml:space="preserve">Candidate Pre-Interview Data Capture — roadmap; token-based portal, expected CTC, project write-ups</w:t>
      </w:r>
    </w:p>
    <w:p>
      <w:pPr>
        <w:pStyle w:val="ListParagraph"/>
        <w:numPr>
          <w:ilvl w:val="0"/>
          <w:numId w:val="3"/>
        </w:numPr>
        <w:spacing w:after="80" w:line="280"/>
      </w:pPr>
      <w:r>
        <w:rPr>
          <w:rFonts w:ascii="Calibri" w:cs="Calibri" w:eastAsia="Calibri" w:hAnsi="Calibri"/>
          <w:color w:val="1A1A1A"/>
          <w:sz w:val="22"/>
          <w:szCs w:val="22"/>
        </w:rPr>
        <w:t xml:space="preserve">Interview Management — roadmap; multi-round, structured interviewer scorecards, panel decision rollup</w:t>
      </w:r>
    </w:p>
    <w:p>
      <w:pPr>
        <w:pStyle w:val="ListParagraph"/>
        <w:numPr>
          <w:ilvl w:val="0"/>
          <w:numId w:val="3"/>
        </w:numPr>
        <w:spacing w:after="80" w:line="280"/>
      </w:pPr>
      <w:r>
        <w:rPr>
          <w:rFonts w:ascii="Calibri" w:cs="Calibri" w:eastAsia="Calibri" w:hAnsi="Calibri"/>
          <w:color w:val="1A1A1A"/>
          <w:sz w:val="22"/>
          <w:szCs w:val="22"/>
        </w:rPr>
        <w:t xml:space="preserve">Selection &amp; Background Verification — roadmap; consent-gated identity/employment/income verification via licensed vendors</w:t>
      </w:r>
    </w:p>
    <w:p>
      <w:pPr>
        <w:pStyle w:val="ListParagraph"/>
        <w:numPr>
          <w:ilvl w:val="0"/>
          <w:numId w:val="3"/>
        </w:numPr>
        <w:spacing w:after="80" w:line="280"/>
      </w:pPr>
      <w:r>
        <w:rPr>
          <w:rFonts w:ascii="Calibri" w:cs="Calibri" w:eastAsia="Calibri" w:hAnsi="Calibri"/>
          <w:color w:val="1A1A1A"/>
          <w:sz w:val="22"/>
          <w:szCs w:val="22"/>
        </w:rPr>
        <w:t xml:space="preserve">Offer Management, KRA/KPI &amp; E-Sign — roadmap; auto-generated offer letter and compensation breakup, e-signature, hire-to-payroll handoff</w:t>
      </w:r>
    </w:p>
    <w:p>
      <w:pPr>
        <w:pStyle w:val="ListParagraph"/>
        <w:numPr>
          <w:ilvl w:val="0"/>
          <w:numId w:val="3"/>
        </w:numPr>
        <w:spacing w:after="80" w:line="280"/>
      </w:pPr>
      <w:r>
        <w:rPr>
          <w:rFonts w:ascii="Calibri" w:cs="Calibri" w:eastAsia="Calibri" w:hAnsi="Calibri"/>
          <w:color w:val="1A1A1A"/>
          <w:sz w:val="22"/>
          <w:szCs w:val="22"/>
        </w:rPr>
        <w:t xml:space="preserve">Onboarding — roadmap; cross-team asset/IT/documentation checklist, day-one readiness dashboard</w:t>
      </w:r>
    </w:p>
    <w:p>
      <w:pPr>
        <w:pStyle w:val="ListParagraph"/>
        <w:numPr>
          <w:ilvl w:val="0"/>
          <w:numId w:val="3"/>
        </w:numPr>
        <w:spacing w:after="80" w:line="280"/>
      </w:pPr>
      <w:r>
        <w:rPr>
          <w:rFonts w:ascii="Calibri" w:cs="Calibri" w:eastAsia="Calibri" w:hAnsi="Calibri"/>
          <w:color w:val="1A1A1A"/>
          <w:sz w:val="22"/>
          <w:szCs w:val="22"/>
        </w:rPr>
        <w:t xml:space="preserve">Payroll &amp; Compensation — roadmap; salary slips, full-and-final settlement, loans, employee expenses</w:t>
      </w:r>
    </w:p>
    <w:p>
      <w:pPr>
        <w:pStyle w:val="ListParagraph"/>
        <w:numPr>
          <w:ilvl w:val="0"/>
          <w:numId w:val="3"/>
        </w:numPr>
        <w:spacing w:after="80" w:line="280"/>
      </w:pPr>
      <w:r>
        <w:rPr>
          <w:rFonts w:ascii="Calibri" w:cs="Calibri" w:eastAsia="Calibri" w:hAnsi="Calibri"/>
          <w:color w:val="1A1A1A"/>
          <w:sz w:val="22"/>
          <w:szCs w:val="22"/>
        </w:rPr>
        <w:t xml:space="preserve">Appraisal — roadmap; continuous KRA/KPI tracking feeding the annual review cycle</w:t>
      </w:r>
    </w:p>
    <w:p>
      <w:pPr>
        <w:spacing w:after="200"/>
      </w:pPr>
    </w:p>
    <w:p>
      <w:pPr>
        <w:pStyle w:val="Heading1"/>
        <w:spacing w:after="140" w:before="320"/>
      </w:pPr>
      <w:bookmarkStart w:name="bm_11_4_specific_requirements" w:id="1011"/>
      <w:r>
        <w:rPr>
          <w:rFonts w:ascii="Calibri" w:cs="Calibri" w:eastAsia="Calibri" w:hAnsi="Calibri"/>
          <w:b/>
          <w:bCs/>
          <w:color w:val="D34817"/>
          <w:sz w:val="30"/>
          <w:szCs w:val="30"/>
        </w:rPr>
        <w:t xml:space="preserve">4. Specific Requirements</w:t>
      </w:r>
      <w:bookmarkEnd w:id="1011"/>
    </w:p>
    <w:p>
      <w:pPr>
        <w:spacing w:after="160" w:line="300"/>
        <w:jc w:val="both"/>
      </w:pPr>
      <w:r>
        <w:rPr>
          <w:rFonts w:ascii="Calibri" w:cs="Calibri" w:eastAsia="Calibri" w:hAnsi="Calibri"/>
          <w:color w:val="1A1A1A"/>
          <w:sz w:val="22"/>
          <w:szCs w:val="22"/>
        </w:rPr>
        <w:t xml:space="preserve">This section carries full requirement detail for the two modules built out to build-ready depth to date, followed by the current requirement-level (Draft) scope for the remaining eight modules.</w:t>
      </w:r>
    </w:p>
    <w:p>
      <w:pPr>
        <w:pStyle w:val="Heading2"/>
        <w:spacing w:after="100" w:before="220"/>
      </w:pPr>
      <w:bookmarkStart w:name="bm_12_4_1_module_1_job_description_j" w:id="1012"/>
      <w:r>
        <w:rPr>
          <w:rFonts w:ascii="Calibri" w:cs="Calibri" w:eastAsia="Calibri" w:hAnsi="Calibri"/>
          <w:b/>
          <w:bCs/>
          <w:color w:val="404040"/>
          <w:sz w:val="24"/>
          <w:szCs w:val="24"/>
        </w:rPr>
        <w:t xml:space="preserve">4.1 Module 1 — Job Description (JD) Intake &amp; Freezing  —  Status: Draft v2.1, pending Reviewed/Approved sign-off (supersedes v1.0)</w:t>
      </w:r>
      <w:bookmarkEnd w:id="1012"/>
    </w:p>
    <w:p>
      <w:pPr>
        <w:spacing w:after="160" w:line="300"/>
        <w:jc w:val="both"/>
      </w:pPr>
      <w:r>
        <w:rPr>
          <w:rFonts w:ascii="Calibri" w:cs="Calibri" w:eastAsia="Calibri" w:hAnsi="Calibri"/>
          <w:color w:val="1A1A1A"/>
          <w:sz w:val="22"/>
          <w:szCs w:val="22"/>
        </w:rPr>
        <w:t xml:space="preserve">A hiring manager sends a rough, free-text brief (by email or portal); the system converts it into structured JD data, generates multiple polished JD variants alongside an editable draft weighted scoring matrix, routes them for manager review and sign-off, and — at freeze — approves the JD version and its then-current matrix together, becoming the baseline every downstream module scores against. Release 1 includes the staffing-agency / multi-client tenant model: for an agency tenant, every requisition is raised against one of its end-client companies (Section 1.3); for a direct-employer tenant, no client selection applies.</w:t>
      </w:r>
    </w:p>
    <w:p>
      <w:pPr>
        <w:pStyle w:val="Heading3"/>
        <w:spacing w:after="80" w:before="160"/>
      </w:pPr>
      <w:r>
        <w:rPr>
          <w:rFonts w:ascii="Calibri" w:cs="Calibri" w:eastAsia="Calibri" w:hAnsi="Calibri"/>
          <w:b/>
          <w:bCs/>
          <w:color w:val="000000"/>
          <w:sz w:val="22"/>
          <w:szCs w:val="22"/>
        </w:rPr>
        <w:t xml:space="preserve">Process Flow</w:t>
      </w:r>
    </w:p>
    <w:p>
      <w:pPr>
        <w:pStyle w:val="ListParagraph"/>
        <w:numPr>
          <w:ilvl w:val="0"/>
          <w:numId w:val="4"/>
        </w:numPr>
        <w:spacing w:after="80" w:line="280"/>
      </w:pPr>
      <w:r>
        <w:rPr>
          <w:rFonts w:ascii="Calibri" w:cs="Calibri" w:eastAsia="Calibri" w:hAnsi="Calibri"/>
          <w:color w:val="1A1A1A"/>
          <w:sz w:val="22"/>
          <w:szCs w:val="22"/>
        </w:rPr>
        <w:t xml:space="preserve">Manager submits a rough brief — by email to a dedicated intake address, or directly in the portal.</w:t>
      </w:r>
    </w:p>
    <w:p>
      <w:pPr>
        <w:pStyle w:val="ListParagraph"/>
        <w:numPr>
          <w:ilvl w:val="0"/>
          <w:numId w:val="4"/>
        </w:numPr>
        <w:spacing w:after="80" w:line="280"/>
      </w:pPr>
      <w:r>
        <w:rPr>
          <w:rFonts w:ascii="Calibri" w:cs="Calibri" w:eastAsia="Calibri" w:hAnsi="Calibri"/>
          <w:color w:val="1A1A1A"/>
          <w:sz w:val="22"/>
          <w:szCs w:val="22"/>
        </w:rPr>
        <w:t xml:space="preserve">System runs NLP extraction on the brief into the structured JD Intake Schema; low-confidence fields are flagged for manager confirmation rather than silently guessed.</w:t>
      </w:r>
    </w:p>
    <w:p>
      <w:pPr>
        <w:pStyle w:val="ListParagraph"/>
        <w:numPr>
          <w:ilvl w:val="0"/>
          <w:numId w:val="4"/>
        </w:numPr>
        <w:spacing w:after="80" w:line="280"/>
      </w:pPr>
      <w:r>
        <w:rPr>
          <w:rFonts w:ascii="Calibri" w:cs="Calibri" w:eastAsia="Calibri" w:hAnsi="Calibri"/>
          <w:color w:val="1A1A1A"/>
          <w:sz w:val="22"/>
          <w:szCs w:val="22"/>
        </w:rPr>
        <w:t xml:space="preserve">System generates 2–3 JD variants — a formal/corporate version, a candidate-friendly version, and a condensed job-board version.</w:t>
      </w:r>
    </w:p>
    <w:p>
      <w:pPr>
        <w:pStyle w:val="ListParagraph"/>
        <w:numPr>
          <w:ilvl w:val="0"/>
          <w:numId w:val="4"/>
        </w:numPr>
        <w:spacing w:after="80" w:line="280"/>
      </w:pPr>
      <w:r>
        <w:rPr>
          <w:rFonts w:ascii="Calibri" w:cs="Calibri" w:eastAsia="Calibri" w:hAnsi="Calibri"/>
          <w:color w:val="1A1A1A"/>
          <w:sz w:val="22"/>
          <w:szCs w:val="22"/>
        </w:rPr>
        <w:t xml:space="preserve">All variants are emailed to the manager (with a portal link) and appear in the portal's Pending JD Approval queue.</w:t>
      </w:r>
    </w:p>
    <w:p>
      <w:pPr>
        <w:pStyle w:val="ListParagraph"/>
        <w:numPr>
          <w:ilvl w:val="0"/>
          <w:numId w:val="4"/>
        </w:numPr>
        <w:spacing w:after="80" w:line="280"/>
      </w:pPr>
      <w:r>
        <w:rPr>
          <w:rFonts w:ascii="Calibri" w:cs="Calibri" w:eastAsia="Calibri" w:hAnsi="Calibri"/>
          <w:color w:val="1A1A1A"/>
          <w:sz w:val="22"/>
          <w:szCs w:val="22"/>
        </w:rPr>
        <w:t xml:space="preserve">Manager reviews by replying on the email in plain text (NLP-parsed back into structured diffs) or editing directly in the portal — both are first-class review paths.</w:t>
      </w:r>
    </w:p>
    <w:p>
      <w:pPr>
        <w:pStyle w:val="ListParagraph"/>
        <w:numPr>
          <w:ilvl w:val="0"/>
          <w:numId w:val="4"/>
        </w:numPr>
        <w:spacing w:after="80" w:line="280"/>
      </w:pPr>
      <w:r>
        <w:rPr>
          <w:rFonts w:ascii="Calibri" w:cs="Calibri" w:eastAsia="Calibri" w:hAnsi="Calibri"/>
          <w:color w:val="1A1A1A"/>
          <w:sz w:val="22"/>
          <w:szCs w:val="22"/>
        </w:rPr>
        <w:t xml:space="preserve">A configurable SLA (e.g. 3 business days) triggers a reminder, then an HR escalation, if the manager does not respond.</w:t>
      </w:r>
    </w:p>
    <w:p>
      <w:pPr>
        <w:pStyle w:val="ListParagraph"/>
        <w:numPr>
          <w:ilvl w:val="0"/>
          <w:numId w:val="4"/>
        </w:numPr>
        <w:spacing w:after="80" w:line="280"/>
      </w:pPr>
      <w:r>
        <w:rPr>
          <w:rFonts w:ascii="Calibri" w:cs="Calibri" w:eastAsia="Calibri" w:hAnsi="Calibri"/>
          <w:color w:val="1A1A1A"/>
          <w:sz w:val="22"/>
          <w:szCs w:val="22"/>
        </w:rPr>
        <w:t xml:space="preserve">Manager reviews and, once satisfied, adjusts the auto-generated draft scoring matrix (weights per category) directly in the portal — the draft matrix is generated alongside the JD variants in step 3 and remains editable through every review round, not only at the final moment.</w:t>
      </w:r>
    </w:p>
    <w:p>
      <w:pPr>
        <w:pStyle w:val="ListParagraph"/>
        <w:numPr>
          <w:ilvl w:val="0"/>
          <w:numId w:val="4"/>
        </w:numPr>
        <w:spacing w:after="80" w:line="280"/>
      </w:pPr>
      <w:r>
        <w:rPr>
          <w:rFonts w:ascii="Calibri" w:cs="Calibri" w:eastAsia="Calibri" w:hAnsi="Calibri"/>
          <w:color w:val="1A1A1A"/>
          <w:sz w:val="22"/>
          <w:szCs w:val="22"/>
        </w:rPr>
        <w:t xml:space="preserve">Manager freezes: the currently Pending-Approval JD version and its bound draft matrix are approved together in one action. The newly Approved version becomes JobRequisition's current version; if an earlier version was previously Approved, it is marked Superseded (its content retained, never deleted or overwritten) rather than replaced in place.</w:t>
      </w:r>
    </w:p>
    <w:p>
      <w:pPr>
        <w:pStyle w:val="ListParagraph"/>
        <w:numPr>
          <w:ilvl w:val="0"/>
          <w:numId w:val="4"/>
        </w:numPr>
        <w:spacing w:after="80" w:line="280"/>
      </w:pPr>
      <w:r>
        <w:rPr>
          <w:rFonts w:ascii="Calibri" w:cs="Calibri" w:eastAsia="Calibri" w:hAnsi="Calibri"/>
          <w:color w:val="1A1A1A"/>
          <w:sz w:val="22"/>
          <w:szCs w:val="22"/>
        </w:rPr>
        <w:t xml:space="preserve">A JD may be revised after an initial freeze (e.g. a role's requirements change): the same review/adjustment/freeze loop (steps 5–8) runs again and produces a new Approved version, superseding the one before it — this is a normal, supported path, not an exception.</w:t>
      </w:r>
    </w:p>
    <w:p>
      <w:pPr>
        <w:pStyle w:val="Heading3"/>
        <w:spacing w:after="80" w:before="160"/>
      </w:pPr>
      <w:r>
        <w:rPr>
          <w:rFonts w:ascii="Calibri" w:cs="Calibri" w:eastAsia="Calibri" w:hAnsi="Calibri"/>
          <w:b/>
          <w:bCs/>
          <w:color w:val="000000"/>
          <w:sz w:val="22"/>
          <w:szCs w:val="22"/>
        </w:rPr>
        <w:t xml:space="preserve">Scoring Matrix — Default Weight Bands</w:t>
      </w:r>
    </w:p>
    <w:p>
      <w:pPr>
        <w:spacing w:after="160" w:line="300"/>
        <w:jc w:val="both"/>
      </w:pPr>
      <w:r>
        <w:rPr>
          <w:rFonts w:ascii="Calibri" w:cs="Calibri" w:eastAsia="Calibri" w:hAnsi="Calibri"/>
          <w:color w:val="1A1A1A"/>
          <w:sz w:val="22"/>
          <w:szCs w:val="22"/>
        </w:rPr>
        <w:t xml:space="preserve">Business decision (Release 1): soft-skill / behavioral signals are excluded entirely from the scoring matrix at JD-freeze and screening stage — no numeric weight, band, or proxy score is generated for them at this stage. They are captured as free text on the JD brief where relevant, and are assessed only qualitatively, by a human interviewer, at the structured interview stage (Module 5). The weight bands below cover only the categories that are numerically scored at screening; a matrix's weights must sum to exactly 100% before it can be approved.</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5400"/>
        <w:gridCol w:w="3800"/>
      </w:tblGrid>
      <w:tr>
        <w:trPr>
          <w:tblHeader/>
        </w:trPr>
        <w:tc>
          <w:tcPr>
            <w:tcW w:type="dxa" w:w="5400"/>
            <w:tcBorders>
              <w:top w:val="single" w:color="CCCCCC" w:sz="2"/>
              <w:left w:val="single" w:color="CCCCCC" w:sz="2"/>
              <w:bottom w:val="single" w:color="CCCCCC" w:sz="2"/>
              <w:right w:val="single" w:color="CCCCCC" w:sz="2"/>
            </w:tcBorders>
            <w:shd w:fill="F2F2F2" w:color="auto" w:val="clear"/>
            <w:tcMar>
              <w:top w:type="dxa" w:w="80"/>
              <w:left w:type="dxa" w:w="100"/>
              <w:bottom w:type="dxa" w:w="80"/>
              <w:right w:type="dxa" w:w="100"/>
            </w:tcMar>
          </w:tcPr>
          <w:p>
            <w:r>
              <w:rPr>
                <w:rFonts w:ascii="Calibri" w:cs="Calibri" w:eastAsia="Calibri" w:hAnsi="Calibri"/>
                <w:b/>
                <w:bCs/>
                <w:color w:val="000000"/>
                <w:sz w:val="19"/>
                <w:szCs w:val="19"/>
              </w:rPr>
              <w:t xml:space="preserve">Category</w:t>
            </w:r>
          </w:p>
        </w:tc>
        <w:tc>
          <w:tcPr>
            <w:tcW w:type="dxa" w:w="3800"/>
            <w:tcBorders>
              <w:top w:val="single" w:color="CCCCCC" w:sz="2"/>
              <w:left w:val="single" w:color="CCCCCC" w:sz="2"/>
              <w:bottom w:val="single" w:color="CCCCCC" w:sz="2"/>
              <w:right w:val="single" w:color="CCCCCC" w:sz="2"/>
            </w:tcBorders>
            <w:shd w:fill="F2F2F2" w:color="auto" w:val="clear"/>
            <w:tcMar>
              <w:top w:type="dxa" w:w="80"/>
              <w:left w:type="dxa" w:w="100"/>
              <w:bottom w:type="dxa" w:w="80"/>
              <w:right w:type="dxa" w:w="100"/>
            </w:tcMar>
          </w:tcPr>
          <w:p>
            <w:r>
              <w:rPr>
                <w:rFonts w:ascii="Calibri" w:cs="Calibri" w:eastAsia="Calibri" w:hAnsi="Calibri"/>
                <w:b/>
                <w:bCs/>
                <w:color w:val="000000"/>
                <w:sz w:val="19"/>
                <w:szCs w:val="19"/>
              </w:rPr>
              <w:t xml:space="preserve">Default weight band</w:t>
            </w:r>
          </w:p>
        </w:tc>
      </w:tr>
      <w:tr>
        <w:tc>
          <w:tcPr>
            <w:tcW w:type="dxa" w:w="54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9"/>
                <w:szCs w:val="19"/>
              </w:rPr>
              <w:t xml:space="preserve">Core tool/technical skills</w:t>
            </w:r>
          </w:p>
        </w:tc>
        <w:tc>
          <w:tcPr>
            <w:tcW w:type="dxa" w:w="38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9"/>
                <w:szCs w:val="19"/>
              </w:rPr>
              <w:t xml:space="preserve">35–55%</w:t>
            </w:r>
          </w:p>
        </w:tc>
      </w:tr>
      <w:tr>
        <w:tc>
          <w:tcPr>
            <w:tcW w:type="dxa" w:w="54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9"/>
                <w:szCs w:val="19"/>
              </w:rPr>
              <w:t xml:space="preserve">Experience &amp; seniority</w:t>
            </w:r>
          </w:p>
        </w:tc>
        <w:tc>
          <w:tcPr>
            <w:tcW w:type="dxa" w:w="38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9"/>
                <w:szCs w:val="19"/>
              </w:rPr>
              <w:t xml:space="preserve">25–40%</w:t>
            </w:r>
          </w:p>
        </w:tc>
      </w:tr>
      <w:tr>
        <w:tc>
          <w:tcPr>
            <w:tcW w:type="dxa" w:w="54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9"/>
                <w:szCs w:val="19"/>
              </w:rPr>
              <w:t xml:space="preserve">Domain/analytical competency</w:t>
            </w:r>
          </w:p>
        </w:tc>
        <w:tc>
          <w:tcPr>
            <w:tcW w:type="dxa" w:w="38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9"/>
                <w:szCs w:val="19"/>
              </w:rPr>
              <w:t xml:space="preserve">15–30%</w:t>
            </w:r>
          </w:p>
        </w:tc>
      </w:tr>
      <w:tr>
        <w:tc>
          <w:tcPr>
            <w:tcW w:type="dxa" w:w="54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9"/>
                <w:szCs w:val="19"/>
              </w:rPr>
              <w:t xml:space="preserve">Education fit</w:t>
            </w:r>
          </w:p>
        </w:tc>
        <w:tc>
          <w:tcPr>
            <w:tcW w:type="dxa" w:w="38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9"/>
                <w:szCs w:val="19"/>
              </w:rPr>
              <w:t xml:space="preserve">0–10%</w:t>
            </w:r>
          </w:p>
        </w:tc>
      </w:tr>
    </w:tbl>
    <w:p>
      <w:pPr>
        <w:pStyle w:val="Heading3"/>
        <w:spacing w:after="80" w:before="160"/>
      </w:pPr>
      <w:r>
        <w:rPr>
          <w:rFonts w:ascii="Calibri" w:cs="Calibri" w:eastAsia="Calibri" w:hAnsi="Calibri"/>
          <w:b/>
          <w:bCs/>
          <w:color w:val="000000"/>
          <w:sz w:val="22"/>
          <w:szCs w:val="22"/>
        </w:rPr>
        <w:t xml:space="preserve">Feature List</w:t>
      </w: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1500"/>
        <w:gridCol w:w="1900"/>
        <w:gridCol w:w="5400"/>
        <w:gridCol w:w="1000"/>
      </w:tblGrid>
      <w:tr>
        <w:trPr>
          <w:tblHeader/>
        </w:trPr>
        <w:tc>
          <w:tcPr>
            <w:tcW w:type="dxa" w:w="1500"/>
            <w:tcBorders>
              <w:top w:val="single" w:color="CCCCCC" w:sz="2"/>
              <w:left w:val="single" w:color="CCCCCC" w:sz="2"/>
              <w:bottom w:val="single" w:color="CCCCCC" w:sz="2"/>
              <w:right w:val="single" w:color="CCCCCC" w:sz="2"/>
            </w:tcBorders>
            <w:shd w:fill="F2F2F2" w:color="auto" w:val="clear"/>
            <w:tcMar>
              <w:top w:type="dxa" w:w="80"/>
              <w:left w:type="dxa" w:w="100"/>
              <w:bottom w:type="dxa" w:w="80"/>
              <w:right w:type="dxa" w:w="100"/>
            </w:tcMar>
          </w:tcPr>
          <w:p>
            <w:r>
              <w:rPr>
                <w:rFonts w:ascii="Calibri" w:cs="Calibri" w:eastAsia="Calibri" w:hAnsi="Calibri"/>
                <w:b/>
                <w:bCs/>
                <w:color w:val="000000"/>
                <w:sz w:val="19"/>
                <w:szCs w:val="19"/>
              </w:rPr>
              <w:t xml:space="preserve">Req ID</w:t>
            </w:r>
          </w:p>
        </w:tc>
        <w:tc>
          <w:tcPr>
            <w:tcW w:type="dxa" w:w="1900"/>
            <w:tcBorders>
              <w:top w:val="single" w:color="CCCCCC" w:sz="2"/>
              <w:left w:val="single" w:color="CCCCCC" w:sz="2"/>
              <w:bottom w:val="single" w:color="CCCCCC" w:sz="2"/>
              <w:right w:val="single" w:color="CCCCCC" w:sz="2"/>
            </w:tcBorders>
            <w:shd w:fill="F2F2F2" w:color="auto" w:val="clear"/>
            <w:tcMar>
              <w:top w:type="dxa" w:w="80"/>
              <w:left w:type="dxa" w:w="100"/>
              <w:bottom w:type="dxa" w:w="80"/>
              <w:right w:type="dxa" w:w="100"/>
            </w:tcMar>
          </w:tcPr>
          <w:p>
            <w:r>
              <w:rPr>
                <w:rFonts w:ascii="Calibri" w:cs="Calibri" w:eastAsia="Calibri" w:hAnsi="Calibri"/>
                <w:b/>
                <w:bCs/>
                <w:color w:val="000000"/>
                <w:sz w:val="19"/>
                <w:szCs w:val="19"/>
              </w:rPr>
              <w:t xml:space="preserve">Feature</w:t>
            </w:r>
          </w:p>
        </w:tc>
        <w:tc>
          <w:tcPr>
            <w:tcW w:type="dxa" w:w="5400"/>
            <w:tcBorders>
              <w:top w:val="single" w:color="CCCCCC" w:sz="2"/>
              <w:left w:val="single" w:color="CCCCCC" w:sz="2"/>
              <w:bottom w:val="single" w:color="CCCCCC" w:sz="2"/>
              <w:right w:val="single" w:color="CCCCCC" w:sz="2"/>
            </w:tcBorders>
            <w:shd w:fill="F2F2F2" w:color="auto" w:val="clear"/>
            <w:tcMar>
              <w:top w:type="dxa" w:w="80"/>
              <w:left w:type="dxa" w:w="100"/>
              <w:bottom w:type="dxa" w:w="80"/>
              <w:right w:type="dxa" w:w="100"/>
            </w:tcMar>
          </w:tcPr>
          <w:p>
            <w:r>
              <w:rPr>
                <w:rFonts w:ascii="Calibri" w:cs="Calibri" w:eastAsia="Calibri" w:hAnsi="Calibri"/>
                <w:b/>
                <w:bCs/>
                <w:color w:val="000000"/>
                <w:sz w:val="19"/>
                <w:szCs w:val="19"/>
              </w:rPr>
              <w:t xml:space="preserve">Description</w:t>
            </w:r>
          </w:p>
        </w:tc>
        <w:tc>
          <w:tcPr>
            <w:tcW w:type="dxa" w:w="1000"/>
            <w:tcBorders>
              <w:top w:val="single" w:color="CCCCCC" w:sz="2"/>
              <w:left w:val="single" w:color="CCCCCC" w:sz="2"/>
              <w:bottom w:val="single" w:color="CCCCCC" w:sz="2"/>
              <w:right w:val="single" w:color="CCCCCC" w:sz="2"/>
            </w:tcBorders>
            <w:shd w:fill="F2F2F2" w:color="auto" w:val="clear"/>
            <w:tcMar>
              <w:top w:type="dxa" w:w="80"/>
              <w:left w:type="dxa" w:w="100"/>
              <w:bottom w:type="dxa" w:w="80"/>
              <w:right w:type="dxa" w:w="100"/>
            </w:tcMar>
          </w:tcPr>
          <w:p>
            <w:r>
              <w:rPr>
                <w:rFonts w:ascii="Calibri" w:cs="Calibri" w:eastAsia="Calibri" w:hAnsi="Calibri"/>
                <w:b/>
                <w:bCs/>
                <w:color w:val="000000"/>
                <w:sz w:val="19"/>
                <w:szCs w:val="19"/>
              </w:rPr>
              <w:t xml:space="preserve">Priority</w:t>
            </w:r>
          </w:p>
        </w:tc>
      </w:tr>
      <w:tr>
        <w:tc>
          <w:tcPr>
            <w:tcW w:type="dxa" w:w="15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9"/>
                <w:szCs w:val="19"/>
              </w:rPr>
              <w:t xml:space="preserve">HR-M1-FR-001</w:t>
            </w:r>
          </w:p>
        </w:tc>
        <w:tc>
          <w:tcPr>
            <w:tcW w:type="dxa" w:w="19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9"/>
                <w:szCs w:val="19"/>
              </w:rPr>
              <w:t xml:space="preserve">Free-text brief ingestion (email + portal)</w:t>
            </w:r>
          </w:p>
        </w:tc>
        <w:tc>
          <w:tcPr>
            <w:tcW w:type="dxa" w:w="54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9"/>
                <w:szCs w:val="19"/>
              </w:rPr>
              <w:t xml:space="preserve">NLP extraction into the structured JD Intake Schema, with low-confidence fields flagged for manager confirmation</w:t>
            </w:r>
          </w:p>
        </w:tc>
        <w:tc>
          <w:tcPr>
            <w:tcW w:type="dxa" w:w="10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9"/>
                <w:szCs w:val="19"/>
              </w:rPr>
              <w:t xml:space="preserve">Must-have</w:t>
            </w:r>
          </w:p>
        </w:tc>
      </w:tr>
      <w:tr>
        <w:tc>
          <w:tcPr>
            <w:tcW w:type="dxa" w:w="15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9"/>
                <w:szCs w:val="19"/>
              </w:rPr>
              <w:t xml:space="preserve">HR-M1-FR-002</w:t>
            </w:r>
          </w:p>
        </w:tc>
        <w:tc>
          <w:tcPr>
            <w:tcW w:type="dxa" w:w="19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9"/>
                <w:szCs w:val="19"/>
              </w:rPr>
              <w:t xml:space="preserve">Multi-variant JD generation</w:t>
            </w:r>
          </w:p>
        </w:tc>
        <w:tc>
          <w:tcPr>
            <w:tcW w:type="dxa" w:w="54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9"/>
                <w:szCs w:val="19"/>
              </w:rPr>
              <w:t xml:space="preserve">Auto-generate 2–3 JD versions (formal, candidate-friendly, condensed) from structured data</w:t>
            </w:r>
          </w:p>
        </w:tc>
        <w:tc>
          <w:tcPr>
            <w:tcW w:type="dxa" w:w="10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9"/>
                <w:szCs w:val="19"/>
              </w:rPr>
              <w:t xml:space="preserve">Must-have</w:t>
            </w:r>
          </w:p>
        </w:tc>
      </w:tr>
      <w:tr>
        <w:tc>
          <w:tcPr>
            <w:tcW w:type="dxa" w:w="15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9"/>
                <w:szCs w:val="19"/>
              </w:rPr>
              <w:t xml:space="preserve">HR-M1-FR-003</w:t>
            </w:r>
          </w:p>
        </w:tc>
        <w:tc>
          <w:tcPr>
            <w:tcW w:type="dxa" w:w="19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9"/>
                <w:szCs w:val="19"/>
              </w:rPr>
              <w:t xml:space="preserve">Email + portal review loop</w:t>
            </w:r>
          </w:p>
        </w:tc>
        <w:tc>
          <w:tcPr>
            <w:tcW w:type="dxa" w:w="54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9"/>
                <w:szCs w:val="19"/>
              </w:rPr>
              <w:t xml:space="preserve">Manager approves/edits via direct email reply (NLP-parsed) or in-portal editor — both converge on the same draft</w:t>
            </w:r>
          </w:p>
        </w:tc>
        <w:tc>
          <w:tcPr>
            <w:tcW w:type="dxa" w:w="10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9"/>
                <w:szCs w:val="19"/>
              </w:rPr>
              <w:t xml:space="preserve">Must-have</w:t>
            </w:r>
          </w:p>
        </w:tc>
      </w:tr>
      <w:tr>
        <w:tc>
          <w:tcPr>
            <w:tcW w:type="dxa" w:w="15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9"/>
                <w:szCs w:val="19"/>
              </w:rPr>
              <w:t xml:space="preserve">HR-M1-FR-004</w:t>
            </w:r>
          </w:p>
        </w:tc>
        <w:tc>
          <w:tcPr>
            <w:tcW w:type="dxa" w:w="19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9"/>
                <w:szCs w:val="19"/>
              </w:rPr>
              <w:t xml:space="preserve">JD versioning &amp; audit trail</w:t>
            </w:r>
          </w:p>
        </w:tc>
        <w:tc>
          <w:tcPr>
            <w:tcW w:type="dxa" w:w="54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9"/>
                <w:szCs w:val="19"/>
              </w:rPr>
              <w:t xml:space="preserve">Every edit stored as a version with author and timestamp; an Approved version is immutable and only ever superseded, never overwritten</w:t>
            </w:r>
          </w:p>
        </w:tc>
        <w:tc>
          <w:tcPr>
            <w:tcW w:type="dxa" w:w="10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9"/>
                <w:szCs w:val="19"/>
              </w:rPr>
              <w:t xml:space="preserve">Must-have</w:t>
            </w:r>
          </w:p>
        </w:tc>
      </w:tr>
      <w:tr>
        <w:tc>
          <w:tcPr>
            <w:tcW w:type="dxa" w:w="15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9"/>
                <w:szCs w:val="19"/>
              </w:rPr>
              <w:t xml:space="preserve">HR-M1-FR-005</w:t>
            </w:r>
          </w:p>
        </w:tc>
        <w:tc>
          <w:tcPr>
            <w:tcW w:type="dxa" w:w="19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9"/>
                <w:szCs w:val="19"/>
              </w:rPr>
              <w:t xml:space="preserve">Approval SLA &amp; escalation</w:t>
            </w:r>
          </w:p>
        </w:tc>
        <w:tc>
          <w:tcPr>
            <w:tcW w:type="dxa" w:w="54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9"/>
                <w:szCs w:val="19"/>
              </w:rPr>
              <w:t xml:space="preserve">Configurable reminder/escalation timer if a manager doesn't respond to a pending JD</w:t>
            </w:r>
          </w:p>
        </w:tc>
        <w:tc>
          <w:tcPr>
            <w:tcW w:type="dxa" w:w="10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9"/>
                <w:szCs w:val="19"/>
              </w:rPr>
              <w:t xml:space="preserve">Must-have</w:t>
            </w:r>
          </w:p>
        </w:tc>
      </w:tr>
      <w:tr>
        <w:tc>
          <w:tcPr>
            <w:tcW w:type="dxa" w:w="15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9"/>
                <w:szCs w:val="19"/>
              </w:rPr>
              <w:t xml:space="preserve">HR-M1-FR-006</w:t>
            </w:r>
          </w:p>
        </w:tc>
        <w:tc>
          <w:tcPr>
            <w:tcW w:type="dxa" w:w="19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9"/>
                <w:szCs w:val="19"/>
              </w:rPr>
              <w:t xml:space="preserve">Draft-then-freeze weighted scoring matrix</w:t>
            </w:r>
          </w:p>
        </w:tc>
        <w:tc>
          <w:tcPr>
            <w:tcW w:type="dxa" w:w="54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9"/>
                <w:szCs w:val="19"/>
              </w:rPr>
              <w:t xml:space="preserve">Matrix generated as an editable draft alongside the JD variants (not only at freeze), weights adjustable by the manager through every review round, approved atomically with the JD version at freeze; weights must sum to exactly 100% to approve</w:t>
            </w:r>
          </w:p>
        </w:tc>
        <w:tc>
          <w:tcPr>
            <w:tcW w:type="dxa" w:w="10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9"/>
                <w:szCs w:val="19"/>
              </w:rPr>
              <w:t xml:space="preserve">Must-have</w:t>
            </w:r>
          </w:p>
        </w:tc>
      </w:tr>
      <w:tr>
        <w:tc>
          <w:tcPr>
            <w:tcW w:type="dxa" w:w="15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9"/>
                <w:szCs w:val="19"/>
              </w:rPr>
              <w:t xml:space="preserve">HR-M1-FR-007</w:t>
            </w:r>
          </w:p>
        </w:tc>
        <w:tc>
          <w:tcPr>
            <w:tcW w:type="dxa" w:w="19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9"/>
                <w:szCs w:val="19"/>
              </w:rPr>
              <w:t xml:space="preserve">Staffing-agency / multi-client requisitions</w:t>
            </w:r>
          </w:p>
        </w:tc>
        <w:tc>
          <w:tcPr>
            <w:tcW w:type="dxa" w:w="54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9"/>
                <w:szCs w:val="19"/>
              </w:rPr>
              <w:t xml:space="preserve">An agency-tenant requisition is raised against a specific end-client company; a direct-employer tenant has no client selection</w:t>
            </w:r>
          </w:p>
        </w:tc>
        <w:tc>
          <w:tcPr>
            <w:tcW w:type="dxa" w:w="10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9"/>
                <w:szCs w:val="19"/>
              </w:rPr>
              <w:t xml:space="preserve">Must-have</w:t>
            </w:r>
          </w:p>
        </w:tc>
      </w:tr>
      <w:tr>
        <w:tc>
          <w:tcPr>
            <w:tcW w:type="dxa" w:w="15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9"/>
                <w:szCs w:val="19"/>
              </w:rPr>
              <w:t xml:space="preserve">HR-M1-FR-008</w:t>
            </w:r>
          </w:p>
        </w:tc>
        <w:tc>
          <w:tcPr>
            <w:tcW w:type="dxa" w:w="19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9"/>
                <w:szCs w:val="19"/>
              </w:rPr>
              <w:t xml:space="preserve">JD templates</w:t>
            </w:r>
          </w:p>
        </w:tc>
        <w:tc>
          <w:tcPr>
            <w:tcW w:type="dxa" w:w="54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9"/>
                <w:szCs w:val="19"/>
              </w:rPr>
              <w:t xml:space="preserve">Save an Approved JD + matrix as a reusable template for recurring roles</w:t>
            </w:r>
          </w:p>
        </w:tc>
        <w:tc>
          <w:tcPr>
            <w:tcW w:type="dxa" w:w="10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9"/>
                <w:szCs w:val="19"/>
              </w:rPr>
              <w:t xml:space="preserve">Should-have</w:t>
            </w:r>
          </w:p>
        </w:tc>
      </w:tr>
    </w:tbl>
    <w:p>
      <w:pPr>
        <w:pStyle w:val="Heading3"/>
        <w:spacing w:after="80" w:before="160"/>
      </w:pPr>
      <w:r>
        <w:rPr>
          <w:rFonts w:ascii="Calibri" w:cs="Calibri" w:eastAsia="Calibri" w:hAnsi="Calibri"/>
          <w:b/>
          <w:bCs/>
          <w:color w:val="000000"/>
          <w:sz w:val="22"/>
          <w:szCs w:val="22"/>
        </w:rPr>
        <w:t xml:space="preserve">Approved Decisions</w:t>
      </w:r>
    </w:p>
    <w:p>
      <w:pPr>
        <w:pStyle w:val="ListParagraph"/>
        <w:numPr>
          <w:ilvl w:val="0"/>
          <w:numId w:val="2"/>
        </w:numPr>
        <w:spacing w:after="80" w:line="280"/>
      </w:pPr>
      <w:r>
        <w:rPr>
          <w:rFonts w:ascii="Calibri" w:cs="Calibri" w:eastAsia="Calibri" w:hAnsi="Calibri"/>
          <w:color w:val="1A1A1A"/>
          <w:sz w:val="22"/>
          <w:szCs w:val="22"/>
        </w:rPr>
        <w:t xml:space="preserve">An Approved JD version and its matrix are immutable; any further change creates a new version through the same review/approval loop and, on its own approval, supersedes the prior Approved version rather than overwriting it.</w:t>
      </w:r>
    </w:p>
    <w:p>
      <w:pPr>
        <w:pStyle w:val="ListParagraph"/>
        <w:numPr>
          <w:ilvl w:val="0"/>
          <w:numId w:val="2"/>
        </w:numPr>
        <w:spacing w:after="80" w:line="280"/>
      </w:pPr>
      <w:r>
        <w:rPr>
          <w:rFonts w:ascii="Calibri" w:cs="Calibri" w:eastAsia="Calibri" w:hAnsi="Calibri"/>
          <w:color w:val="1A1A1A"/>
          <w:sz w:val="22"/>
          <w:szCs w:val="22"/>
        </w:rPr>
        <w:t xml:space="preserve">Manager can approve/edit by direct email reply (parsed by NLP) or in-portal — both are first-class; a low-confidence email parse always routes to a portal confirmation step rather than auto-applying.</w:t>
      </w:r>
    </w:p>
    <w:p>
      <w:pPr>
        <w:pStyle w:val="ListParagraph"/>
        <w:numPr>
          <w:ilvl w:val="0"/>
          <w:numId w:val="2"/>
        </w:numPr>
        <w:spacing w:after="80" w:line="280"/>
      </w:pPr>
      <w:r>
        <w:rPr>
          <w:rFonts w:ascii="Calibri" w:cs="Calibri" w:eastAsia="Calibri" w:hAnsi="Calibri"/>
          <w:color w:val="1A1A1A"/>
          <w:sz w:val="22"/>
          <w:szCs w:val="22"/>
        </w:rPr>
        <w:t xml:space="preserve">The scoring matrix is generated as an editable draft alongside the JD variants and remains editable by the manager through every review round; freezing approves the JD version and its then-current draft matrix together in one action — no matrix goes live without a human setting eyes on the weights, and the weights must sum to exactly 100%.</w:t>
      </w:r>
    </w:p>
    <w:p>
      <w:pPr>
        <w:pStyle w:val="ListParagraph"/>
        <w:numPr>
          <w:ilvl w:val="0"/>
          <w:numId w:val="2"/>
        </w:numPr>
        <w:spacing w:after="80" w:line="280"/>
      </w:pPr>
      <w:r>
        <w:rPr>
          <w:rFonts w:ascii="Calibri" w:cs="Calibri" w:eastAsia="Calibri" w:hAnsi="Calibri"/>
          <w:color w:val="1A1A1A"/>
          <w:sz w:val="22"/>
          <w:szCs w:val="22"/>
        </w:rPr>
        <w:t xml:space="preserve">Soft skills are captured as text at JD/resume stage only and are excluded entirely from the numeric screening-stage scoring matrix; they are assessed solely through qualitative human judgment at the structured interview stage (Module 5).</w:t>
      </w:r>
    </w:p>
    <w:p>
      <w:pPr>
        <w:pStyle w:val="ListParagraph"/>
        <w:numPr>
          <w:ilvl w:val="0"/>
          <w:numId w:val="2"/>
        </w:numPr>
        <w:spacing w:after="80" w:line="280"/>
      </w:pPr>
      <w:r>
        <w:rPr>
          <w:rFonts w:ascii="Calibri" w:cs="Calibri" w:eastAsia="Calibri" w:hAnsi="Calibri"/>
          <w:color w:val="1A1A1A"/>
          <w:sz w:val="22"/>
          <w:szCs w:val="22"/>
        </w:rPr>
        <w:t xml:space="preserve">Release 1 includes the staffing-agency / multi-client tenant model: an agency tenant's requisition must specify an end-client company; a direct-employer tenant's does not.</w:t>
      </w:r>
    </w:p>
    <w:p>
      <w:pPr>
        <w:pStyle w:val="Heading3"/>
        <w:spacing w:after="80" w:before="160"/>
      </w:pPr>
      <w:r>
        <w:rPr>
          <w:rFonts w:ascii="Calibri" w:cs="Calibri" w:eastAsia="Calibri" w:hAnsi="Calibri"/>
          <w:b/>
          <w:bCs/>
          <w:color w:val="000000"/>
          <w:sz w:val="22"/>
          <w:szCs w:val="22"/>
        </w:rPr>
        <w:t xml:space="preserve">Acceptance Scenarios</w:t>
      </w: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1400"/>
        <w:gridCol w:w="3600"/>
        <w:gridCol w:w="4800"/>
      </w:tblGrid>
      <w:tr>
        <w:trPr>
          <w:tblHeader/>
        </w:trPr>
        <w:tc>
          <w:tcPr>
            <w:tcW w:type="dxa" w:w="1400"/>
            <w:tcBorders>
              <w:top w:val="single" w:color="CCCCCC" w:sz="2"/>
              <w:left w:val="single" w:color="CCCCCC" w:sz="2"/>
              <w:bottom w:val="single" w:color="CCCCCC" w:sz="2"/>
              <w:right w:val="single" w:color="CCCCCC" w:sz="2"/>
            </w:tcBorders>
            <w:shd w:fill="F2F2F2" w:color="auto" w:val="clear"/>
            <w:tcMar>
              <w:top w:type="dxa" w:w="80"/>
              <w:left w:type="dxa" w:w="100"/>
              <w:bottom w:type="dxa" w:w="80"/>
              <w:right w:type="dxa" w:w="100"/>
            </w:tcMar>
          </w:tcPr>
          <w:p>
            <w:r>
              <w:rPr>
                <w:rFonts w:ascii="Calibri" w:cs="Calibri" w:eastAsia="Calibri" w:hAnsi="Calibri"/>
                <w:b/>
                <w:bCs/>
                <w:color w:val="000000"/>
                <w:sz w:val="19"/>
                <w:szCs w:val="19"/>
              </w:rPr>
              <w:t xml:space="preserve">Req ID</w:t>
            </w:r>
          </w:p>
        </w:tc>
        <w:tc>
          <w:tcPr>
            <w:tcW w:type="dxa" w:w="3600"/>
            <w:tcBorders>
              <w:top w:val="single" w:color="CCCCCC" w:sz="2"/>
              <w:left w:val="single" w:color="CCCCCC" w:sz="2"/>
              <w:bottom w:val="single" w:color="CCCCCC" w:sz="2"/>
              <w:right w:val="single" w:color="CCCCCC" w:sz="2"/>
            </w:tcBorders>
            <w:shd w:fill="F2F2F2" w:color="auto" w:val="clear"/>
            <w:tcMar>
              <w:top w:type="dxa" w:w="80"/>
              <w:left w:type="dxa" w:w="100"/>
              <w:bottom w:type="dxa" w:w="80"/>
              <w:right w:type="dxa" w:w="100"/>
            </w:tcMar>
          </w:tcPr>
          <w:p>
            <w:r>
              <w:rPr>
                <w:rFonts w:ascii="Calibri" w:cs="Calibri" w:eastAsia="Calibri" w:hAnsi="Calibri"/>
                <w:b/>
                <w:bCs/>
                <w:color w:val="000000"/>
                <w:sz w:val="19"/>
                <w:szCs w:val="19"/>
              </w:rPr>
              <w:t xml:space="preserve">Scenario</w:t>
            </w:r>
          </w:p>
        </w:tc>
        <w:tc>
          <w:tcPr>
            <w:tcW w:type="dxa" w:w="4800"/>
            <w:tcBorders>
              <w:top w:val="single" w:color="CCCCCC" w:sz="2"/>
              <w:left w:val="single" w:color="CCCCCC" w:sz="2"/>
              <w:bottom w:val="single" w:color="CCCCCC" w:sz="2"/>
              <w:right w:val="single" w:color="CCCCCC" w:sz="2"/>
            </w:tcBorders>
            <w:shd w:fill="F2F2F2" w:color="auto" w:val="clear"/>
            <w:tcMar>
              <w:top w:type="dxa" w:w="80"/>
              <w:left w:type="dxa" w:w="100"/>
              <w:bottom w:type="dxa" w:w="80"/>
              <w:right w:type="dxa" w:w="100"/>
            </w:tcMar>
          </w:tcPr>
          <w:p>
            <w:r>
              <w:rPr>
                <w:rFonts w:ascii="Calibri" w:cs="Calibri" w:eastAsia="Calibri" w:hAnsi="Calibri"/>
                <w:b/>
                <w:bCs/>
                <w:color w:val="000000"/>
                <w:sz w:val="19"/>
                <w:szCs w:val="19"/>
              </w:rPr>
              <w:t xml:space="preserve">Expected outcome</w:t>
            </w:r>
          </w:p>
        </w:tc>
      </w:tr>
      <w:tr>
        <w:tc>
          <w:tcPr>
            <w:tcW w:type="dxa" w:w="14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9"/>
                <w:szCs w:val="19"/>
              </w:rPr>
              <w:t xml:space="preserve">HR-M1-FR-006</w:t>
            </w:r>
          </w:p>
        </w:tc>
        <w:tc>
          <w:tcPr>
            <w:tcW w:type="dxa" w:w="36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9"/>
                <w:szCs w:val="19"/>
              </w:rPr>
              <w:t xml:space="preserve">Manager submits matrix weights that sum to 100%</w:t>
            </w:r>
          </w:p>
        </w:tc>
        <w:tc>
          <w:tcPr>
            <w:tcW w:type="dxa" w:w="48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9"/>
                <w:szCs w:val="19"/>
              </w:rPr>
              <w:t xml:space="preserve">Freeze succeeds; new JD version and matrix set to Approved; prior Approved version (if any) set to Superseded</w:t>
            </w:r>
          </w:p>
        </w:tc>
      </w:tr>
      <w:tr>
        <w:tc>
          <w:tcPr>
            <w:tcW w:type="dxa" w:w="14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9"/>
                <w:szCs w:val="19"/>
              </w:rPr>
              <w:t xml:space="preserve">HR-M1-FR-006</w:t>
            </w:r>
          </w:p>
        </w:tc>
        <w:tc>
          <w:tcPr>
            <w:tcW w:type="dxa" w:w="36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9"/>
                <w:szCs w:val="19"/>
              </w:rPr>
              <w:t xml:space="preserve">Manager submits matrix weights that do not sum to 100%</w:t>
            </w:r>
          </w:p>
        </w:tc>
        <w:tc>
          <w:tcPr>
            <w:tcW w:type="dxa" w:w="48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9"/>
                <w:szCs w:val="19"/>
              </w:rPr>
              <w:t xml:space="preserve">Freeze request rejected with the offending total returned; no state change to the requisition</w:t>
            </w:r>
          </w:p>
        </w:tc>
      </w:tr>
      <w:tr>
        <w:tc>
          <w:tcPr>
            <w:tcW w:type="dxa" w:w="14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9"/>
                <w:szCs w:val="19"/>
              </w:rPr>
              <w:t xml:space="preserve">HR-M1-FR-006</w:t>
            </w:r>
          </w:p>
        </w:tc>
        <w:tc>
          <w:tcPr>
            <w:tcW w:type="dxa" w:w="36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9"/>
                <w:szCs w:val="19"/>
              </w:rPr>
              <w:t xml:space="preserve">Two managers attempt to freeze the same requisition simultaneously</w:t>
            </w:r>
          </w:p>
        </w:tc>
        <w:tc>
          <w:tcPr>
            <w:tcW w:type="dxa" w:w="48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9"/>
                <w:szCs w:val="19"/>
              </w:rPr>
              <w:t xml:space="preserve">Exactly one freeze succeeds atomically; the second is rejected against the now-current state, not silently overwritten</w:t>
            </w:r>
          </w:p>
        </w:tc>
      </w:tr>
      <w:tr>
        <w:tc>
          <w:tcPr>
            <w:tcW w:type="dxa" w:w="14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9"/>
                <w:szCs w:val="19"/>
              </w:rPr>
              <w:t xml:space="preserve">HR-M1-FR-004</w:t>
            </w:r>
          </w:p>
        </w:tc>
        <w:tc>
          <w:tcPr>
            <w:tcW w:type="dxa" w:w="36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9"/>
                <w:szCs w:val="19"/>
              </w:rPr>
              <w:t xml:space="preserve">Manager edits a JD after it has already been Approved (frozen)</w:t>
            </w:r>
          </w:p>
        </w:tc>
        <w:tc>
          <w:tcPr>
            <w:tcW w:type="dxa" w:w="48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9"/>
                <w:szCs w:val="19"/>
              </w:rPr>
              <w:t xml:space="preserve">Direct edit to the Approved version is rejected; the edit instead opens a new Draft/Revising version through the standard review loop</w:t>
            </w:r>
          </w:p>
        </w:tc>
      </w:tr>
      <w:tr>
        <w:tc>
          <w:tcPr>
            <w:tcW w:type="dxa" w:w="14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9"/>
                <w:szCs w:val="19"/>
              </w:rPr>
              <w:t xml:space="preserve">HR-M1-FR-004</w:t>
            </w:r>
          </w:p>
        </w:tc>
        <w:tc>
          <w:tcPr>
            <w:tcW w:type="dxa" w:w="36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9"/>
                <w:szCs w:val="19"/>
              </w:rPr>
              <w:t xml:space="preserve">Manager repeats an identical freeze request already applied</w:t>
            </w:r>
          </w:p>
        </w:tc>
        <w:tc>
          <w:tcPr>
            <w:tcW w:type="dxa" w:w="48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9"/>
                <w:szCs w:val="19"/>
              </w:rPr>
              <w:t xml:space="preserve">Second request is a no-op against the same Approved version — no duplicate version or duplicate matrix is created</w:t>
            </w:r>
          </w:p>
        </w:tc>
      </w:tr>
      <w:tr>
        <w:tc>
          <w:tcPr>
            <w:tcW w:type="dxa" w:w="14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9"/>
                <w:szCs w:val="19"/>
              </w:rPr>
              <w:t xml:space="preserve">HR-M1-FR-007</w:t>
            </w:r>
          </w:p>
        </w:tc>
        <w:tc>
          <w:tcPr>
            <w:tcW w:type="dxa" w:w="36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9"/>
                <w:szCs w:val="19"/>
              </w:rPr>
              <w:t xml:space="preserve">An agency-tenant manager submits a brief without selecting a client</w:t>
            </w:r>
          </w:p>
        </w:tc>
        <w:tc>
          <w:tcPr>
            <w:tcW w:type="dxa" w:w="48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9"/>
                <w:szCs w:val="19"/>
              </w:rPr>
              <w:t xml:space="preserve">Rejected at intake with an explicit validation error (422); a client selection is required before the brief is accepted</w:t>
            </w:r>
          </w:p>
        </w:tc>
      </w:tr>
      <w:tr>
        <w:tc>
          <w:tcPr>
            <w:tcW w:type="dxa" w:w="14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9"/>
                <w:szCs w:val="19"/>
              </w:rPr>
              <w:t xml:space="preserve">HR-M1-FR-007</w:t>
            </w:r>
          </w:p>
        </w:tc>
        <w:tc>
          <w:tcPr>
            <w:tcW w:type="dxa" w:w="36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9"/>
                <w:szCs w:val="19"/>
              </w:rPr>
              <w:t xml:space="preserve">A direct-employer-tenant manager submits a brief with a client selected</w:t>
            </w:r>
          </w:p>
        </w:tc>
        <w:tc>
          <w:tcPr>
            <w:tcW w:type="dxa" w:w="48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9"/>
                <w:szCs w:val="19"/>
              </w:rPr>
              <w:t xml:space="preserve">Rejected at intake with an explicit validation error (422) — a direct-employer tenant has no client to select, and the field must be left unset rather than populated; consistent with agency-without-client-selected being rejected the same way, not silently ignored</w:t>
            </w:r>
          </w:p>
        </w:tc>
      </w:tr>
      <w:tr>
        <w:tc>
          <w:tcPr>
            <w:tcW w:type="dxa" w:w="14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9"/>
                <w:szCs w:val="19"/>
              </w:rPr>
              <w:t xml:space="preserve">HR-M1-FR-001</w:t>
            </w:r>
          </w:p>
        </w:tc>
        <w:tc>
          <w:tcPr>
            <w:tcW w:type="dxa" w:w="36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9"/>
                <w:szCs w:val="19"/>
              </w:rPr>
              <w:t xml:space="preserve">Manager submits a brief with a field the NLP extraction cannot confidently identify</w:t>
            </w:r>
          </w:p>
        </w:tc>
        <w:tc>
          <w:tcPr>
            <w:tcW w:type="dxa" w:w="48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9"/>
                <w:szCs w:val="19"/>
              </w:rPr>
              <w:t xml:space="preserve">Field is flagged low-confidence and manager_confirmed is forced false; the field cannot feed an Approved JD until the manager explicitly confirms or corrects it</w:t>
            </w:r>
          </w:p>
        </w:tc>
      </w:tr>
      <w:tr>
        <w:tc>
          <w:tcPr>
            <w:tcW w:type="dxa" w:w="14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9"/>
                <w:szCs w:val="19"/>
              </w:rPr>
              <w:t xml:space="preserve">HR-M1-FR-002</w:t>
            </w:r>
          </w:p>
        </w:tc>
        <w:tc>
          <w:tcPr>
            <w:tcW w:type="dxa" w:w="36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9"/>
                <w:szCs w:val="19"/>
              </w:rPr>
              <w:t xml:space="preserve">Structured brief data is complete enough to generate variants</w:t>
            </w:r>
          </w:p>
        </w:tc>
        <w:tc>
          <w:tcPr>
            <w:tcW w:type="dxa" w:w="48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9"/>
                <w:szCs w:val="19"/>
              </w:rPr>
              <w:t xml:space="preserve">System produces all three JD variants (formal, candidate-friendly, condensed); none is silently skipped</w:t>
            </w:r>
          </w:p>
        </w:tc>
      </w:tr>
      <w:tr>
        <w:tc>
          <w:tcPr>
            <w:tcW w:type="dxa" w:w="14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9"/>
                <w:szCs w:val="19"/>
              </w:rPr>
              <w:t xml:space="preserve">HR-M1-FR-003</w:t>
            </w:r>
          </w:p>
        </w:tc>
        <w:tc>
          <w:tcPr>
            <w:tcW w:type="dxa" w:w="36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9"/>
                <w:szCs w:val="19"/>
              </w:rPr>
              <w:t xml:space="preserve">Manager replies to the review email with a low-confidence or ambiguous instruction</w:t>
            </w:r>
          </w:p>
        </w:tc>
        <w:tc>
          <w:tcPr>
            <w:tcW w:type="dxa" w:w="48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9"/>
                <w:szCs w:val="19"/>
              </w:rPr>
              <w:t xml:space="preserve">Reply is not auto-applied; routed to a portal confirmation step for the manager to confirm the intended change before it is applied</w:t>
            </w:r>
          </w:p>
        </w:tc>
      </w:tr>
      <w:tr>
        <w:tc>
          <w:tcPr>
            <w:tcW w:type="dxa" w:w="14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9"/>
                <w:szCs w:val="19"/>
              </w:rPr>
              <w:t xml:space="preserve">HR-M1-FR-005</w:t>
            </w:r>
          </w:p>
        </w:tc>
        <w:tc>
          <w:tcPr>
            <w:tcW w:type="dxa" w:w="36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9"/>
                <w:szCs w:val="19"/>
              </w:rPr>
              <w:t xml:space="preserve">Manager does not respond within the configured SLA window</w:t>
            </w:r>
          </w:p>
        </w:tc>
        <w:tc>
          <w:tcPr>
            <w:tcW w:type="dxa" w:w="48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9"/>
                <w:szCs w:val="19"/>
              </w:rPr>
              <w:t xml:space="preserve">A reminder fires at the configured threshold, followed by an HR escalation if still unresolved; both fire on a scheduled check, not only when the manager next opens a request</w:t>
            </w:r>
          </w:p>
        </w:tc>
      </w:tr>
      <w:tr>
        <w:tc>
          <w:tcPr>
            <w:tcW w:type="dxa" w:w="14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9"/>
                <w:szCs w:val="19"/>
              </w:rPr>
              <w:t xml:space="preserve">HR-M1-FR-008</w:t>
            </w:r>
          </w:p>
        </w:tc>
        <w:tc>
          <w:tcPr>
            <w:tcW w:type="dxa" w:w="36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9"/>
                <w:szCs w:val="19"/>
              </w:rPr>
              <w:t xml:space="preserve">Manager saves an Approved JD + matrix as a template and later reuses it for a new requisition</w:t>
            </w:r>
          </w:p>
        </w:tc>
        <w:tc>
          <w:tcPr>
            <w:tcW w:type="dxa" w:w="48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9"/>
                <w:szCs w:val="19"/>
              </w:rPr>
              <w:t xml:space="preserve">New requisition pre-populates from the template; the template itself is unaffected by later edits to the requisition created from it</w:t>
            </w:r>
          </w:p>
        </w:tc>
      </w:tr>
    </w:tbl>
    <w:p>
      <w:pPr>
        <w:pStyle w:val="Heading2"/>
        <w:spacing w:after="100" w:before="220"/>
      </w:pPr>
      <w:bookmarkStart w:name="bm_13_4_2_module_2_candidate_sourcin" w:id="1013"/>
      <w:r>
        <w:rPr>
          <w:rFonts w:ascii="Calibri" w:cs="Calibri" w:eastAsia="Calibri" w:hAnsi="Calibri"/>
          <w:b/>
          <w:bCs/>
          <w:color w:val="404040"/>
          <w:sz w:val="24"/>
          <w:szCs w:val="24"/>
        </w:rPr>
        <w:t xml:space="preserve">4.2 Module 2 — Candidate Sourcing &amp; Resume Aggregation  —  Status: Draft v2.1, pending Reviewed/Approved sign-off (supersedes v1.0)</w:t>
      </w:r>
      <w:bookmarkEnd w:id="1013"/>
    </w:p>
    <w:p>
      <w:pPr>
        <w:spacing w:after="160" w:line="300"/>
        <w:jc w:val="both"/>
      </w:pPr>
      <w:r>
        <w:rPr>
          <w:rFonts w:ascii="Calibri" w:cs="Calibri" w:eastAsia="Calibri" w:hAnsi="Calibri"/>
          <w:color w:val="1A1A1A"/>
          <w:sz w:val="22"/>
          <w:szCs w:val="22"/>
        </w:rPr>
        <w:t xml:space="preserve">Once a JD is frozen (Approved), it is published to sourcing channels and resumes begin flowing into the system — via job-board integration, direct email, or manual upload — into one unified, deduplicated candidate pool scoped to the owning tenant and, for an agency tenant, its specific end-client.</w:t>
      </w:r>
    </w:p>
    <w:p>
      <w:pPr>
        <w:spacing w:after="140" w:line="280"/>
        <w:jc w:val="both"/>
      </w:pPr>
      <w:r>
        <w:rPr>
          <w:rFonts w:ascii="Calibri" w:cs="Calibri" w:eastAsia="Calibri" w:hAnsi="Calibri"/>
          <w:b/>
          <w:bCs/>
          <w:color w:val="000000"/>
          <w:sz w:val="22"/>
          <w:szCs w:val="22"/>
        </w:rPr>
        <w:t xml:space="preserve">Approved decision: </w:t>
      </w:r>
      <w:r>
        <w:rPr>
          <w:rFonts w:ascii="Calibri" w:cs="Calibri" w:eastAsia="Calibri" w:hAnsi="Calibri"/>
          <w:color w:val="1A1A1A"/>
          <w:sz w:val="22"/>
          <w:szCs w:val="22"/>
        </w:rPr>
        <w:t xml:space="preserve">resumes are ingested only through official, contracted integrations — job-board recruiter APIs / RMS partnerships (Naukri RMS, LinkedIn Talent Solutions, and equivalent) — plus direct email intake and manual upload. Unauthorized scraping of job-board pages is explicitly out of scope, since it violates most job boards' terms of service and creates an ongoing legal and account-suspension risk. Where a target board has no official API, the fallback is manual upload — never scraping. Naukri RMS and LinkedIn Talent Solutions are, as of this baseline, proposed adapter contracts pending vendor/product-tier confirmation (Section 6) — not yet confirmed vendor capabilities.</w:t>
      </w:r>
    </w:p>
    <w:p>
      <w:pPr>
        <w:pStyle w:val="Heading3"/>
        <w:spacing w:after="80" w:before="160"/>
      </w:pPr>
      <w:r>
        <w:rPr>
          <w:rFonts w:ascii="Calibri" w:cs="Calibri" w:eastAsia="Calibri" w:hAnsi="Calibri"/>
          <w:b/>
          <w:bCs/>
          <w:color w:val="000000"/>
          <w:sz w:val="22"/>
          <w:szCs w:val="22"/>
        </w:rPr>
        <w:t xml:space="preserve">Sourcing Channels</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3400"/>
        <w:gridCol w:w="5800"/>
      </w:tblGrid>
      <w:tr>
        <w:trPr>
          <w:tblHeader/>
        </w:trPr>
        <w:tc>
          <w:tcPr>
            <w:tcW w:type="dxa" w:w="3400"/>
            <w:tcBorders>
              <w:top w:val="single" w:color="CCCCCC" w:sz="2"/>
              <w:left w:val="single" w:color="CCCCCC" w:sz="2"/>
              <w:bottom w:val="single" w:color="CCCCCC" w:sz="2"/>
              <w:right w:val="single" w:color="CCCCCC" w:sz="2"/>
            </w:tcBorders>
            <w:shd w:fill="F2F2F2" w:color="auto" w:val="clear"/>
            <w:tcMar>
              <w:top w:type="dxa" w:w="80"/>
              <w:left w:type="dxa" w:w="100"/>
              <w:bottom w:type="dxa" w:w="80"/>
              <w:right w:type="dxa" w:w="100"/>
            </w:tcMar>
          </w:tcPr>
          <w:p>
            <w:r>
              <w:rPr>
                <w:rFonts w:ascii="Calibri" w:cs="Calibri" w:eastAsia="Calibri" w:hAnsi="Calibri"/>
                <w:b/>
                <w:bCs/>
                <w:color w:val="000000"/>
                <w:sz w:val="19"/>
                <w:szCs w:val="19"/>
              </w:rPr>
              <w:t xml:space="preserve">Channel</w:t>
            </w:r>
          </w:p>
        </w:tc>
        <w:tc>
          <w:tcPr>
            <w:tcW w:type="dxa" w:w="5800"/>
            <w:tcBorders>
              <w:top w:val="single" w:color="CCCCCC" w:sz="2"/>
              <w:left w:val="single" w:color="CCCCCC" w:sz="2"/>
              <w:bottom w:val="single" w:color="CCCCCC" w:sz="2"/>
              <w:right w:val="single" w:color="CCCCCC" w:sz="2"/>
            </w:tcBorders>
            <w:shd w:fill="F2F2F2" w:color="auto" w:val="clear"/>
            <w:tcMar>
              <w:top w:type="dxa" w:w="80"/>
              <w:left w:type="dxa" w:w="100"/>
              <w:bottom w:type="dxa" w:w="80"/>
              <w:right w:type="dxa" w:w="100"/>
            </w:tcMar>
          </w:tcPr>
          <w:p>
            <w:r>
              <w:rPr>
                <w:rFonts w:ascii="Calibri" w:cs="Calibri" w:eastAsia="Calibri" w:hAnsi="Calibri"/>
                <w:b/>
                <w:bCs/>
                <w:color w:val="000000"/>
                <w:sz w:val="19"/>
                <w:szCs w:val="19"/>
              </w:rPr>
              <w:t xml:space="preserve">Ingestion method (Approved)</w:t>
            </w:r>
          </w:p>
        </w:tc>
      </w:tr>
      <w:tr>
        <w:tc>
          <w:tcPr>
            <w:tcW w:type="dxa" w:w="34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9"/>
                <w:szCs w:val="19"/>
              </w:rPr>
              <w:t xml:space="preserve">Naukri</w:t>
            </w:r>
          </w:p>
        </w:tc>
        <w:tc>
          <w:tcPr>
            <w:tcW w:type="dxa" w:w="58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9"/>
                <w:szCs w:val="19"/>
              </w:rPr>
              <w:t xml:space="preserve">Naukri RMS (Recruiter Management System) API integration — pending vendor confirmation, Section 6</w:t>
            </w:r>
          </w:p>
        </w:tc>
      </w:tr>
      <w:tr>
        <w:tc>
          <w:tcPr>
            <w:tcW w:type="dxa" w:w="34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9"/>
                <w:szCs w:val="19"/>
              </w:rPr>
              <w:t xml:space="preserve">LinkedIn</w:t>
            </w:r>
          </w:p>
        </w:tc>
        <w:tc>
          <w:tcPr>
            <w:tcW w:type="dxa" w:w="58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9"/>
                <w:szCs w:val="19"/>
              </w:rPr>
              <w:t xml:space="preserve">LinkedIn Talent Solutions API integration — exact product pending confirmation, Section 6</w:t>
            </w:r>
          </w:p>
        </w:tc>
      </w:tr>
      <w:tr>
        <w:tc>
          <w:tcPr>
            <w:tcW w:type="dxa" w:w="34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9"/>
                <w:szCs w:val="19"/>
              </w:rPr>
              <w:t xml:space="preserve">Niche job boards (e.g. iimjobs)</w:t>
            </w:r>
          </w:p>
        </w:tc>
        <w:tc>
          <w:tcPr>
            <w:tcW w:type="dxa" w:w="58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9"/>
                <w:szCs w:val="19"/>
              </w:rPr>
              <w:t xml:space="preserve">Official employer API where available; manual upload otherwise</w:t>
            </w:r>
          </w:p>
        </w:tc>
      </w:tr>
      <w:tr>
        <w:tc>
          <w:tcPr>
            <w:tcW w:type="dxa" w:w="34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9"/>
                <w:szCs w:val="19"/>
              </w:rPr>
              <w:t xml:space="preserve">Direct email intake</w:t>
            </w:r>
          </w:p>
        </w:tc>
        <w:tc>
          <w:tcPr>
            <w:tcW w:type="dxa" w:w="58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9"/>
                <w:szCs w:val="19"/>
              </w:rPr>
              <w:t xml:space="preserve">Automated inbox parsing — attachment extraction + resume parsing</w:t>
            </w:r>
          </w:p>
        </w:tc>
      </w:tr>
      <w:tr>
        <w:tc>
          <w:tcPr>
            <w:tcW w:type="dxa" w:w="34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9"/>
                <w:szCs w:val="19"/>
              </w:rPr>
              <w:t xml:space="preserve">Manual upload</w:t>
            </w:r>
          </w:p>
        </w:tc>
        <w:tc>
          <w:tcPr>
            <w:tcW w:type="dxa" w:w="58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9"/>
                <w:szCs w:val="19"/>
              </w:rPr>
              <w:t xml:space="preserve">Recruiter-driven single/bulk upload — universal fallback</w:t>
            </w:r>
          </w:p>
        </w:tc>
      </w:tr>
      <w:tr>
        <w:tc>
          <w:tcPr>
            <w:tcW w:type="dxa" w:w="34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9"/>
                <w:szCs w:val="19"/>
              </w:rPr>
              <w:t xml:space="preserve">Employee referral</w:t>
            </w:r>
          </w:p>
        </w:tc>
        <w:tc>
          <w:tcPr>
            <w:tcW w:type="dxa" w:w="58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9"/>
                <w:szCs w:val="19"/>
              </w:rPr>
              <w:t xml:space="preserve">Referral link/form tied to the referring employee, attributed at intake</w:t>
            </w:r>
          </w:p>
        </w:tc>
      </w:tr>
    </w:tbl>
    <w:p>
      <w:pPr>
        <w:pStyle w:val="Heading3"/>
        <w:spacing w:after="80" w:before="160"/>
      </w:pPr>
      <w:r>
        <w:rPr>
          <w:rFonts w:ascii="Calibri" w:cs="Calibri" w:eastAsia="Calibri" w:hAnsi="Calibri"/>
          <w:b/>
          <w:bCs/>
          <w:color w:val="000000"/>
          <w:sz w:val="22"/>
          <w:szCs w:val="22"/>
        </w:rPr>
        <w:t xml:space="preserve">Feature List</w:t>
      </w: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1500"/>
        <w:gridCol w:w="1900"/>
        <w:gridCol w:w="5400"/>
        <w:gridCol w:w="1000"/>
      </w:tblGrid>
      <w:tr>
        <w:trPr>
          <w:tblHeader/>
        </w:trPr>
        <w:tc>
          <w:tcPr>
            <w:tcW w:type="dxa" w:w="1500"/>
            <w:tcBorders>
              <w:top w:val="single" w:color="CCCCCC" w:sz="2"/>
              <w:left w:val="single" w:color="CCCCCC" w:sz="2"/>
              <w:bottom w:val="single" w:color="CCCCCC" w:sz="2"/>
              <w:right w:val="single" w:color="CCCCCC" w:sz="2"/>
            </w:tcBorders>
            <w:shd w:fill="F2F2F2" w:color="auto" w:val="clear"/>
            <w:tcMar>
              <w:top w:type="dxa" w:w="80"/>
              <w:left w:type="dxa" w:w="100"/>
              <w:bottom w:type="dxa" w:w="80"/>
              <w:right w:type="dxa" w:w="100"/>
            </w:tcMar>
          </w:tcPr>
          <w:p>
            <w:r>
              <w:rPr>
                <w:rFonts w:ascii="Calibri" w:cs="Calibri" w:eastAsia="Calibri" w:hAnsi="Calibri"/>
                <w:b/>
                <w:bCs/>
                <w:color w:val="000000"/>
                <w:sz w:val="19"/>
                <w:szCs w:val="19"/>
              </w:rPr>
              <w:t xml:space="preserve">Req ID</w:t>
            </w:r>
          </w:p>
        </w:tc>
        <w:tc>
          <w:tcPr>
            <w:tcW w:type="dxa" w:w="1900"/>
            <w:tcBorders>
              <w:top w:val="single" w:color="CCCCCC" w:sz="2"/>
              <w:left w:val="single" w:color="CCCCCC" w:sz="2"/>
              <w:bottom w:val="single" w:color="CCCCCC" w:sz="2"/>
              <w:right w:val="single" w:color="CCCCCC" w:sz="2"/>
            </w:tcBorders>
            <w:shd w:fill="F2F2F2" w:color="auto" w:val="clear"/>
            <w:tcMar>
              <w:top w:type="dxa" w:w="80"/>
              <w:left w:type="dxa" w:w="100"/>
              <w:bottom w:type="dxa" w:w="80"/>
              <w:right w:type="dxa" w:w="100"/>
            </w:tcMar>
          </w:tcPr>
          <w:p>
            <w:r>
              <w:rPr>
                <w:rFonts w:ascii="Calibri" w:cs="Calibri" w:eastAsia="Calibri" w:hAnsi="Calibri"/>
                <w:b/>
                <w:bCs/>
                <w:color w:val="000000"/>
                <w:sz w:val="19"/>
                <w:szCs w:val="19"/>
              </w:rPr>
              <w:t xml:space="preserve">Feature</w:t>
            </w:r>
          </w:p>
        </w:tc>
        <w:tc>
          <w:tcPr>
            <w:tcW w:type="dxa" w:w="5400"/>
            <w:tcBorders>
              <w:top w:val="single" w:color="CCCCCC" w:sz="2"/>
              <w:left w:val="single" w:color="CCCCCC" w:sz="2"/>
              <w:bottom w:val="single" w:color="CCCCCC" w:sz="2"/>
              <w:right w:val="single" w:color="CCCCCC" w:sz="2"/>
            </w:tcBorders>
            <w:shd w:fill="F2F2F2" w:color="auto" w:val="clear"/>
            <w:tcMar>
              <w:top w:type="dxa" w:w="80"/>
              <w:left w:type="dxa" w:w="100"/>
              <w:bottom w:type="dxa" w:w="80"/>
              <w:right w:type="dxa" w:w="100"/>
            </w:tcMar>
          </w:tcPr>
          <w:p>
            <w:r>
              <w:rPr>
                <w:rFonts w:ascii="Calibri" w:cs="Calibri" w:eastAsia="Calibri" w:hAnsi="Calibri"/>
                <w:b/>
                <w:bCs/>
                <w:color w:val="000000"/>
                <w:sz w:val="19"/>
                <w:szCs w:val="19"/>
              </w:rPr>
              <w:t xml:space="preserve">Description</w:t>
            </w:r>
          </w:p>
        </w:tc>
        <w:tc>
          <w:tcPr>
            <w:tcW w:type="dxa" w:w="1000"/>
            <w:tcBorders>
              <w:top w:val="single" w:color="CCCCCC" w:sz="2"/>
              <w:left w:val="single" w:color="CCCCCC" w:sz="2"/>
              <w:bottom w:val="single" w:color="CCCCCC" w:sz="2"/>
              <w:right w:val="single" w:color="CCCCCC" w:sz="2"/>
            </w:tcBorders>
            <w:shd w:fill="F2F2F2" w:color="auto" w:val="clear"/>
            <w:tcMar>
              <w:top w:type="dxa" w:w="80"/>
              <w:left w:type="dxa" w:w="100"/>
              <w:bottom w:type="dxa" w:w="80"/>
              <w:right w:type="dxa" w:w="100"/>
            </w:tcMar>
          </w:tcPr>
          <w:p>
            <w:r>
              <w:rPr>
                <w:rFonts w:ascii="Calibri" w:cs="Calibri" w:eastAsia="Calibri" w:hAnsi="Calibri"/>
                <w:b/>
                <w:bCs/>
                <w:color w:val="000000"/>
                <w:sz w:val="19"/>
                <w:szCs w:val="19"/>
              </w:rPr>
              <w:t xml:space="preserve">Priority</w:t>
            </w:r>
          </w:p>
        </w:tc>
      </w:tr>
      <w:tr>
        <w:tc>
          <w:tcPr>
            <w:tcW w:type="dxa" w:w="15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9"/>
                <w:szCs w:val="19"/>
              </w:rPr>
              <w:t xml:space="preserve">HR-M2-FR-001</w:t>
            </w:r>
          </w:p>
        </w:tc>
        <w:tc>
          <w:tcPr>
            <w:tcW w:type="dxa" w:w="19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9"/>
                <w:szCs w:val="19"/>
              </w:rPr>
              <w:t xml:space="preserve">Multi-channel job posting</w:t>
            </w:r>
          </w:p>
        </w:tc>
        <w:tc>
          <w:tcPr>
            <w:tcW w:type="dxa" w:w="54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9"/>
                <w:szCs w:val="19"/>
              </w:rPr>
              <w:t xml:space="preserve">Publish an Approved requisition to the careers page and contracted job-board integrations from one action</w:t>
            </w:r>
          </w:p>
        </w:tc>
        <w:tc>
          <w:tcPr>
            <w:tcW w:type="dxa" w:w="10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9"/>
                <w:szCs w:val="19"/>
              </w:rPr>
              <w:t xml:space="preserve">Must-have</w:t>
            </w:r>
          </w:p>
        </w:tc>
      </w:tr>
      <w:tr>
        <w:tc>
          <w:tcPr>
            <w:tcW w:type="dxa" w:w="15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9"/>
                <w:szCs w:val="19"/>
              </w:rPr>
              <w:t xml:space="preserve">HR-M2-FR-002</w:t>
            </w:r>
          </w:p>
        </w:tc>
        <w:tc>
          <w:tcPr>
            <w:tcW w:type="dxa" w:w="19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9"/>
                <w:szCs w:val="19"/>
              </w:rPr>
              <w:t xml:space="preserve">Job-board API integration (not scraping)</w:t>
            </w:r>
          </w:p>
        </w:tc>
        <w:tc>
          <w:tcPr>
            <w:tcW w:type="dxa" w:w="54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9"/>
                <w:szCs w:val="19"/>
              </w:rPr>
              <w:t xml:space="preserve">Naukri RMS / LinkedIn Talent Solutions / equivalent official integrations only</w:t>
            </w:r>
          </w:p>
        </w:tc>
        <w:tc>
          <w:tcPr>
            <w:tcW w:type="dxa" w:w="10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9"/>
                <w:szCs w:val="19"/>
              </w:rPr>
              <w:t xml:space="preserve">Must-have</w:t>
            </w:r>
          </w:p>
        </w:tc>
      </w:tr>
      <w:tr>
        <w:tc>
          <w:tcPr>
            <w:tcW w:type="dxa" w:w="15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9"/>
                <w:szCs w:val="19"/>
              </w:rPr>
              <w:t xml:space="preserve">HR-M2-FR-003</w:t>
            </w:r>
          </w:p>
        </w:tc>
        <w:tc>
          <w:tcPr>
            <w:tcW w:type="dxa" w:w="19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9"/>
                <w:szCs w:val="19"/>
              </w:rPr>
              <w:t xml:space="preserve">Email intake parsing</w:t>
            </w:r>
          </w:p>
        </w:tc>
        <w:tc>
          <w:tcPr>
            <w:tcW w:type="dxa" w:w="54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9"/>
                <w:szCs w:val="19"/>
              </w:rPr>
              <w:t xml:space="preserve">Dedicated per-(tenant, client) inbox auto-parses incoming resumes/attachments</w:t>
            </w:r>
          </w:p>
        </w:tc>
        <w:tc>
          <w:tcPr>
            <w:tcW w:type="dxa" w:w="10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9"/>
                <w:szCs w:val="19"/>
              </w:rPr>
              <w:t xml:space="preserve">Must-have</w:t>
            </w:r>
          </w:p>
        </w:tc>
      </w:tr>
      <w:tr>
        <w:tc>
          <w:tcPr>
            <w:tcW w:type="dxa" w:w="15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9"/>
                <w:szCs w:val="19"/>
              </w:rPr>
              <w:t xml:space="preserve">HR-M2-FR-004</w:t>
            </w:r>
          </w:p>
        </w:tc>
        <w:tc>
          <w:tcPr>
            <w:tcW w:type="dxa" w:w="19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9"/>
                <w:szCs w:val="19"/>
              </w:rPr>
              <w:t xml:space="preserve">Resume parsing</w:t>
            </w:r>
          </w:p>
        </w:tc>
        <w:tc>
          <w:tcPr>
            <w:tcW w:type="dxa" w:w="54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9"/>
                <w:szCs w:val="19"/>
              </w:rPr>
              <w:t xml:space="preserve">Extract structured fields (contact, experience, skills, education) from PDF and DOCX resumes, Release 1's supported formats</w:t>
            </w:r>
          </w:p>
        </w:tc>
        <w:tc>
          <w:tcPr>
            <w:tcW w:type="dxa" w:w="10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9"/>
                <w:szCs w:val="19"/>
              </w:rPr>
              <w:t xml:space="preserve">Must-have</w:t>
            </w:r>
          </w:p>
        </w:tc>
      </w:tr>
      <w:tr>
        <w:tc>
          <w:tcPr>
            <w:tcW w:type="dxa" w:w="15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9"/>
                <w:szCs w:val="19"/>
              </w:rPr>
              <w:t xml:space="preserve">HR-M2-FR-005</w:t>
            </w:r>
          </w:p>
        </w:tc>
        <w:tc>
          <w:tcPr>
            <w:tcW w:type="dxa" w:w="19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9"/>
                <w:szCs w:val="19"/>
              </w:rPr>
              <w:t xml:space="preserve">Unified resume inbox</w:t>
            </w:r>
          </w:p>
        </w:tc>
        <w:tc>
          <w:tcPr>
            <w:tcW w:type="dxa" w:w="54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9"/>
                <w:szCs w:val="19"/>
              </w:rPr>
              <w:t xml:space="preserve">One consolidated view across all channels, scoped to (tenant, client), instead of separate per-source screens</w:t>
            </w:r>
          </w:p>
        </w:tc>
        <w:tc>
          <w:tcPr>
            <w:tcW w:type="dxa" w:w="10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9"/>
                <w:szCs w:val="19"/>
              </w:rPr>
              <w:t xml:space="preserve">Must-have</w:t>
            </w:r>
          </w:p>
        </w:tc>
      </w:tr>
      <w:tr>
        <w:tc>
          <w:tcPr>
            <w:tcW w:type="dxa" w:w="15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9"/>
                <w:szCs w:val="19"/>
              </w:rPr>
              <w:t xml:space="preserve">HR-M2-FR-006</w:t>
            </w:r>
          </w:p>
        </w:tc>
        <w:tc>
          <w:tcPr>
            <w:tcW w:type="dxa" w:w="19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9"/>
                <w:szCs w:val="19"/>
              </w:rPr>
              <w:t xml:space="preserve">Duplicate detection with conflict handling</w:t>
            </w:r>
          </w:p>
        </w:tc>
        <w:tc>
          <w:tcPr>
            <w:tcW w:type="dxa" w:w="54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9"/>
                <w:szCs w:val="19"/>
              </w:rPr>
              <w:t xml:space="preserve">Flag likely-duplicate candidates on intake and link rather than duplicate; conflicting evidence routes to a recruiter for manual review rather than an automatic decision, and every resolution (linked, rejected, or later reversed) is retained for audit</w:t>
            </w:r>
          </w:p>
        </w:tc>
        <w:tc>
          <w:tcPr>
            <w:tcW w:type="dxa" w:w="10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9"/>
                <w:szCs w:val="19"/>
              </w:rPr>
              <w:t xml:space="preserve">Must-have</w:t>
            </w:r>
          </w:p>
        </w:tc>
      </w:tr>
      <w:tr>
        <w:tc>
          <w:tcPr>
            <w:tcW w:type="dxa" w:w="15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9"/>
                <w:szCs w:val="19"/>
              </w:rPr>
              <w:t xml:space="preserve">HR-M2-FR-007</w:t>
            </w:r>
          </w:p>
        </w:tc>
        <w:tc>
          <w:tcPr>
            <w:tcW w:type="dxa" w:w="19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9"/>
                <w:szCs w:val="19"/>
              </w:rPr>
              <w:t xml:space="preserve">Candidate database search</w:t>
            </w:r>
          </w:p>
        </w:tc>
        <w:tc>
          <w:tcPr>
            <w:tcW w:type="dxa" w:w="54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9"/>
                <w:szCs w:val="19"/>
              </w:rPr>
              <w:t xml:space="preserve">Full-text and filtered search across the caller's (tenant, client)-scoped candidate pool</w:t>
            </w:r>
          </w:p>
        </w:tc>
        <w:tc>
          <w:tcPr>
            <w:tcW w:type="dxa" w:w="10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9"/>
                <w:szCs w:val="19"/>
              </w:rPr>
              <w:t xml:space="preserve">Must-have</w:t>
            </w:r>
          </w:p>
        </w:tc>
      </w:tr>
      <w:tr>
        <w:tc>
          <w:tcPr>
            <w:tcW w:type="dxa" w:w="15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9"/>
                <w:szCs w:val="19"/>
              </w:rPr>
              <w:t xml:space="preserve">HR-M2-FR-008</w:t>
            </w:r>
          </w:p>
        </w:tc>
        <w:tc>
          <w:tcPr>
            <w:tcW w:type="dxa" w:w="19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9"/>
                <w:szCs w:val="19"/>
              </w:rPr>
              <w:t xml:space="preserve">Referral capture &amp; attribution</w:t>
            </w:r>
          </w:p>
        </w:tc>
        <w:tc>
          <w:tcPr>
            <w:tcW w:type="dxa" w:w="54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9"/>
                <w:szCs w:val="19"/>
              </w:rPr>
              <w:t xml:space="preserve">Referral link/form tied to the referring employee, captured at intake</w:t>
            </w:r>
          </w:p>
        </w:tc>
        <w:tc>
          <w:tcPr>
            <w:tcW w:type="dxa" w:w="10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9"/>
                <w:szCs w:val="19"/>
              </w:rPr>
              <w:t xml:space="preserve">Should-have</w:t>
            </w:r>
          </w:p>
        </w:tc>
      </w:tr>
    </w:tbl>
    <w:p>
      <w:pPr>
        <w:pStyle w:val="Heading3"/>
        <w:spacing w:after="80" w:before="160"/>
      </w:pPr>
      <w:r>
        <w:rPr>
          <w:rFonts w:ascii="Calibri" w:cs="Calibri" w:eastAsia="Calibri" w:hAnsi="Calibri"/>
          <w:b/>
          <w:bCs/>
          <w:color w:val="000000"/>
          <w:sz w:val="22"/>
          <w:szCs w:val="22"/>
        </w:rPr>
        <w:t xml:space="preserve">Approved Decisions</w:t>
      </w:r>
    </w:p>
    <w:p>
      <w:pPr>
        <w:pStyle w:val="ListParagraph"/>
        <w:numPr>
          <w:ilvl w:val="0"/>
          <w:numId w:val="2"/>
        </w:numPr>
        <w:spacing w:after="80" w:line="280"/>
      </w:pPr>
      <w:r>
        <w:rPr>
          <w:rFonts w:ascii="Calibri" w:cs="Calibri" w:eastAsia="Calibri" w:hAnsi="Calibri"/>
          <w:color w:val="1A1A1A"/>
          <w:sz w:val="22"/>
          <w:szCs w:val="22"/>
        </w:rPr>
        <w:t xml:space="preserve">No unauthorized scraping of any job-board site, under any circumstance — sourcing channels ship only via official, contracted API/RMS integrations, direct email intake, or manual upload.</w:t>
      </w:r>
    </w:p>
    <w:p>
      <w:pPr>
        <w:pStyle w:val="ListParagraph"/>
        <w:numPr>
          <w:ilvl w:val="0"/>
          <w:numId w:val="2"/>
        </w:numPr>
        <w:spacing w:after="80" w:line="280"/>
      </w:pPr>
      <w:r>
        <w:rPr>
          <w:rFonts w:ascii="Calibri" w:cs="Calibri" w:eastAsia="Calibri" w:hAnsi="Calibri"/>
          <w:color w:val="1A1A1A"/>
          <w:sz w:val="22"/>
          <w:szCs w:val="22"/>
        </w:rPr>
        <w:t xml:space="preserve">A job board with no official API integration path falls back to manual upload/email intake rather than being scraped.</w:t>
      </w:r>
    </w:p>
    <w:p>
      <w:pPr>
        <w:pStyle w:val="ListParagraph"/>
        <w:numPr>
          <w:ilvl w:val="0"/>
          <w:numId w:val="2"/>
        </w:numPr>
        <w:spacing w:after="80" w:line="280"/>
      </w:pPr>
      <w:r>
        <w:rPr>
          <w:rFonts w:ascii="Calibri" w:cs="Calibri" w:eastAsia="Calibri" w:hAnsi="Calibri"/>
          <w:color w:val="1A1A1A"/>
          <w:sz w:val="22"/>
          <w:szCs w:val="22"/>
        </w:rPr>
        <w:t xml:space="preserve">Every incoming resume, regardless of channel, lands in one unified resume inbox scoped to its owning (tenant, client) and tagged by source.</w:t>
      </w:r>
    </w:p>
    <w:p>
      <w:pPr>
        <w:pStyle w:val="ListParagraph"/>
        <w:numPr>
          <w:ilvl w:val="0"/>
          <w:numId w:val="2"/>
        </w:numPr>
        <w:spacing w:after="80" w:line="280"/>
      </w:pPr>
      <w:r>
        <w:rPr>
          <w:rFonts w:ascii="Calibri" w:cs="Calibri" w:eastAsia="Calibri" w:hAnsi="Calibri"/>
          <w:color w:val="1A1A1A"/>
          <w:sz w:val="22"/>
          <w:szCs w:val="22"/>
        </w:rPr>
        <w:t xml:space="preserve">Duplicate detection runs at intake, before a candidate reaches the screening queue, scoped within (tenant, client) — the same person applying through two different agency clients is not treated as a duplicate, by design.</w:t>
      </w:r>
    </w:p>
    <w:p>
      <w:pPr>
        <w:pStyle w:val="ListParagraph"/>
        <w:numPr>
          <w:ilvl w:val="0"/>
          <w:numId w:val="2"/>
        </w:numPr>
        <w:spacing w:after="80" w:line="280"/>
      </w:pPr>
      <w:r>
        <w:rPr>
          <w:rFonts w:ascii="Calibri" w:cs="Calibri" w:eastAsia="Calibri" w:hAnsi="Calibri"/>
          <w:color w:val="1A1A1A"/>
          <w:sz w:val="22"/>
          <w:szCs w:val="22"/>
        </w:rPr>
        <w:t xml:space="preserve">Release 1 supports PDF and DOCX resumes only; other formats (.doc, .rtf, .pages, scanned images) are rejected at intake with an explicit unsupported-format error and routed to a manual structured-entry fallback rather than silently dropped or misparsed — this corrects an earlier, broader "any resume format" claim.</w:t>
      </w:r>
    </w:p>
    <w:p>
      <w:pPr>
        <w:pStyle w:val="Heading3"/>
        <w:spacing w:after="80" w:before="160"/>
      </w:pPr>
      <w:r>
        <w:rPr>
          <w:rFonts w:ascii="Calibri" w:cs="Calibri" w:eastAsia="Calibri" w:hAnsi="Calibri"/>
          <w:b/>
          <w:bCs/>
          <w:color w:val="000000"/>
          <w:sz w:val="22"/>
          <w:szCs w:val="22"/>
        </w:rPr>
        <w:t xml:space="preserve">Acceptance Scenarios</w:t>
      </w: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1400"/>
        <w:gridCol w:w="3600"/>
        <w:gridCol w:w="4800"/>
      </w:tblGrid>
      <w:tr>
        <w:trPr>
          <w:tblHeader/>
        </w:trPr>
        <w:tc>
          <w:tcPr>
            <w:tcW w:type="dxa" w:w="1400"/>
            <w:tcBorders>
              <w:top w:val="single" w:color="CCCCCC" w:sz="2"/>
              <w:left w:val="single" w:color="CCCCCC" w:sz="2"/>
              <w:bottom w:val="single" w:color="CCCCCC" w:sz="2"/>
              <w:right w:val="single" w:color="CCCCCC" w:sz="2"/>
            </w:tcBorders>
            <w:shd w:fill="F2F2F2" w:color="auto" w:val="clear"/>
            <w:tcMar>
              <w:top w:type="dxa" w:w="80"/>
              <w:left w:type="dxa" w:w="100"/>
              <w:bottom w:type="dxa" w:w="80"/>
              <w:right w:type="dxa" w:w="100"/>
            </w:tcMar>
          </w:tcPr>
          <w:p>
            <w:r>
              <w:rPr>
                <w:rFonts w:ascii="Calibri" w:cs="Calibri" w:eastAsia="Calibri" w:hAnsi="Calibri"/>
                <w:b/>
                <w:bCs/>
                <w:color w:val="000000"/>
                <w:sz w:val="19"/>
                <w:szCs w:val="19"/>
              </w:rPr>
              <w:t xml:space="preserve">Req ID</w:t>
            </w:r>
          </w:p>
        </w:tc>
        <w:tc>
          <w:tcPr>
            <w:tcW w:type="dxa" w:w="3600"/>
            <w:tcBorders>
              <w:top w:val="single" w:color="CCCCCC" w:sz="2"/>
              <w:left w:val="single" w:color="CCCCCC" w:sz="2"/>
              <w:bottom w:val="single" w:color="CCCCCC" w:sz="2"/>
              <w:right w:val="single" w:color="CCCCCC" w:sz="2"/>
            </w:tcBorders>
            <w:shd w:fill="F2F2F2" w:color="auto" w:val="clear"/>
            <w:tcMar>
              <w:top w:type="dxa" w:w="80"/>
              <w:left w:type="dxa" w:w="100"/>
              <w:bottom w:type="dxa" w:w="80"/>
              <w:right w:type="dxa" w:w="100"/>
            </w:tcMar>
          </w:tcPr>
          <w:p>
            <w:r>
              <w:rPr>
                <w:rFonts w:ascii="Calibri" w:cs="Calibri" w:eastAsia="Calibri" w:hAnsi="Calibri"/>
                <w:b/>
                <w:bCs/>
                <w:color w:val="000000"/>
                <w:sz w:val="19"/>
                <w:szCs w:val="19"/>
              </w:rPr>
              <w:t xml:space="preserve">Scenario</w:t>
            </w:r>
          </w:p>
        </w:tc>
        <w:tc>
          <w:tcPr>
            <w:tcW w:type="dxa" w:w="4800"/>
            <w:tcBorders>
              <w:top w:val="single" w:color="CCCCCC" w:sz="2"/>
              <w:left w:val="single" w:color="CCCCCC" w:sz="2"/>
              <w:bottom w:val="single" w:color="CCCCCC" w:sz="2"/>
              <w:right w:val="single" w:color="CCCCCC" w:sz="2"/>
            </w:tcBorders>
            <w:shd w:fill="F2F2F2" w:color="auto" w:val="clear"/>
            <w:tcMar>
              <w:top w:type="dxa" w:w="80"/>
              <w:left w:type="dxa" w:w="100"/>
              <w:bottom w:type="dxa" w:w="80"/>
              <w:right w:type="dxa" w:w="100"/>
            </w:tcMar>
          </w:tcPr>
          <w:p>
            <w:r>
              <w:rPr>
                <w:rFonts w:ascii="Calibri" w:cs="Calibri" w:eastAsia="Calibri" w:hAnsi="Calibri"/>
                <w:b/>
                <w:bCs/>
                <w:color w:val="000000"/>
                <w:sz w:val="19"/>
                <w:szCs w:val="19"/>
              </w:rPr>
              <w:t xml:space="preserve">Expected outcome</w:t>
            </w:r>
          </w:p>
        </w:tc>
      </w:tr>
      <w:tr>
        <w:tc>
          <w:tcPr>
            <w:tcW w:type="dxa" w:w="14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9"/>
                <w:szCs w:val="19"/>
              </w:rPr>
              <w:t xml:space="preserve">HR-M2-FR-002</w:t>
            </w:r>
          </w:p>
        </w:tc>
        <w:tc>
          <w:tcPr>
            <w:tcW w:type="dxa" w:w="36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9"/>
                <w:szCs w:val="19"/>
              </w:rPr>
              <w:t xml:space="preserve">A vendor confirms the exact contracted integration product</w:t>
            </w:r>
          </w:p>
        </w:tc>
        <w:tc>
          <w:tcPr>
            <w:tcW w:type="dxa" w:w="48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9"/>
                <w:szCs w:val="19"/>
              </w:rPr>
              <w:t xml:space="preserve">Section 6 open dependency closes; Naukri RMS / LinkedIn Talent Solutions status in this document is updated from proposed to confirmed</w:t>
            </w:r>
          </w:p>
        </w:tc>
      </w:tr>
      <w:tr>
        <w:tc>
          <w:tcPr>
            <w:tcW w:type="dxa" w:w="14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9"/>
                <w:szCs w:val="19"/>
              </w:rPr>
              <w:t xml:space="preserve">HR-M2-FR-004</w:t>
            </w:r>
          </w:p>
        </w:tc>
        <w:tc>
          <w:tcPr>
            <w:tcW w:type="dxa" w:w="36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9"/>
                <w:szCs w:val="19"/>
              </w:rPr>
              <w:t xml:space="preserve">Candidate uploads a scanned (image-only) or password-protected PDF</w:t>
            </w:r>
          </w:p>
        </w:tc>
        <w:tc>
          <w:tcPr>
            <w:tcW w:type="dxa" w:w="48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9"/>
                <w:szCs w:val="19"/>
              </w:rPr>
              <w:t xml:space="preserve">File is detected as unparseable rather than silently producing an empty or garbled parse; routed to the manual structured-entry fallback</w:t>
            </w:r>
          </w:p>
        </w:tc>
      </w:tr>
      <w:tr>
        <w:tc>
          <w:tcPr>
            <w:tcW w:type="dxa" w:w="14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9"/>
                <w:szCs w:val="19"/>
              </w:rPr>
              <w:t xml:space="preserve">HR-M2-FR-006</w:t>
            </w:r>
          </w:p>
        </w:tc>
        <w:tc>
          <w:tcPr>
            <w:tcW w:type="dxa" w:w="36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9"/>
                <w:szCs w:val="19"/>
              </w:rPr>
              <w:t xml:space="preserve">Two resumes match on email but disagree on candidate name</w:t>
            </w:r>
          </w:p>
        </w:tc>
        <w:tc>
          <w:tcPr>
            <w:tcW w:type="dxa" w:w="48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9"/>
                <w:szCs w:val="19"/>
              </w:rPr>
              <w:t xml:space="preserve">Routed to a recruiter review queue as a conflict, not auto-linked and not auto-rejected</w:t>
            </w:r>
          </w:p>
        </w:tc>
      </w:tr>
      <w:tr>
        <w:tc>
          <w:tcPr>
            <w:tcW w:type="dxa" w:w="14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9"/>
                <w:szCs w:val="19"/>
              </w:rPr>
              <w:t xml:space="preserve">HR-M2-FR-006</w:t>
            </w:r>
          </w:p>
        </w:tc>
        <w:tc>
          <w:tcPr>
            <w:tcW w:type="dxa" w:w="36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9"/>
                <w:szCs w:val="19"/>
              </w:rPr>
              <w:t xml:space="preserve">Recruiter finds an auto-link was incorrect</w:t>
            </w:r>
          </w:p>
        </w:tc>
        <w:tc>
          <w:tcPr>
            <w:tcW w:type="dxa" w:w="48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9"/>
                <w:szCs w:val="19"/>
              </w:rPr>
              <w:t xml:space="preserve">Recruiter can reverse the link; the original decision is retained for audit and the two candidate records are split back apart</w:t>
            </w:r>
          </w:p>
        </w:tc>
      </w:tr>
      <w:tr>
        <w:tc>
          <w:tcPr>
            <w:tcW w:type="dxa" w:w="14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9"/>
                <w:szCs w:val="19"/>
              </w:rPr>
              <w:t xml:space="preserve">HR-M2-FR-005</w:t>
            </w:r>
          </w:p>
        </w:tc>
        <w:tc>
          <w:tcPr>
            <w:tcW w:type="dxa" w:w="36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9"/>
                <w:szCs w:val="19"/>
              </w:rPr>
              <w:t xml:space="preserve">An agency recruiter searches the unified inbox</w:t>
            </w:r>
          </w:p>
        </w:tc>
        <w:tc>
          <w:tcPr>
            <w:tcW w:type="dxa" w:w="48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9"/>
                <w:szCs w:val="19"/>
              </w:rPr>
              <w:t xml:space="preserve">Results are limited to the recruiter's authorized (tenant, client) scope; client is resolved from the recruiter's session, never accepted as a caller-supplied filter</w:t>
            </w:r>
          </w:p>
        </w:tc>
      </w:tr>
      <w:tr>
        <w:tc>
          <w:tcPr>
            <w:tcW w:type="dxa" w:w="14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9"/>
                <w:szCs w:val="19"/>
              </w:rPr>
              <w:t xml:space="preserve">HR-M2-FR-001</w:t>
            </w:r>
          </w:p>
        </w:tc>
        <w:tc>
          <w:tcPr>
            <w:tcW w:type="dxa" w:w="36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9"/>
                <w:szCs w:val="19"/>
              </w:rPr>
              <w:t xml:space="preserve">A requisition is published for an agency's end-client</w:t>
            </w:r>
          </w:p>
        </w:tc>
        <w:tc>
          <w:tcPr>
            <w:tcW w:type="dxa" w:w="48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9"/>
                <w:szCs w:val="19"/>
              </w:rPr>
              <w:t xml:space="preserve">The requisition's channel adapters use that end-client's own configured vendor credentials, not the agency's default or another client's</w:t>
            </w:r>
          </w:p>
        </w:tc>
      </w:tr>
      <w:tr>
        <w:tc>
          <w:tcPr>
            <w:tcW w:type="dxa" w:w="14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9"/>
                <w:szCs w:val="19"/>
              </w:rPr>
              <w:t xml:space="preserve">HR-M2-FR-003</w:t>
            </w:r>
          </w:p>
        </w:tc>
        <w:tc>
          <w:tcPr>
            <w:tcW w:type="dxa" w:w="36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9"/>
                <w:szCs w:val="19"/>
              </w:rPr>
              <w:t xml:space="preserve">An email arrives at the intake address with no attachment</w:t>
            </w:r>
          </w:p>
        </w:tc>
        <w:tc>
          <w:tcPr>
            <w:tcW w:type="dxa" w:w="48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9"/>
                <w:szCs w:val="19"/>
              </w:rPr>
              <w:t xml:space="preserve">Body is retained for audit but not treated as a resume; no Candidate/Application record is created from a bodiless or attachment-less email</w:t>
            </w:r>
          </w:p>
        </w:tc>
      </w:tr>
      <w:tr>
        <w:tc>
          <w:tcPr>
            <w:tcW w:type="dxa" w:w="14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9"/>
                <w:szCs w:val="19"/>
              </w:rPr>
              <w:t xml:space="preserve">HR-M2-FR-007</w:t>
            </w:r>
          </w:p>
        </w:tc>
        <w:tc>
          <w:tcPr>
            <w:tcW w:type="dxa" w:w="36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9"/>
                <w:szCs w:val="19"/>
              </w:rPr>
              <w:t xml:space="preserve">A recruiter filters candidate search by a requisition the caller is not authorized to view</w:t>
            </w:r>
          </w:p>
        </w:tc>
        <w:tc>
          <w:tcPr>
            <w:tcW w:type="dxa" w:w="48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9"/>
                <w:szCs w:val="19"/>
              </w:rPr>
              <w:t xml:space="preserve">Filter is rejected or returns no results rather than exposing candidates for a requisition outside the caller's authorized scope</w:t>
            </w:r>
          </w:p>
        </w:tc>
      </w:tr>
      <w:tr>
        <w:tc>
          <w:tcPr>
            <w:tcW w:type="dxa" w:w="14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9"/>
                <w:szCs w:val="19"/>
              </w:rPr>
              <w:t xml:space="preserve">HR-M2-FR-008</w:t>
            </w:r>
          </w:p>
        </w:tc>
        <w:tc>
          <w:tcPr>
            <w:tcW w:type="dxa" w:w="36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9"/>
                <w:szCs w:val="19"/>
              </w:rPr>
              <w:t xml:space="preserve">A referred candidate applies via the referral link</w:t>
            </w:r>
          </w:p>
        </w:tc>
        <w:tc>
          <w:tcPr>
            <w:tcW w:type="dxa" w:w="48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9"/>
                <w:szCs w:val="19"/>
              </w:rPr>
              <w:t xml:space="preserve">Application is tagged with the referring employee's attribution at intake, retained through the full candidate record, not only shown at the point of submission</w:t>
            </w:r>
          </w:p>
        </w:tc>
      </w:tr>
    </w:tbl>
    <w:p>
      <w:pPr>
        <w:pStyle w:val="Heading2"/>
        <w:spacing w:after="100" w:before="220"/>
      </w:pPr>
      <w:bookmarkStart w:name="bm_14_4_3_modules_3_10_requirement_l" w:id="1014"/>
      <w:r>
        <w:rPr>
          <w:rFonts w:ascii="Calibri" w:cs="Calibri" w:eastAsia="Calibri" w:hAnsi="Calibri"/>
          <w:b/>
          <w:bCs/>
          <w:color w:val="404040"/>
          <w:sz w:val="24"/>
          <w:szCs w:val="24"/>
        </w:rPr>
        <w:t xml:space="preserve">4.3 Modules 3–10 — Requirement-Level Scope (Draft, roadmap — not part of Release 1)</w:t>
      </w:r>
      <w:bookmarkEnd w:id="1014"/>
    </w:p>
    <w:p>
      <w:pPr>
        <w:spacing w:after="160" w:line="300"/>
        <w:jc w:val="both"/>
      </w:pPr>
      <w:r>
        <w:rPr>
          <w:rFonts w:ascii="Calibri" w:cs="Calibri" w:eastAsia="Calibri" w:hAnsi="Calibri"/>
          <w:color w:val="1A1A1A"/>
          <w:sz w:val="22"/>
          <w:szCs w:val="22"/>
        </w:rPr>
        <w:t xml:space="preserve">The remaining modules are scoped to product-requirement level below and will each be elaborated to Approved Baseline detail, following the same process demonstrated for Modules 1–2, as they are brought into a future release.</w:t>
      </w:r>
    </w:p>
    <w:p>
      <w:pPr>
        <w:pStyle w:val="Heading3"/>
        <w:spacing w:after="80" w:before="160"/>
      </w:pPr>
      <w:r>
        <w:rPr>
          <w:rFonts w:ascii="Calibri" w:cs="Calibri" w:eastAsia="Calibri" w:hAnsi="Calibri"/>
          <w:b/>
          <w:bCs/>
          <w:color w:val="000000"/>
          <w:sz w:val="22"/>
          <w:szCs w:val="22"/>
        </w:rPr>
        <w:t xml:space="preserve">Module 3 — Screening &amp; Shortlisting</w:t>
      </w:r>
    </w:p>
    <w:p>
      <w:pPr>
        <w:pStyle w:val="ListParagraph"/>
        <w:numPr>
          <w:ilvl w:val="0"/>
          <w:numId w:val="2"/>
        </w:numPr>
        <w:spacing w:after="80" w:line="280"/>
      </w:pPr>
      <w:r>
        <w:rPr>
          <w:rFonts w:ascii="Calibri" w:cs="Calibri" w:eastAsia="Calibri" w:hAnsi="Calibri"/>
          <w:color w:val="1A1A1A"/>
          <w:sz w:val="22"/>
          <w:szCs w:val="22"/>
        </w:rPr>
        <w:t xml:space="preserve">Candidates are scored against the Module 1 weighted matrix as they enter the pipeline; knockout criteria reject automatically, others are ranked with visible score reasoning.</w:t>
      </w:r>
    </w:p>
    <w:p>
      <w:pPr>
        <w:pStyle w:val="ListParagraph"/>
        <w:numPr>
          <w:ilvl w:val="0"/>
          <w:numId w:val="2"/>
        </w:numPr>
        <w:spacing w:after="80" w:line="280"/>
      </w:pPr>
      <w:r>
        <w:rPr>
          <w:rFonts w:ascii="Calibri" w:cs="Calibri" w:eastAsia="Calibri" w:hAnsi="Calibri"/>
          <w:color w:val="1A1A1A"/>
          <w:sz w:val="22"/>
          <w:szCs w:val="22"/>
        </w:rPr>
        <w:t xml:space="preserve">Configurable per-requisition threshold moves a candidate to Screened status and triggers an automatic notification email.</w:t>
      </w:r>
    </w:p>
    <w:p>
      <w:pPr>
        <w:pStyle w:val="Heading3"/>
        <w:spacing w:after="80" w:before="160"/>
      </w:pPr>
      <w:r>
        <w:rPr>
          <w:rFonts w:ascii="Calibri" w:cs="Calibri" w:eastAsia="Calibri" w:hAnsi="Calibri"/>
          <w:b/>
          <w:bCs/>
          <w:color w:val="000000"/>
          <w:sz w:val="22"/>
          <w:szCs w:val="22"/>
        </w:rPr>
        <w:t xml:space="preserve">Module 4 — Candidate Pre-Interview Data Capture</w:t>
      </w:r>
    </w:p>
    <w:p>
      <w:pPr>
        <w:pStyle w:val="ListParagraph"/>
        <w:numPr>
          <w:ilvl w:val="0"/>
          <w:numId w:val="2"/>
        </w:numPr>
        <w:spacing w:after="80" w:line="280"/>
      </w:pPr>
      <w:r>
        <w:rPr>
          <w:rFonts w:ascii="Calibri" w:cs="Calibri" w:eastAsia="Calibri" w:hAnsi="Calibri"/>
          <w:color w:val="1A1A1A"/>
          <w:sz w:val="22"/>
          <w:szCs w:val="22"/>
        </w:rPr>
        <w:t xml:space="preserve">Token/magic-link portal login (no account creation); role-configurable form (expected CTC, reason for change, project write-ups).</w:t>
      </w:r>
    </w:p>
    <w:p>
      <w:pPr>
        <w:pStyle w:val="ListParagraph"/>
        <w:numPr>
          <w:ilvl w:val="0"/>
          <w:numId w:val="2"/>
        </w:numPr>
        <w:spacing w:after="80" w:line="280"/>
      </w:pPr>
      <w:r>
        <w:rPr>
          <w:rFonts w:ascii="Calibri" w:cs="Calibri" w:eastAsia="Calibri" w:hAnsi="Calibri"/>
          <w:color w:val="1A1A1A"/>
          <w:sz w:val="22"/>
          <w:szCs w:val="22"/>
        </w:rPr>
        <w:t xml:space="preserve">Submission triggers interview scheduling and candidate notification of interview details.</w:t>
      </w:r>
    </w:p>
    <w:p>
      <w:pPr>
        <w:pStyle w:val="Heading3"/>
        <w:spacing w:after="80" w:before="160"/>
      </w:pPr>
      <w:r>
        <w:rPr>
          <w:rFonts w:ascii="Calibri" w:cs="Calibri" w:eastAsia="Calibri" w:hAnsi="Calibri"/>
          <w:b/>
          <w:bCs/>
          <w:color w:val="000000"/>
          <w:sz w:val="22"/>
          <w:szCs w:val="22"/>
        </w:rPr>
        <w:t xml:space="preserve">Module 5 — Interview Management</w:t>
      </w:r>
    </w:p>
    <w:p>
      <w:pPr>
        <w:pStyle w:val="ListParagraph"/>
        <w:numPr>
          <w:ilvl w:val="0"/>
          <w:numId w:val="2"/>
        </w:numPr>
        <w:spacing w:after="80" w:line="280"/>
      </w:pPr>
      <w:r>
        <w:rPr>
          <w:rFonts w:ascii="Calibri" w:cs="Calibri" w:eastAsia="Calibri" w:hAnsi="Calibri"/>
          <w:color w:val="1A1A1A"/>
          <w:sz w:val="22"/>
          <w:szCs w:val="22"/>
        </w:rPr>
        <w:t xml:space="preserve">Multi-round (typically 2–3) structured interviews with scorecards tied to JD competencies; panel decision rollup before advancing to the next round.</w:t>
      </w:r>
    </w:p>
    <w:p>
      <w:pPr>
        <w:pStyle w:val="ListParagraph"/>
        <w:numPr>
          <w:ilvl w:val="0"/>
          <w:numId w:val="2"/>
        </w:numPr>
        <w:spacing w:after="80" w:line="280"/>
      </w:pPr>
      <w:r>
        <w:rPr>
          <w:rFonts w:ascii="Calibri" w:cs="Calibri" w:eastAsia="Calibri" w:hAnsi="Calibri"/>
          <w:color w:val="1A1A1A"/>
          <w:sz w:val="22"/>
          <w:szCs w:val="22"/>
        </w:rPr>
        <w:t xml:space="preserve">Candidate portal status updates in step with internal round outcomes.</w:t>
      </w:r>
    </w:p>
    <w:p>
      <w:pPr>
        <w:pStyle w:val="Heading3"/>
        <w:spacing w:after="80" w:before="160"/>
      </w:pPr>
      <w:r>
        <w:rPr>
          <w:rFonts w:ascii="Calibri" w:cs="Calibri" w:eastAsia="Calibri" w:hAnsi="Calibri"/>
          <w:b/>
          <w:bCs/>
          <w:color w:val="000000"/>
          <w:sz w:val="22"/>
          <w:szCs w:val="22"/>
        </w:rPr>
        <w:t xml:space="preserve">Module 6 — Selection &amp; Background Verification</w:t>
      </w:r>
    </w:p>
    <w:p>
      <w:pPr>
        <w:pStyle w:val="ListParagraph"/>
        <w:numPr>
          <w:ilvl w:val="0"/>
          <w:numId w:val="2"/>
        </w:numPr>
        <w:spacing w:after="80" w:line="280"/>
      </w:pPr>
      <w:r>
        <w:rPr>
          <w:rFonts w:ascii="Calibri" w:cs="Calibri" w:eastAsia="Calibri" w:hAnsi="Calibri"/>
          <w:color w:val="1A1A1A"/>
          <w:sz w:val="22"/>
          <w:szCs w:val="22"/>
        </w:rPr>
        <w:t xml:space="preserve">Triggered at SELECTED status. Consent capture is a hard gate before any check begins.</w:t>
      </w:r>
    </w:p>
    <w:p>
      <w:pPr>
        <w:pStyle w:val="ListParagraph"/>
        <w:numPr>
          <w:ilvl w:val="0"/>
          <w:numId w:val="2"/>
        </w:numPr>
        <w:spacing w:after="80" w:line="280"/>
      </w:pPr>
      <w:r>
        <w:rPr>
          <w:rFonts w:ascii="Calibri" w:cs="Calibri" w:eastAsia="Calibri" w:hAnsi="Calibri"/>
          <w:color w:val="1A1A1A"/>
          <w:sz w:val="22"/>
          <w:szCs w:val="22"/>
        </w:rPr>
        <w:t xml:space="preserve">Identity, address, education, and employment checks via a licensed BGV vendor integration.</w:t>
      </w:r>
    </w:p>
    <w:p>
      <w:pPr>
        <w:pStyle w:val="ListParagraph"/>
        <w:numPr>
          <w:ilvl w:val="0"/>
          <w:numId w:val="2"/>
        </w:numPr>
        <w:spacing w:after="80" w:line="280"/>
      </w:pPr>
      <w:r>
        <w:rPr>
          <w:rFonts w:ascii="Calibri" w:cs="Calibri" w:eastAsia="Calibri" w:hAnsi="Calibri"/>
          <w:color w:val="1A1A1A"/>
          <w:sz w:val="22"/>
          <w:szCs w:val="22"/>
        </w:rPr>
        <w:t xml:space="preserve">Income verification via India's Account Aggregator framework or a consented provider (e.g. Perfios, HyperVerge) — candidate-authorized data pull, not inbox scanning.</w:t>
      </w:r>
    </w:p>
    <w:p>
      <w:pPr>
        <w:pStyle w:val="Heading3"/>
        <w:spacing w:after="80" w:before="160"/>
      </w:pPr>
      <w:r>
        <w:rPr>
          <w:rFonts w:ascii="Calibri" w:cs="Calibri" w:eastAsia="Calibri" w:hAnsi="Calibri"/>
          <w:b/>
          <w:bCs/>
          <w:color w:val="000000"/>
          <w:sz w:val="22"/>
          <w:szCs w:val="22"/>
        </w:rPr>
        <w:t xml:space="preserve">Module 7 — Offer Management, KRA/KPI &amp; E-Sign</w:t>
      </w:r>
    </w:p>
    <w:p>
      <w:pPr>
        <w:pStyle w:val="ListParagraph"/>
        <w:numPr>
          <w:ilvl w:val="0"/>
          <w:numId w:val="2"/>
        </w:numPr>
        <w:spacing w:after="80" w:line="280"/>
      </w:pPr>
      <w:r>
        <w:rPr>
          <w:rFonts w:ascii="Calibri" w:cs="Calibri" w:eastAsia="Calibri" w:hAnsi="Calibri"/>
          <w:color w:val="1A1A1A"/>
          <w:sz w:val="22"/>
          <w:szCs w:val="22"/>
        </w:rPr>
        <w:t xml:space="preserve">Offer letter and compensation breakup auto-populated from candidate, role, and approved comp data; role-based KRA/KPI template attached automatically.</w:t>
      </w:r>
    </w:p>
    <w:p>
      <w:pPr>
        <w:pStyle w:val="ListParagraph"/>
        <w:numPr>
          <w:ilvl w:val="0"/>
          <w:numId w:val="2"/>
        </w:numPr>
        <w:spacing w:after="80" w:line="280"/>
      </w:pPr>
      <w:r>
        <w:rPr>
          <w:rFonts w:ascii="Calibri" w:cs="Calibri" w:eastAsia="Calibri" w:hAnsi="Calibri"/>
          <w:color w:val="1A1A1A"/>
          <w:sz w:val="22"/>
          <w:szCs w:val="22"/>
        </w:rPr>
        <w:t xml:space="preserve">E-signature integration with tracked status; accepted offer auto-closes the requisition and copies the comp structure into the Payroll module.</w:t>
      </w:r>
    </w:p>
    <w:p>
      <w:pPr>
        <w:pStyle w:val="Heading3"/>
        <w:spacing w:after="80" w:before="160"/>
      </w:pPr>
      <w:r>
        <w:rPr>
          <w:rFonts w:ascii="Calibri" w:cs="Calibri" w:eastAsia="Calibri" w:hAnsi="Calibri"/>
          <w:b/>
          <w:bCs/>
          <w:color w:val="000000"/>
          <w:sz w:val="22"/>
          <w:szCs w:val="22"/>
        </w:rPr>
        <w:t xml:space="preserve">Module 8 — Onboarding</w:t>
      </w:r>
    </w:p>
    <w:p>
      <w:pPr>
        <w:pStyle w:val="ListParagraph"/>
        <w:numPr>
          <w:ilvl w:val="0"/>
          <w:numId w:val="2"/>
        </w:numPr>
        <w:spacing w:after="80" w:line="280"/>
      </w:pPr>
      <w:r>
        <w:rPr>
          <w:rFonts w:ascii="Calibri" w:cs="Calibri" w:eastAsia="Calibri" w:hAnsi="Calibri"/>
          <w:color w:val="1A1A1A"/>
          <w:sz w:val="22"/>
          <w:szCs w:val="22"/>
        </w:rPr>
        <w:t xml:space="preserve">Cross-team checklist (IT provisioning, ID card, facilities, HR paperwork) auto-assigned on offer signature, with a day-one readiness dashboard.</w:t>
      </w:r>
    </w:p>
    <w:p>
      <w:pPr>
        <w:pStyle w:val="ListParagraph"/>
        <w:numPr>
          <w:ilvl w:val="0"/>
          <w:numId w:val="2"/>
        </w:numPr>
        <w:spacing w:after="80" w:line="280"/>
      </w:pPr>
      <w:r>
        <w:rPr>
          <w:rFonts w:ascii="Calibri" w:cs="Calibri" w:eastAsia="Calibri" w:hAnsi="Calibri"/>
          <w:color w:val="1A1A1A"/>
          <w:sz w:val="22"/>
          <w:szCs w:val="22"/>
        </w:rPr>
        <w:t xml:space="preserve">Onboarding completion converts the candidate record into an employee record — the seam into Modules 9 and 10.</w:t>
      </w:r>
    </w:p>
    <w:p>
      <w:pPr>
        <w:pStyle w:val="Heading3"/>
        <w:spacing w:after="80" w:before="160"/>
      </w:pPr>
      <w:r>
        <w:rPr>
          <w:rFonts w:ascii="Calibri" w:cs="Calibri" w:eastAsia="Calibri" w:hAnsi="Calibri"/>
          <w:b/>
          <w:bCs/>
          <w:color w:val="000000"/>
          <w:sz w:val="22"/>
          <w:szCs w:val="22"/>
        </w:rPr>
        <w:t xml:space="preserve">Module 9 — Payroll &amp; Compensation</w:t>
      </w:r>
    </w:p>
    <w:p>
      <w:pPr>
        <w:pStyle w:val="ListParagraph"/>
        <w:numPr>
          <w:ilvl w:val="0"/>
          <w:numId w:val="2"/>
        </w:numPr>
        <w:spacing w:after="80" w:line="280"/>
      </w:pPr>
      <w:r>
        <w:rPr>
          <w:rFonts w:ascii="Calibri" w:cs="Calibri" w:eastAsia="Calibri" w:hAnsi="Calibri"/>
          <w:color w:val="1A1A1A"/>
          <w:sz w:val="22"/>
          <w:szCs w:val="22"/>
        </w:rPr>
        <w:t xml:space="preserve">Monthly salary slip generation, full-and-final settlement, loan/advance tracking, and employee expense reimbursement, with India statutory compliance (PF, ESI, professional tax, TDS).</w:t>
      </w:r>
    </w:p>
    <w:p>
      <w:pPr>
        <w:pStyle w:val="Heading3"/>
        <w:spacing w:after="80" w:before="160"/>
      </w:pPr>
      <w:r>
        <w:rPr>
          <w:rFonts w:ascii="Calibri" w:cs="Calibri" w:eastAsia="Calibri" w:hAnsi="Calibri"/>
          <w:b/>
          <w:bCs/>
          <w:color w:val="000000"/>
          <w:sz w:val="22"/>
          <w:szCs w:val="22"/>
        </w:rPr>
        <w:t xml:space="preserve">Module 10 — Appraisal</w:t>
      </w:r>
    </w:p>
    <w:p>
      <w:pPr>
        <w:pStyle w:val="ListParagraph"/>
        <w:numPr>
          <w:ilvl w:val="0"/>
          <w:numId w:val="2"/>
        </w:numPr>
        <w:spacing w:after="80" w:line="280"/>
      </w:pPr>
      <w:r>
        <w:rPr>
          <w:rFonts w:ascii="Calibri" w:cs="Calibri" w:eastAsia="Calibri" w:hAnsi="Calibri"/>
          <w:color w:val="1A1A1A"/>
          <w:sz w:val="22"/>
          <w:szCs w:val="22"/>
        </w:rPr>
        <w:t xml:space="preserve">Continuous tracking against the KRA/KPIs set at offer stage, feeding an annual appraisal cycle rather than a once-a-year reconstruction exercise.</w:t>
      </w:r>
    </w:p>
    <w:p>
      <w:pPr>
        <w:spacing w:after="200"/>
      </w:pPr>
    </w:p>
    <w:p>
      <w:pPr>
        <w:pStyle w:val="Heading1"/>
        <w:spacing w:after="140" w:before="320"/>
      </w:pPr>
      <w:bookmarkStart w:name="bm_15_5_acceptance_criteria" w:id="1015"/>
      <w:r>
        <w:rPr>
          <w:rFonts w:ascii="Calibri" w:cs="Calibri" w:eastAsia="Calibri" w:hAnsi="Calibri"/>
          <w:b/>
          <w:bCs/>
          <w:color w:val="D34817"/>
          <w:sz w:val="30"/>
          <w:szCs w:val="30"/>
        </w:rPr>
        <w:t xml:space="preserve">5. Acceptance Criteria</w:t>
      </w:r>
      <w:bookmarkEnd w:id="1015"/>
    </w:p>
    <w:p>
      <w:pPr>
        <w:spacing w:after="160" w:line="300"/>
        <w:jc w:val="both"/>
      </w:pPr>
      <w:r>
        <w:rPr>
          <w:rFonts w:ascii="Calibri" w:cs="Calibri" w:eastAsia="Calibri" w:hAnsi="Calibri"/>
          <w:color w:val="1A1A1A"/>
          <w:sz w:val="22"/>
          <w:szCs w:val="22"/>
        </w:rPr>
        <w:t xml:space="preserve">Measurable, testable targets — a qualitative statement such as "search should be fast" is not acceptance-testable on its own and is avoided below in favor of a stated threshold.</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600"/>
        <w:gridCol w:w="6600"/>
      </w:tblGrid>
      <w:tr>
        <w:trPr>
          <w:tblHeader/>
        </w:trPr>
        <w:tc>
          <w:tcPr>
            <w:tcW w:type="dxa" w:w="2600"/>
            <w:tcBorders>
              <w:top w:val="single" w:color="CCCCCC" w:sz="2"/>
              <w:left w:val="single" w:color="CCCCCC" w:sz="2"/>
              <w:bottom w:val="single" w:color="CCCCCC" w:sz="2"/>
              <w:right w:val="single" w:color="CCCCCC" w:sz="2"/>
            </w:tcBorders>
            <w:shd w:fill="F2F2F2" w:color="auto" w:val="clear"/>
            <w:tcMar>
              <w:top w:type="dxa" w:w="80"/>
              <w:left w:type="dxa" w:w="100"/>
              <w:bottom w:type="dxa" w:w="80"/>
              <w:right w:type="dxa" w:w="100"/>
            </w:tcMar>
          </w:tcPr>
          <w:p>
            <w:r>
              <w:rPr>
                <w:rFonts w:ascii="Calibri" w:cs="Calibri" w:eastAsia="Calibri" w:hAnsi="Calibri"/>
                <w:b/>
                <w:bCs/>
                <w:color w:val="000000"/>
                <w:sz w:val="19"/>
                <w:szCs w:val="19"/>
              </w:rPr>
              <w:t xml:space="preserve">Criterion</w:t>
            </w:r>
          </w:p>
        </w:tc>
        <w:tc>
          <w:tcPr>
            <w:tcW w:type="dxa" w:w="6600"/>
            <w:tcBorders>
              <w:top w:val="single" w:color="CCCCCC" w:sz="2"/>
              <w:left w:val="single" w:color="CCCCCC" w:sz="2"/>
              <w:bottom w:val="single" w:color="CCCCCC" w:sz="2"/>
              <w:right w:val="single" w:color="CCCCCC" w:sz="2"/>
            </w:tcBorders>
            <w:shd w:fill="F2F2F2" w:color="auto" w:val="clear"/>
            <w:tcMar>
              <w:top w:type="dxa" w:w="80"/>
              <w:left w:type="dxa" w:w="100"/>
              <w:bottom w:type="dxa" w:w="80"/>
              <w:right w:type="dxa" w:w="100"/>
            </w:tcMar>
          </w:tcPr>
          <w:p>
            <w:r>
              <w:rPr>
                <w:rFonts w:ascii="Calibri" w:cs="Calibri" w:eastAsia="Calibri" w:hAnsi="Calibri"/>
                <w:b/>
                <w:bCs/>
                <w:color w:val="000000"/>
                <w:sz w:val="19"/>
                <w:szCs w:val="19"/>
              </w:rPr>
              <w:t xml:space="preserve">Threshold</w:t>
            </w:r>
          </w:p>
        </w:tc>
      </w:tr>
      <w:tr>
        <w:tc>
          <w:tcPr>
            <w:tcW w:type="dxa" w:w="26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9"/>
                <w:szCs w:val="19"/>
              </w:rPr>
              <w:t xml:space="preserve">Data isolation (tenant)</w:t>
            </w:r>
          </w:p>
        </w:tc>
        <w:tc>
          <w:tcPr>
            <w:tcW w:type="dxa" w:w="66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9"/>
                <w:szCs w:val="19"/>
              </w:rPr>
              <w:t xml:space="preserve">No cross-tenant data access under automated isolation testing, across the database, message-queue, search-index, object-storage, and webhook layers (TDD Section 5.3)</w:t>
            </w:r>
          </w:p>
        </w:tc>
      </w:tr>
      <w:tr>
        <w:tc>
          <w:tcPr>
            <w:tcW w:type="dxa" w:w="26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9"/>
                <w:szCs w:val="19"/>
              </w:rPr>
              <w:t xml:space="preserve">Data isolation (agency client)</w:t>
            </w:r>
          </w:p>
        </w:tc>
        <w:tc>
          <w:tcPr>
            <w:tcW w:type="dxa" w:w="66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9"/>
                <w:szCs w:val="19"/>
              </w:rPr>
              <w:t xml:space="preserve">For an agency tenant, no cross-client data access within the same tenant under the same automated isolation testing — a Client Stakeholder or agency recruiter scoped to one client never sees another client's requisitions or candidates</w:t>
            </w:r>
          </w:p>
        </w:tc>
      </w:tr>
      <w:tr>
        <w:tc>
          <w:tcPr>
            <w:tcW w:type="dxa" w:w="26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9"/>
                <w:szCs w:val="19"/>
              </w:rPr>
              <w:t xml:space="preserve">Security</w:t>
            </w:r>
          </w:p>
        </w:tc>
        <w:tc>
          <w:tcPr>
            <w:tcW w:type="dxa" w:w="66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9"/>
                <w:szCs w:val="19"/>
              </w:rPr>
              <w:t xml:space="preserve">Role-based access control, encryption at rest and in transit, full audit log of candidate-PII access</w:t>
            </w:r>
          </w:p>
        </w:tc>
      </w:tr>
      <w:tr>
        <w:tc>
          <w:tcPr>
            <w:tcW w:type="dxa" w:w="26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9"/>
                <w:szCs w:val="19"/>
              </w:rPr>
              <w:t xml:space="preserve">Compliance</w:t>
            </w:r>
          </w:p>
        </w:tc>
        <w:tc>
          <w:tcPr>
            <w:tcW w:type="dxa" w:w="66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9"/>
                <w:szCs w:val="19"/>
              </w:rPr>
              <w:t xml:space="preserve">DPDP Act 2023 alignment verified at each module baseline — consent gates, retention policy, data-principal rights workflow</w:t>
            </w:r>
          </w:p>
        </w:tc>
      </w:tr>
      <w:tr>
        <w:tc>
          <w:tcPr>
            <w:tcW w:type="dxa" w:w="26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9"/>
                <w:szCs w:val="19"/>
              </w:rPr>
              <w:t xml:space="preserve">Scoring-matrix integrity</w:t>
            </w:r>
          </w:p>
        </w:tc>
        <w:tc>
          <w:tcPr>
            <w:tcW w:type="dxa" w:w="66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9"/>
                <w:szCs w:val="19"/>
              </w:rPr>
              <w:t xml:space="preserve">A matrix cannot reach Approved status with weights that do not sum to exactly 100%; 100% of freeze attempts with an invalid total are rejected, not silently normalized (HR-M1-FR-006)</w:t>
            </w:r>
          </w:p>
        </w:tc>
      </w:tr>
      <w:tr>
        <w:tc>
          <w:tcPr>
            <w:tcW w:type="dxa" w:w="26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9"/>
                <w:szCs w:val="19"/>
              </w:rPr>
              <w:t xml:space="preserve">Duplicate-detection precision</w:t>
            </w:r>
          </w:p>
        </w:tc>
        <w:tc>
          <w:tcPr>
            <w:tcW w:type="dxa" w:w="66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9"/>
                <w:szCs w:val="19"/>
              </w:rPr>
              <w:t xml:space="preserve">Target: false-positive auto-link rate ≤ 1% on exact-key (email/phone) matches, measured against a labeled sample of resolved DuplicateMatch decisions each quarter — provisional target pending Product/Engineering sign-off (Section 6); any conflicting-evidence case routes to manual review rather than auto-linking regardless (HR-M2-FR-006)</w:t>
            </w:r>
          </w:p>
        </w:tc>
      </w:tr>
      <w:tr>
        <w:tc>
          <w:tcPr>
            <w:tcW w:type="dxa" w:w="26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9"/>
                <w:szCs w:val="19"/>
              </w:rPr>
              <w:t xml:space="preserve">Resume parsing</w:t>
            </w:r>
          </w:p>
        </w:tc>
        <w:tc>
          <w:tcPr>
            <w:tcW w:type="dxa" w:w="66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9"/>
                <w:szCs w:val="19"/>
              </w:rPr>
              <w:t xml:space="preserve">100% of PDF/DOCX uploads either parse successfully or are routed to the manual fallback — none silently dropped or left in an unknown state. Target: ≥ 90% of successfully-routed PDF/DOCX uploads parse with all required fields (name, contact, one work-history entry) at ≥ 0.75 confidence, within 30 seconds of upload — provisional target pending Product/Engineering sign-off (Section 6) (HR-M2-FR-004)</w:t>
            </w:r>
          </w:p>
        </w:tc>
      </w:tr>
      <w:tr>
        <w:tc>
          <w:tcPr>
            <w:tcW w:type="dxa" w:w="26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9"/>
                <w:szCs w:val="19"/>
              </w:rPr>
              <w:t xml:space="preserve">Candidate search performance</w:t>
            </w:r>
          </w:p>
        </w:tc>
        <w:tc>
          <w:tcPr>
            <w:tcW w:type="dxa" w:w="66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9"/>
                <w:szCs w:val="19"/>
              </w:rPr>
              <w:t xml:space="preserve">Target: p95 query latency ≤ 2 seconds at a reference load of 100,000 candidates and 50,000 applications per tenant, 20 concurrent searching users per tenant — provisional target pending Product/Engineering sign-off (Section 6) (HR-M2-FR-007)</w:t>
            </w:r>
          </w:p>
        </w:tc>
      </w:tr>
      <w:tr>
        <w:tc>
          <w:tcPr>
            <w:tcW w:type="dxa" w:w="26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9"/>
                <w:szCs w:val="19"/>
              </w:rPr>
              <w:t xml:space="preserve">Resume upload limits</w:t>
            </w:r>
          </w:p>
        </w:tc>
        <w:tc>
          <w:tcPr>
            <w:tcW w:type="dxa" w:w="66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9"/>
                <w:szCs w:val="19"/>
              </w:rPr>
              <w:t xml:space="preserve">Target: single-file upload accepted up to 10 MB; bulk upload up to 200 files or 200 MB per batch, whichever is reached first — provisional target pending Product/Engineering sign-off (Section 6)</w:t>
            </w:r>
          </w:p>
        </w:tc>
      </w:tr>
      <w:tr>
        <w:tc>
          <w:tcPr>
            <w:tcW w:type="dxa" w:w="26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9"/>
                <w:szCs w:val="19"/>
              </w:rPr>
              <w:t xml:space="preserve">Availability &amp; recovery</w:t>
            </w:r>
          </w:p>
        </w:tc>
        <w:tc>
          <w:tcPr>
            <w:tcW w:type="dxa" w:w="66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9"/>
                <w:szCs w:val="19"/>
              </w:rPr>
              <w:t xml:space="preserve">Target: 99.5% monthly availability for Module 1 and Module 2 read/write paths; Recovery Point Objective (RPO) ≤ 15 minutes and Recovery Time Objective (RTO) ≤ 4 hours for the primary datastore — provisional targets pending Product/Engineering sign-off (Section 6); full operational/DR detail is a Section 9 roadmap deliverable, not restated here</w:t>
            </w:r>
          </w:p>
        </w:tc>
      </w:tr>
      <w:tr>
        <w:tc>
          <w:tcPr>
            <w:tcW w:type="dxa" w:w="26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9"/>
                <w:szCs w:val="19"/>
              </w:rPr>
              <w:t xml:space="preserve">Module acceptance</w:t>
            </w:r>
          </w:p>
        </w:tc>
        <w:tc>
          <w:tcPr>
            <w:tcW w:type="dxa" w:w="66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9"/>
                <w:szCs w:val="19"/>
              </w:rPr>
              <w:t xml:space="preserve">A module's requirements reach Approved Baseline only once (a) its Feature List, Approved Decisions, and Acceptance Scenarios (Section 4.1/4.2) are unambiguous enough for the Technical Design stage to begin without open questions, AND (b) an actual Reviewed-by/Approved-by name and date are recorded in this document's Authorization table — content readiness alone does not constitute approval</w:t>
            </w:r>
          </w:p>
        </w:tc>
      </w:tr>
      <w:tr>
        <w:tc>
          <w:tcPr>
            <w:tcW w:type="dxa" w:w="26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9"/>
                <w:szCs w:val="19"/>
              </w:rPr>
              <w:t xml:space="preserve">Traceability</w:t>
            </w:r>
          </w:p>
        </w:tc>
        <w:tc>
          <w:tcPr>
            <w:tcW w:type="dxa" w:w="66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9"/>
                <w:szCs w:val="19"/>
              </w:rPr>
              <w:t xml:space="preserve">Every requirement ID in Section 4.1/4.2 has a corresponding row in the Requirement Traceability Register (a companion living document), linking it to its Technical Design reference(s) and test coverage before the module is considered build-ready</w:t>
            </w:r>
          </w:p>
        </w:tc>
      </w:tr>
    </w:tbl>
    <w:p>
      <w:pPr>
        <w:spacing w:after="200"/>
      </w:pPr>
    </w:p>
    <w:p>
      <w:pPr>
        <w:pStyle w:val="Heading1"/>
        <w:spacing w:after="140" w:before="320"/>
      </w:pPr>
      <w:bookmarkStart w:name="bm_16_6_dependencies_from_stakeholde" w:id="1016"/>
      <w:r>
        <w:rPr>
          <w:rFonts w:ascii="Calibri" w:cs="Calibri" w:eastAsia="Calibri" w:hAnsi="Calibri"/>
          <w:b/>
          <w:bCs/>
          <w:color w:val="D34817"/>
          <w:sz w:val="30"/>
          <w:szCs w:val="30"/>
        </w:rPr>
        <w:t xml:space="preserve">6. Dependencies from Stakeholder Side</w:t>
      </w:r>
      <w:bookmarkEnd w:id="1016"/>
    </w:p>
    <w:p>
      <w:pPr>
        <w:spacing w:after="160" w:line="300"/>
        <w:jc w:val="both"/>
      </w:pPr>
      <w:r>
        <w:rPr>
          <w:rFonts w:ascii="Calibri" w:cs="Calibri" w:eastAsia="Calibri" w:hAnsi="Calibri"/>
          <w:color w:val="1A1A1A"/>
          <w:sz w:val="22"/>
          <w:szCs w:val="22"/>
        </w:rPr>
        <w:t xml:space="preserve">The following decisions are needed from Phoneme leadership/stakeholders before remaining modules can reach Approved Baseline. The staffing-agency multi-client priority question from the prior baseline is resolved — it is in scope for Release 1 (Section 1.3) — and is removed from this list.</w:t>
      </w:r>
    </w:p>
    <w:p>
      <w:pPr>
        <w:pStyle w:val="ListParagraph"/>
        <w:numPr>
          <w:ilvl w:val="0"/>
          <w:numId w:val="5"/>
        </w:numPr>
        <w:spacing w:after="80" w:line="280"/>
      </w:pPr>
      <w:r>
        <w:rPr>
          <w:rFonts w:ascii="Calibri" w:cs="Calibri" w:eastAsia="Calibri" w:hAnsi="Calibri"/>
          <w:color w:val="1A1A1A"/>
          <w:sz w:val="22"/>
          <w:szCs w:val="22"/>
        </w:rPr>
        <w:t xml:space="preserve">Target launch timeline and team size for the Release 1 build.</w:t>
      </w:r>
    </w:p>
    <w:p>
      <w:pPr>
        <w:pStyle w:val="ListParagraph"/>
        <w:numPr>
          <w:ilvl w:val="0"/>
          <w:numId w:val="5"/>
        </w:numPr>
        <w:spacing w:after="80" w:line="280"/>
      </w:pPr>
      <w:r>
        <w:rPr>
          <w:rFonts w:ascii="Calibri" w:cs="Calibri" w:eastAsia="Calibri" w:hAnsi="Calibri"/>
          <w:color w:val="1A1A1A"/>
          <w:sz w:val="22"/>
          <w:szCs w:val="22"/>
        </w:rPr>
        <w:t xml:space="preserve">Pricing/packaging model (per-seat, per-employee, or per-tenant flat fee) — to be resolved before the consolidated Proposal document (Section 9) is generated.</w:t>
      </w:r>
    </w:p>
    <w:p>
      <w:pPr>
        <w:pStyle w:val="ListParagraph"/>
        <w:numPr>
          <w:ilvl w:val="0"/>
          <w:numId w:val="5"/>
        </w:numPr>
        <w:spacing w:after="80" w:line="280"/>
      </w:pPr>
      <w:r>
        <w:rPr>
          <w:rFonts w:ascii="Calibri" w:cs="Calibri" w:eastAsia="Calibri" w:hAnsi="Calibri"/>
          <w:color w:val="1A1A1A"/>
          <w:sz w:val="22"/>
          <w:szCs w:val="22"/>
        </w:rPr>
        <w:t xml:space="preserve">First 2–3 design-partner customers to validate the workflow before general availability.</w:t>
      </w:r>
    </w:p>
    <w:p>
      <w:pPr>
        <w:pStyle w:val="ListParagraph"/>
        <w:numPr>
          <w:ilvl w:val="0"/>
          <w:numId w:val="5"/>
        </w:numPr>
        <w:spacing w:after="80" w:line="280"/>
      </w:pPr>
      <w:r>
        <w:rPr>
          <w:rFonts w:ascii="Calibri" w:cs="Calibri" w:eastAsia="Calibri" w:hAnsi="Calibri"/>
          <w:color w:val="1A1A1A"/>
          <w:sz w:val="22"/>
          <w:szCs w:val="22"/>
        </w:rPr>
        <w:t xml:space="preserve">Naukri RMS contracted-plan confirmation (push vs. poll availability) and LinkedIn Talent Solutions product-tier confirmation (Recruiter System Connect, Apply Connect, or another) — both integrations are proposed adapter contracts pending this vendor-feasibility gate (Section 4.2).</w:t>
      </w:r>
    </w:p>
    <w:p>
      <w:pPr>
        <w:pStyle w:val="ListParagraph"/>
        <w:numPr>
          <w:ilvl w:val="0"/>
          <w:numId w:val="5"/>
        </w:numPr>
        <w:spacing w:after="80" w:line="280"/>
      </w:pPr>
      <w:r>
        <w:rPr>
          <w:rFonts w:ascii="Calibri" w:cs="Calibri" w:eastAsia="Calibri" w:hAnsi="Calibri"/>
          <w:color w:val="1A1A1A"/>
          <w:sz w:val="22"/>
          <w:szCs w:val="22"/>
        </w:rPr>
        <w:t xml:space="preserve">Client Stakeholder read-only portal role for agency end-clients is explicitly deferred out of Release 1 (Section 4.2) — what such a role would see is a fast-follow decision, not a Release 1 blocker.</w:t>
      </w:r>
    </w:p>
    <w:p>
      <w:pPr>
        <w:pStyle w:val="ListParagraph"/>
        <w:numPr>
          <w:ilvl w:val="0"/>
          <w:numId w:val="5"/>
        </w:numPr>
        <w:spacing w:after="80" w:line="280"/>
      </w:pPr>
      <w:r>
        <w:rPr>
          <w:rFonts w:ascii="Calibri" w:cs="Calibri" w:eastAsia="Calibri" w:hAnsi="Calibri"/>
          <w:color w:val="1A1A1A"/>
          <w:sz w:val="22"/>
          <w:szCs w:val="22"/>
        </w:rPr>
        <w:t xml:space="preserve">Preferred e-signature and background-verification vendors — informs the Module 6 and Module 7 Technical Design.</w:t>
      </w:r>
    </w:p>
    <w:p>
      <w:pPr>
        <w:pStyle w:val="ListParagraph"/>
        <w:numPr>
          <w:ilvl w:val="0"/>
          <w:numId w:val="5"/>
        </w:numPr>
        <w:spacing w:after="80" w:line="280"/>
      </w:pPr>
      <w:r>
        <w:rPr>
          <w:rFonts w:ascii="Calibri" w:cs="Calibri" w:eastAsia="Calibri" w:hAnsi="Calibri"/>
          <w:color w:val="1A1A1A"/>
          <w:sz w:val="22"/>
          <w:szCs w:val="22"/>
        </w:rPr>
        <w:t xml:space="preserve">Confirmation of the Module 6 income-verification approach (Account Aggregator framework vs. a specific licensed vendor).</w:t>
      </w:r>
    </w:p>
    <w:p>
      <w:pPr>
        <w:pStyle w:val="ListParagraph"/>
        <w:numPr>
          <w:ilvl w:val="0"/>
          <w:numId w:val="5"/>
        </w:numPr>
        <w:spacing w:after="80" w:line="280"/>
      </w:pPr>
      <w:r>
        <w:rPr>
          <w:rFonts w:ascii="Calibri" w:cs="Calibri" w:eastAsia="Calibri" w:hAnsi="Calibri"/>
          <w:color w:val="1A1A1A"/>
          <w:sz w:val="22"/>
          <w:szCs w:val="22"/>
        </w:rPr>
        <w:t xml:space="preserve">Confirmation of the product/brand name before it appears in customer-facing UI (working name used throughout this document: Phoneme HR Suite).</w:t>
      </w:r>
    </w:p>
    <w:p>
      <w:pPr>
        <w:pStyle w:val="ListParagraph"/>
        <w:numPr>
          <w:ilvl w:val="0"/>
          <w:numId w:val="5"/>
        </w:numPr>
        <w:spacing w:after="80" w:line="280"/>
      </w:pPr>
      <w:r>
        <w:rPr>
          <w:rFonts w:ascii="Calibri" w:cs="Calibri" w:eastAsia="Calibri" w:hAnsi="Calibri"/>
          <w:color w:val="1A1A1A"/>
          <w:sz w:val="22"/>
          <w:szCs w:val="22"/>
        </w:rPr>
        <w:t xml:space="preserve">Sign-off on the provisional measurable acceptance targets in Section 5 (duplicate-detection precision, resume-parsing accuracy/time, search latency/volume, upload limits, availability/RPO/RTO) with the actual Product and Engineering owners — these are placeholder-but-explicit values pending that review, not yet committed targets.</w:t>
      </w:r>
    </w:p>
    <w:p>
      <w:pPr>
        <w:pStyle w:val="ListParagraph"/>
        <w:numPr>
          <w:ilvl w:val="0"/>
          <w:numId w:val="5"/>
        </w:numPr>
        <w:spacing w:after="80" w:line="280"/>
      </w:pPr>
      <w:r>
        <w:rPr>
          <w:rFonts w:ascii="Calibri" w:cs="Calibri" w:eastAsia="Calibri" w:hAnsi="Calibri"/>
          <w:color w:val="1A1A1A"/>
          <w:sz w:val="22"/>
          <w:szCs w:val="22"/>
        </w:rPr>
        <w:t xml:space="preserve">Formal Reviewed-by/Approved-by sign-off on this BRD/PRD and the companion Technical Design Document — both currently carry Draft v2.1 status with build-ready content but no recorded approver; scheduling this review is itself a stakeholder-side dependency before Module 1/2 development can proceed on an Approved Baseline.</w:t>
      </w:r>
    </w:p>
    <w:p>
      <w:pPr>
        <w:spacing w:after="200"/>
      </w:pPr>
    </w:p>
    <w:p>
      <w:pPr>
        <w:pStyle w:val="Heading1"/>
        <w:spacing w:after="140" w:before="320"/>
      </w:pPr>
      <w:bookmarkStart w:name="bm_17_7_key_risks" w:id="1017"/>
      <w:r>
        <w:rPr>
          <w:rFonts w:ascii="Calibri" w:cs="Calibri" w:eastAsia="Calibri" w:hAnsi="Calibri"/>
          <w:b/>
          <w:bCs/>
          <w:color w:val="D34817"/>
          <w:sz w:val="30"/>
          <w:szCs w:val="30"/>
        </w:rPr>
        <w:t xml:space="preserve">7. Key Risks</w:t>
      </w:r>
      <w:bookmarkEnd w:id="1017"/>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600"/>
        <w:gridCol w:w="2600"/>
        <w:gridCol w:w="4200"/>
      </w:tblGrid>
      <w:tr>
        <w:trPr>
          <w:tblHeader/>
        </w:trPr>
        <w:tc>
          <w:tcPr>
            <w:tcW w:type="dxa" w:w="2600"/>
            <w:tcBorders>
              <w:top w:val="single" w:color="CCCCCC" w:sz="2"/>
              <w:left w:val="single" w:color="CCCCCC" w:sz="2"/>
              <w:bottom w:val="single" w:color="CCCCCC" w:sz="2"/>
              <w:right w:val="single" w:color="CCCCCC" w:sz="2"/>
            </w:tcBorders>
            <w:shd w:fill="F2F2F2" w:color="auto" w:val="clear"/>
            <w:tcMar>
              <w:top w:type="dxa" w:w="80"/>
              <w:left w:type="dxa" w:w="100"/>
              <w:bottom w:type="dxa" w:w="80"/>
              <w:right w:type="dxa" w:w="100"/>
            </w:tcMar>
          </w:tcPr>
          <w:p>
            <w:r>
              <w:rPr>
                <w:rFonts w:ascii="Calibri" w:cs="Calibri" w:eastAsia="Calibri" w:hAnsi="Calibri"/>
                <w:b/>
                <w:bCs/>
                <w:color w:val="000000"/>
                <w:sz w:val="19"/>
                <w:szCs w:val="19"/>
              </w:rPr>
              <w:t xml:space="preserve">Risk</w:t>
            </w:r>
          </w:p>
        </w:tc>
        <w:tc>
          <w:tcPr>
            <w:tcW w:type="dxa" w:w="2600"/>
            <w:tcBorders>
              <w:top w:val="single" w:color="CCCCCC" w:sz="2"/>
              <w:left w:val="single" w:color="CCCCCC" w:sz="2"/>
              <w:bottom w:val="single" w:color="CCCCCC" w:sz="2"/>
              <w:right w:val="single" w:color="CCCCCC" w:sz="2"/>
            </w:tcBorders>
            <w:shd w:fill="F2F2F2" w:color="auto" w:val="clear"/>
            <w:tcMar>
              <w:top w:type="dxa" w:w="80"/>
              <w:left w:type="dxa" w:w="100"/>
              <w:bottom w:type="dxa" w:w="80"/>
              <w:right w:type="dxa" w:w="100"/>
            </w:tcMar>
          </w:tcPr>
          <w:p>
            <w:r>
              <w:rPr>
                <w:rFonts w:ascii="Calibri" w:cs="Calibri" w:eastAsia="Calibri" w:hAnsi="Calibri"/>
                <w:b/>
                <w:bCs/>
                <w:color w:val="000000"/>
                <w:sz w:val="19"/>
                <w:szCs w:val="19"/>
              </w:rPr>
              <w:t xml:space="preserve">Impact</w:t>
            </w:r>
          </w:p>
        </w:tc>
        <w:tc>
          <w:tcPr>
            <w:tcW w:type="dxa" w:w="4200"/>
            <w:tcBorders>
              <w:top w:val="single" w:color="CCCCCC" w:sz="2"/>
              <w:left w:val="single" w:color="CCCCCC" w:sz="2"/>
              <w:bottom w:val="single" w:color="CCCCCC" w:sz="2"/>
              <w:right w:val="single" w:color="CCCCCC" w:sz="2"/>
            </w:tcBorders>
            <w:shd w:fill="F2F2F2" w:color="auto" w:val="clear"/>
            <w:tcMar>
              <w:top w:type="dxa" w:w="80"/>
              <w:left w:type="dxa" w:w="100"/>
              <w:bottom w:type="dxa" w:w="80"/>
              <w:right w:type="dxa" w:w="100"/>
            </w:tcMar>
          </w:tcPr>
          <w:p>
            <w:r>
              <w:rPr>
                <w:rFonts w:ascii="Calibri" w:cs="Calibri" w:eastAsia="Calibri" w:hAnsi="Calibri"/>
                <w:b/>
                <w:bCs/>
                <w:color w:val="000000"/>
                <w:sz w:val="19"/>
                <w:szCs w:val="19"/>
              </w:rPr>
              <w:t xml:space="preserve">Mitigation</w:t>
            </w:r>
          </w:p>
        </w:tc>
      </w:tr>
      <w:tr>
        <w:tc>
          <w:tcPr>
            <w:tcW w:type="dxa" w:w="26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9"/>
                <w:szCs w:val="19"/>
              </w:rPr>
              <w:t xml:space="preserve">Scope creep across ten modules</w:t>
            </w:r>
          </w:p>
        </w:tc>
        <w:tc>
          <w:tcPr>
            <w:tcW w:type="dxa" w:w="26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9"/>
                <w:szCs w:val="19"/>
              </w:rPr>
              <w:t xml:space="preserve">Delays first shippable release</w:t>
            </w:r>
          </w:p>
        </w:tc>
        <w:tc>
          <w:tcPr>
            <w:tcW w:type="dxa" w:w="42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9"/>
                <w:szCs w:val="19"/>
              </w:rPr>
              <w:t xml:space="preserve">Module-by-module requirement locking and a firm MVP scope boundary</w:t>
            </w:r>
          </w:p>
        </w:tc>
      </w:tr>
      <w:tr>
        <w:tc>
          <w:tcPr>
            <w:tcW w:type="dxa" w:w="26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9"/>
                <w:szCs w:val="19"/>
              </w:rPr>
              <w:t xml:space="preserve">Third-party integration availability/cost (BGV, e-sign, job boards)</w:t>
            </w:r>
          </w:p>
        </w:tc>
        <w:tc>
          <w:tcPr>
            <w:tcW w:type="dxa" w:w="26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9"/>
                <w:szCs w:val="19"/>
              </w:rPr>
              <w:t xml:space="preserve">Blocks specific module features if a vendor contract stalls</w:t>
            </w:r>
          </w:p>
        </w:tc>
        <w:tc>
          <w:tcPr>
            <w:tcW w:type="dxa" w:w="42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9"/>
                <w:szCs w:val="19"/>
              </w:rPr>
              <w:t xml:space="preserve">Common adapter layer (defined at Technical Design stage) so a vendor swap is cheap; shortlist two vendors per category early</w:t>
            </w:r>
          </w:p>
        </w:tc>
      </w:tr>
      <w:tr>
        <w:tc>
          <w:tcPr>
            <w:tcW w:type="dxa" w:w="26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9"/>
                <w:szCs w:val="19"/>
              </w:rPr>
              <w:t xml:space="preserve">DPDP Act compliance gaps found late</w:t>
            </w:r>
          </w:p>
        </w:tc>
        <w:tc>
          <w:tcPr>
            <w:tcW w:type="dxa" w:w="26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9"/>
                <w:szCs w:val="19"/>
              </w:rPr>
              <w:t xml:space="preserve">Legal/reputational risk with enterprise customers</w:t>
            </w:r>
          </w:p>
        </w:tc>
        <w:tc>
          <w:tcPr>
            <w:tcW w:type="dxa" w:w="42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9"/>
                <w:szCs w:val="19"/>
              </w:rPr>
              <w:t xml:space="preserve">Compliance checklist reviewed at every module lock, not deferred to a pre-launch audit</w:t>
            </w:r>
          </w:p>
        </w:tc>
      </w:tr>
      <w:tr>
        <w:tc>
          <w:tcPr>
            <w:tcW w:type="dxa" w:w="26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9"/>
                <w:szCs w:val="19"/>
              </w:rPr>
              <w:t xml:space="preserve">Multi-tenant data leakage</w:t>
            </w:r>
          </w:p>
        </w:tc>
        <w:tc>
          <w:tcPr>
            <w:tcW w:type="dxa" w:w="26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9"/>
                <w:szCs w:val="19"/>
              </w:rPr>
              <w:t xml:space="preserve">Catastrophic trust failure for a B2B SaaS product</w:t>
            </w:r>
          </w:p>
        </w:tc>
        <w:tc>
          <w:tcPr>
            <w:tcW w:type="dxa" w:w="42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9"/>
                <w:szCs w:val="19"/>
              </w:rPr>
              <w:t xml:space="preserve">Tenant-scoping enforced at the data-access layer plus a standing automated cross-tenant isolation test suite</w:t>
            </w:r>
          </w:p>
        </w:tc>
      </w:tr>
    </w:tbl>
    <w:p>
      <w:pPr>
        <w:spacing w:after="200"/>
      </w:pPr>
    </w:p>
    <w:p>
      <w:pPr>
        <w:pStyle w:val="Heading1"/>
        <w:spacing w:after="140" w:before="320"/>
      </w:pPr>
      <w:bookmarkStart w:name="bm_18_8_competitive_landscape_usp_an" w:id="1018"/>
      <w:r>
        <w:rPr>
          <w:rFonts w:ascii="Calibri" w:cs="Calibri" w:eastAsia="Calibri" w:hAnsi="Calibri"/>
          <w:b/>
          <w:bCs/>
          <w:color w:val="D34817"/>
          <w:sz w:val="30"/>
          <w:szCs w:val="30"/>
        </w:rPr>
        <w:t xml:space="preserve">8. Competitive Landscape &amp; USP Analysis</w:t>
      </w:r>
      <w:bookmarkEnd w:id="1018"/>
    </w:p>
    <w:p>
      <w:pPr>
        <w:spacing w:after="160" w:line="300"/>
        <w:jc w:val="both"/>
      </w:pPr>
      <w:r>
        <w:rPr>
          <w:rFonts w:ascii="Calibri" w:cs="Calibri" w:eastAsia="Calibri" w:hAnsi="Calibri"/>
          <w:color w:val="1A1A1A"/>
          <w:sz w:val="22"/>
          <w:szCs w:val="22"/>
        </w:rPr>
        <w:t xml:space="preserve">This section benchmarks Phoneme HR Suite's Module 1 (JD Intake &amp; Freezing) and Module 2 (Sourcing &amp; Resume Aggregation) feature set against eleven Indian and global ATS/HRMS providers, and draws out the resulting Unique Selling Propositions (USPs). Methodology: findings are drawn from each provider's own public product pages, help-center documentation, and pricing pages as of September 2026 — not from live demos or trials. "Yes"/"Partial"/"No" reflect what is publicly confirmed; "Unconfirmed" means the capability could not be verified either way from public sources and should not be read as "absent" — a materially different competitive position could emerge from a live demo. This matrix should be re-validated before use in external sales collateral.</w:t>
      </w:r>
    </w:p>
    <w:p>
      <w:pPr>
        <w:pStyle w:val="Heading2"/>
        <w:spacing w:after="100" w:before="220"/>
      </w:pPr>
      <w:bookmarkStart w:name="bm_19_8_1_indian_hrms_ats_providers" w:id="1019"/>
      <w:r>
        <w:rPr>
          <w:rFonts w:ascii="Calibri" w:cs="Calibri" w:eastAsia="Calibri" w:hAnsi="Calibri"/>
          <w:b/>
          <w:bCs/>
          <w:color w:val="404040"/>
          <w:sz w:val="24"/>
          <w:szCs w:val="24"/>
        </w:rPr>
        <w:t xml:space="preserve">8.1 Indian HRMS/ATS Providers</w:t>
      </w:r>
      <w:bookmarkEnd w:id="1019"/>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2500"/>
        <w:gridCol w:w="1300"/>
        <w:gridCol w:w="950"/>
        <w:gridCol w:w="950"/>
        <w:gridCol w:w="950"/>
        <w:gridCol w:w="950"/>
        <w:gridCol w:w="1000"/>
        <w:gridCol w:w="1000"/>
      </w:tblGrid>
      <w:tr>
        <w:trPr>
          <w:tblHeader/>
        </w:trPr>
        <w:tc>
          <w:tcPr>
            <w:tcW w:type="dxa" w:w="2500"/>
            <w:tcBorders>
              <w:top w:val="single" w:color="CCCCCC" w:sz="2"/>
              <w:left w:val="single" w:color="CCCCCC" w:sz="2"/>
              <w:bottom w:val="single" w:color="CCCCCC" w:sz="2"/>
              <w:right w:val="single" w:color="CCCCCC" w:sz="2"/>
            </w:tcBorders>
            <w:shd w:fill="F2F2F2" w:color="auto" w:val="clear"/>
            <w:tcMar>
              <w:top w:type="dxa" w:w="70"/>
              <w:left w:type="dxa" w:w="70"/>
              <w:bottom w:type="dxa" w:w="70"/>
              <w:right w:type="dxa" w:w="70"/>
            </w:tcMar>
          </w:tcPr>
          <w:p>
            <w:pPr>
              <w:jc w:val="center"/>
            </w:pPr>
            <w:r>
              <w:rPr>
                <w:rFonts w:ascii="Calibri" w:cs="Calibri" w:eastAsia="Calibri" w:hAnsi="Calibri"/>
                <w:b/>
                <w:bCs/>
                <w:color w:val="000000"/>
                <w:sz w:val="15"/>
                <w:szCs w:val="15"/>
              </w:rPr>
              <w:t xml:space="preserve">Capability</w:t>
            </w:r>
          </w:p>
        </w:tc>
        <w:tc>
          <w:tcPr>
            <w:tcW w:type="dxa" w:w="1300"/>
            <w:tcBorders>
              <w:top w:val="single" w:color="CCCCCC" w:sz="2"/>
              <w:left w:val="single" w:color="CCCCCC" w:sz="2"/>
              <w:bottom w:val="single" w:color="CCCCCC" w:sz="2"/>
              <w:right w:val="single" w:color="CCCCCC" w:sz="2"/>
            </w:tcBorders>
            <w:shd w:fill="F2F2F2" w:color="auto" w:val="clear"/>
            <w:tcMar>
              <w:top w:type="dxa" w:w="70"/>
              <w:left w:type="dxa" w:w="70"/>
              <w:bottom w:type="dxa" w:w="70"/>
              <w:right w:type="dxa" w:w="70"/>
            </w:tcMar>
          </w:tcPr>
          <w:p>
            <w:pPr>
              <w:jc w:val="center"/>
            </w:pPr>
            <w:r>
              <w:rPr>
                <w:rFonts w:ascii="Calibri" w:cs="Calibri" w:eastAsia="Calibri" w:hAnsi="Calibri"/>
                <w:b/>
                <w:bCs/>
                <w:color w:val="000000"/>
                <w:sz w:val="15"/>
                <w:szCs w:val="15"/>
              </w:rPr>
              <w:t xml:space="preserve">Phoneme HR Suite</w:t>
            </w:r>
          </w:p>
        </w:tc>
        <w:tc>
          <w:tcPr>
            <w:tcW w:type="dxa" w:w="950"/>
            <w:tcBorders>
              <w:top w:val="single" w:color="CCCCCC" w:sz="2"/>
              <w:left w:val="single" w:color="CCCCCC" w:sz="2"/>
              <w:bottom w:val="single" w:color="CCCCCC" w:sz="2"/>
              <w:right w:val="single" w:color="CCCCCC" w:sz="2"/>
            </w:tcBorders>
            <w:shd w:fill="F2F2F2" w:color="auto" w:val="clear"/>
            <w:tcMar>
              <w:top w:type="dxa" w:w="70"/>
              <w:left w:type="dxa" w:w="70"/>
              <w:bottom w:type="dxa" w:w="70"/>
              <w:right w:type="dxa" w:w="70"/>
            </w:tcMar>
          </w:tcPr>
          <w:p>
            <w:pPr>
              <w:jc w:val="center"/>
            </w:pPr>
            <w:r>
              <w:rPr>
                <w:rFonts w:ascii="Calibri" w:cs="Calibri" w:eastAsia="Calibri" w:hAnsi="Calibri"/>
                <w:b/>
                <w:bCs/>
                <w:color w:val="000000"/>
                <w:sz w:val="15"/>
                <w:szCs w:val="15"/>
              </w:rPr>
              <w:t xml:space="preserve">Darwinbox</w:t>
            </w:r>
          </w:p>
        </w:tc>
        <w:tc>
          <w:tcPr>
            <w:tcW w:type="dxa" w:w="950"/>
            <w:tcBorders>
              <w:top w:val="single" w:color="CCCCCC" w:sz="2"/>
              <w:left w:val="single" w:color="CCCCCC" w:sz="2"/>
              <w:bottom w:val="single" w:color="CCCCCC" w:sz="2"/>
              <w:right w:val="single" w:color="CCCCCC" w:sz="2"/>
            </w:tcBorders>
            <w:shd w:fill="F2F2F2" w:color="auto" w:val="clear"/>
            <w:tcMar>
              <w:top w:type="dxa" w:w="70"/>
              <w:left w:type="dxa" w:w="70"/>
              <w:bottom w:type="dxa" w:w="70"/>
              <w:right w:type="dxa" w:w="70"/>
            </w:tcMar>
          </w:tcPr>
          <w:p>
            <w:pPr>
              <w:jc w:val="center"/>
            </w:pPr>
            <w:r>
              <w:rPr>
                <w:rFonts w:ascii="Calibri" w:cs="Calibri" w:eastAsia="Calibri" w:hAnsi="Calibri"/>
                <w:b/>
                <w:bCs/>
                <w:color w:val="000000"/>
                <w:sz w:val="15"/>
                <w:szCs w:val="15"/>
              </w:rPr>
              <w:t xml:space="preserve">Keka</w:t>
            </w:r>
          </w:p>
        </w:tc>
        <w:tc>
          <w:tcPr>
            <w:tcW w:type="dxa" w:w="950"/>
            <w:tcBorders>
              <w:top w:val="single" w:color="CCCCCC" w:sz="2"/>
              <w:left w:val="single" w:color="CCCCCC" w:sz="2"/>
              <w:bottom w:val="single" w:color="CCCCCC" w:sz="2"/>
              <w:right w:val="single" w:color="CCCCCC" w:sz="2"/>
            </w:tcBorders>
            <w:shd w:fill="F2F2F2" w:color="auto" w:val="clear"/>
            <w:tcMar>
              <w:top w:type="dxa" w:w="70"/>
              <w:left w:type="dxa" w:w="70"/>
              <w:bottom w:type="dxa" w:w="70"/>
              <w:right w:type="dxa" w:w="70"/>
            </w:tcMar>
          </w:tcPr>
          <w:p>
            <w:pPr>
              <w:jc w:val="center"/>
            </w:pPr>
            <w:r>
              <w:rPr>
                <w:rFonts w:ascii="Calibri" w:cs="Calibri" w:eastAsia="Calibri" w:hAnsi="Calibri"/>
                <w:b/>
                <w:bCs/>
                <w:color w:val="000000"/>
                <w:sz w:val="15"/>
                <w:szCs w:val="15"/>
              </w:rPr>
              <w:t xml:space="preserve">greytHR</w:t>
            </w:r>
          </w:p>
        </w:tc>
        <w:tc>
          <w:tcPr>
            <w:tcW w:type="dxa" w:w="950"/>
            <w:tcBorders>
              <w:top w:val="single" w:color="CCCCCC" w:sz="2"/>
              <w:left w:val="single" w:color="CCCCCC" w:sz="2"/>
              <w:bottom w:val="single" w:color="CCCCCC" w:sz="2"/>
              <w:right w:val="single" w:color="CCCCCC" w:sz="2"/>
            </w:tcBorders>
            <w:shd w:fill="F2F2F2" w:color="auto" w:val="clear"/>
            <w:tcMar>
              <w:top w:type="dxa" w:w="70"/>
              <w:left w:type="dxa" w:w="70"/>
              <w:bottom w:type="dxa" w:w="70"/>
              <w:right w:type="dxa" w:w="70"/>
            </w:tcMar>
          </w:tcPr>
          <w:p>
            <w:pPr>
              <w:jc w:val="center"/>
            </w:pPr>
            <w:r>
              <w:rPr>
                <w:rFonts w:ascii="Calibri" w:cs="Calibri" w:eastAsia="Calibri" w:hAnsi="Calibri"/>
                <w:b/>
                <w:bCs/>
                <w:color w:val="000000"/>
                <w:sz w:val="15"/>
                <w:szCs w:val="15"/>
              </w:rPr>
              <w:t xml:space="preserve">Zoho Recruit</w:t>
            </w:r>
          </w:p>
        </w:tc>
        <w:tc>
          <w:tcPr>
            <w:tcW w:type="dxa" w:w="1000"/>
            <w:tcBorders>
              <w:top w:val="single" w:color="CCCCCC" w:sz="2"/>
              <w:left w:val="single" w:color="CCCCCC" w:sz="2"/>
              <w:bottom w:val="single" w:color="CCCCCC" w:sz="2"/>
              <w:right w:val="single" w:color="CCCCCC" w:sz="2"/>
            </w:tcBorders>
            <w:shd w:fill="F2F2F2" w:color="auto" w:val="clear"/>
            <w:tcMar>
              <w:top w:type="dxa" w:w="70"/>
              <w:left w:type="dxa" w:w="70"/>
              <w:bottom w:type="dxa" w:w="70"/>
              <w:right w:type="dxa" w:w="70"/>
            </w:tcMar>
          </w:tcPr>
          <w:p>
            <w:pPr>
              <w:jc w:val="center"/>
            </w:pPr>
            <w:r>
              <w:rPr>
                <w:rFonts w:ascii="Calibri" w:cs="Calibri" w:eastAsia="Calibri" w:hAnsi="Calibri"/>
                <w:b/>
                <w:bCs/>
                <w:color w:val="000000"/>
                <w:sz w:val="15"/>
                <w:szCs w:val="15"/>
              </w:rPr>
              <w:t xml:space="preserve">PeopleStrong</w:t>
            </w:r>
          </w:p>
        </w:tc>
        <w:tc>
          <w:tcPr>
            <w:tcW w:type="dxa" w:w="1000"/>
            <w:tcBorders>
              <w:top w:val="single" w:color="CCCCCC" w:sz="2"/>
              <w:left w:val="single" w:color="CCCCCC" w:sz="2"/>
              <w:bottom w:val="single" w:color="CCCCCC" w:sz="2"/>
              <w:right w:val="single" w:color="CCCCCC" w:sz="2"/>
            </w:tcBorders>
            <w:shd w:fill="F2F2F2" w:color="auto" w:val="clear"/>
            <w:tcMar>
              <w:top w:type="dxa" w:w="70"/>
              <w:left w:type="dxa" w:w="70"/>
              <w:bottom w:type="dxa" w:w="70"/>
              <w:right w:type="dxa" w:w="70"/>
            </w:tcMar>
          </w:tcPr>
          <w:p>
            <w:pPr>
              <w:jc w:val="center"/>
            </w:pPr>
            <w:r>
              <w:rPr>
                <w:rFonts w:ascii="Calibri" w:cs="Calibri" w:eastAsia="Calibri" w:hAnsi="Calibri"/>
                <w:b/>
                <w:bCs/>
                <w:color w:val="000000"/>
                <w:sz w:val="15"/>
                <w:szCs w:val="15"/>
              </w:rPr>
              <w:t xml:space="preserve">Turbohire</w:t>
            </w:r>
          </w:p>
        </w:tc>
      </w:tr>
      <w:tr>
        <w:tc>
          <w:tcPr>
            <w:tcW w:type="dxa" w:w="2500"/>
            <w:tcBorders>
              <w:top w:val="single" w:color="CCCCCC" w:sz="2"/>
              <w:left w:val="single" w:color="CCCCCC" w:sz="2"/>
              <w:bottom w:val="single" w:color="CCCCCC" w:sz="2"/>
              <w:right w:val="single" w:color="CCCCCC" w:sz="2"/>
            </w:tcBorders>
            <w:tcMar>
              <w:top w:type="dxa" w:w="70"/>
              <w:left w:type="dxa" w:w="70"/>
              <w:bottom w:type="dxa" w:w="70"/>
              <w:right w:type="dxa" w:w="70"/>
            </w:tcMar>
          </w:tcPr>
          <w:p>
            <w:pPr>
              <w:spacing w:line="220"/>
            </w:pPr>
            <w:r>
              <w:rPr>
                <w:rFonts w:ascii="Calibri" w:cs="Calibri" w:eastAsia="Calibri" w:hAnsi="Calibri"/>
                <w:color w:val="1A1A1A"/>
                <w:sz w:val="15"/>
                <w:szCs w:val="15"/>
              </w:rPr>
              <w:t xml:space="preserve">AI-generated JD variants (multiple drafts, not just a template)</w:t>
            </w:r>
          </w:p>
        </w:tc>
        <w:tc>
          <w:tcPr>
            <w:tcW w:type="dxa" w:w="1300"/>
            <w:tcBorders>
              <w:top w:val="single" w:color="CCCCCC" w:sz="2"/>
              <w:left w:val="single" w:color="CCCCCC" w:sz="2"/>
              <w:bottom w:val="single" w:color="CCCCCC" w:sz="2"/>
              <w:right w:val="single" w:color="CCCCCC" w:sz="2"/>
            </w:tcBorders>
            <w:tcMar>
              <w:top w:type="dxa" w:w="70"/>
              <w:left w:type="dxa" w:w="70"/>
              <w:bottom w:type="dxa" w:w="70"/>
              <w:right w:type="dxa" w:w="70"/>
            </w:tcMar>
          </w:tcPr>
          <w:p>
            <w:pPr>
              <w:spacing w:line="220"/>
            </w:pPr>
            <w:r>
              <w:rPr>
                <w:rFonts w:ascii="Calibri" w:cs="Calibri" w:eastAsia="Calibri" w:hAnsi="Calibri"/>
                <w:color w:val="1A1A1A"/>
                <w:sz w:val="15"/>
                <w:szCs w:val="15"/>
              </w:rPr>
              <w:t xml:space="preserve">Yes — 2–3 AI variants per brief (HR-M1-FR-002)</w:t>
            </w:r>
          </w:p>
        </w:tc>
        <w:tc>
          <w:tcPr>
            <w:tcW w:type="dxa" w:w="950"/>
            <w:tcBorders>
              <w:top w:val="single" w:color="CCCCCC" w:sz="2"/>
              <w:left w:val="single" w:color="CCCCCC" w:sz="2"/>
              <w:bottom w:val="single" w:color="CCCCCC" w:sz="2"/>
              <w:right w:val="single" w:color="CCCCCC" w:sz="2"/>
            </w:tcBorders>
            <w:tcMar>
              <w:top w:type="dxa" w:w="70"/>
              <w:left w:type="dxa" w:w="70"/>
              <w:bottom w:type="dxa" w:w="70"/>
              <w:right w:type="dxa" w:w="70"/>
            </w:tcMar>
          </w:tcPr>
          <w:p>
            <w:pPr>
              <w:spacing w:line="220"/>
            </w:pPr>
            <w:r>
              <w:rPr>
                <w:rFonts w:ascii="Calibri" w:cs="Calibri" w:eastAsia="Calibri" w:hAnsi="Calibri"/>
                <w:color w:val="1A1A1A"/>
                <w:sz w:val="15"/>
                <w:szCs w:val="15"/>
              </w:rPr>
              <w:t xml:space="preserve">Unconfirmed</w:t>
            </w:r>
          </w:p>
        </w:tc>
        <w:tc>
          <w:tcPr>
            <w:tcW w:type="dxa" w:w="950"/>
            <w:tcBorders>
              <w:top w:val="single" w:color="CCCCCC" w:sz="2"/>
              <w:left w:val="single" w:color="CCCCCC" w:sz="2"/>
              <w:bottom w:val="single" w:color="CCCCCC" w:sz="2"/>
              <w:right w:val="single" w:color="CCCCCC" w:sz="2"/>
            </w:tcBorders>
            <w:tcMar>
              <w:top w:type="dxa" w:w="70"/>
              <w:left w:type="dxa" w:w="70"/>
              <w:bottom w:type="dxa" w:w="70"/>
              <w:right w:type="dxa" w:w="70"/>
            </w:tcMar>
          </w:tcPr>
          <w:p>
            <w:pPr>
              <w:spacing w:line="220"/>
            </w:pPr>
            <w:r>
              <w:rPr>
                <w:rFonts w:ascii="Calibri" w:cs="Calibri" w:eastAsia="Calibri" w:hAnsi="Calibri"/>
                <w:color w:val="1A1A1A"/>
                <w:sz w:val="15"/>
                <w:szCs w:val="15"/>
              </w:rPr>
              <w:t xml:space="preserve">No — JD is an uploaded attachment or external link only</w:t>
            </w:r>
          </w:p>
        </w:tc>
        <w:tc>
          <w:tcPr>
            <w:tcW w:type="dxa" w:w="950"/>
            <w:tcBorders>
              <w:top w:val="single" w:color="CCCCCC" w:sz="2"/>
              <w:left w:val="single" w:color="CCCCCC" w:sz="2"/>
              <w:bottom w:val="single" w:color="CCCCCC" w:sz="2"/>
              <w:right w:val="single" w:color="CCCCCC" w:sz="2"/>
            </w:tcBorders>
            <w:tcMar>
              <w:top w:type="dxa" w:w="70"/>
              <w:left w:type="dxa" w:w="70"/>
              <w:bottom w:type="dxa" w:w="70"/>
              <w:right w:type="dxa" w:w="70"/>
            </w:tcMar>
          </w:tcPr>
          <w:p>
            <w:pPr>
              <w:spacing w:line="220"/>
            </w:pPr>
            <w:r>
              <w:rPr>
                <w:rFonts w:ascii="Calibri" w:cs="Calibri" w:eastAsia="Calibri" w:hAnsi="Calibri"/>
                <w:color w:val="1A1A1A"/>
                <w:sz w:val="15"/>
                <w:szCs w:val="15"/>
              </w:rPr>
              <w:t xml:space="preserve">Unconfirmed</w:t>
            </w:r>
          </w:p>
        </w:tc>
        <w:tc>
          <w:tcPr>
            <w:tcW w:type="dxa" w:w="950"/>
            <w:tcBorders>
              <w:top w:val="single" w:color="CCCCCC" w:sz="2"/>
              <w:left w:val="single" w:color="CCCCCC" w:sz="2"/>
              <w:bottom w:val="single" w:color="CCCCCC" w:sz="2"/>
              <w:right w:val="single" w:color="CCCCCC" w:sz="2"/>
            </w:tcBorders>
            <w:tcMar>
              <w:top w:type="dxa" w:w="70"/>
              <w:left w:type="dxa" w:w="70"/>
              <w:bottom w:type="dxa" w:w="70"/>
              <w:right w:type="dxa" w:w="70"/>
            </w:tcMar>
          </w:tcPr>
          <w:p>
            <w:pPr>
              <w:spacing w:line="220"/>
            </w:pPr>
            <w:r>
              <w:rPr>
                <w:rFonts w:ascii="Calibri" w:cs="Calibri" w:eastAsia="Calibri" w:hAnsi="Calibri"/>
                <w:color w:val="1A1A1A"/>
                <w:sz w:val="15"/>
                <w:szCs w:val="15"/>
              </w:rPr>
              <w:t xml:space="preserve">Partial — skillset fields only, not full JD text</w:t>
            </w:r>
          </w:p>
        </w:tc>
        <w:tc>
          <w:tcPr>
            <w:tcW w:type="dxa" w:w="1000"/>
            <w:tcBorders>
              <w:top w:val="single" w:color="CCCCCC" w:sz="2"/>
              <w:left w:val="single" w:color="CCCCCC" w:sz="2"/>
              <w:bottom w:val="single" w:color="CCCCCC" w:sz="2"/>
              <w:right w:val="single" w:color="CCCCCC" w:sz="2"/>
            </w:tcBorders>
            <w:tcMar>
              <w:top w:type="dxa" w:w="70"/>
              <w:left w:type="dxa" w:w="70"/>
              <w:bottom w:type="dxa" w:w="70"/>
              <w:right w:type="dxa" w:w="70"/>
            </w:tcMar>
          </w:tcPr>
          <w:p>
            <w:pPr>
              <w:spacing w:line="220"/>
            </w:pPr>
            <w:r>
              <w:rPr>
                <w:rFonts w:ascii="Calibri" w:cs="Calibri" w:eastAsia="Calibri" w:hAnsi="Calibri"/>
                <w:color w:val="1A1A1A"/>
                <w:sz w:val="15"/>
                <w:szCs w:val="15"/>
              </w:rPr>
              <w:t xml:space="preserve">Partial — skill recommendations only</w:t>
            </w:r>
          </w:p>
        </w:tc>
        <w:tc>
          <w:tcPr>
            <w:tcW w:type="dxa" w:w="1000"/>
            <w:tcBorders>
              <w:top w:val="single" w:color="CCCCCC" w:sz="2"/>
              <w:left w:val="single" w:color="CCCCCC" w:sz="2"/>
              <w:bottom w:val="single" w:color="CCCCCC" w:sz="2"/>
              <w:right w:val="single" w:color="CCCCCC" w:sz="2"/>
            </w:tcBorders>
            <w:tcMar>
              <w:top w:type="dxa" w:w="70"/>
              <w:left w:type="dxa" w:w="70"/>
              <w:bottom w:type="dxa" w:w="70"/>
              <w:right w:type="dxa" w:w="70"/>
            </w:tcMar>
          </w:tcPr>
          <w:p>
            <w:pPr>
              <w:spacing w:line="220"/>
            </w:pPr>
            <w:r>
              <w:rPr>
                <w:rFonts w:ascii="Calibri" w:cs="Calibri" w:eastAsia="Calibri" w:hAnsi="Calibri"/>
                <w:color w:val="1A1A1A"/>
                <w:sz w:val="15"/>
                <w:szCs w:val="15"/>
              </w:rPr>
              <w:t xml:space="preserve">Unconfirmed</w:t>
            </w:r>
          </w:p>
        </w:tc>
      </w:tr>
      <w:tr>
        <w:tc>
          <w:tcPr>
            <w:tcW w:type="dxa" w:w="2500"/>
            <w:tcBorders>
              <w:top w:val="single" w:color="CCCCCC" w:sz="2"/>
              <w:left w:val="single" w:color="CCCCCC" w:sz="2"/>
              <w:bottom w:val="single" w:color="CCCCCC" w:sz="2"/>
              <w:right w:val="single" w:color="CCCCCC" w:sz="2"/>
            </w:tcBorders>
            <w:tcMar>
              <w:top w:type="dxa" w:w="70"/>
              <w:left w:type="dxa" w:w="70"/>
              <w:bottom w:type="dxa" w:w="70"/>
              <w:right w:type="dxa" w:w="70"/>
            </w:tcMar>
          </w:tcPr>
          <w:p>
            <w:pPr>
              <w:spacing w:line="220"/>
            </w:pPr>
            <w:r>
              <w:rPr>
                <w:rFonts w:ascii="Calibri" w:cs="Calibri" w:eastAsia="Calibri" w:hAnsi="Calibri"/>
                <w:color w:val="1A1A1A"/>
                <w:sz w:val="15"/>
                <w:szCs w:val="15"/>
              </w:rPr>
              <w:t xml:space="preserve">Structured JD schema (queryable fields, not a file attachment)</w:t>
            </w:r>
          </w:p>
        </w:tc>
        <w:tc>
          <w:tcPr>
            <w:tcW w:type="dxa" w:w="1300"/>
            <w:tcBorders>
              <w:top w:val="single" w:color="CCCCCC" w:sz="2"/>
              <w:left w:val="single" w:color="CCCCCC" w:sz="2"/>
              <w:bottom w:val="single" w:color="CCCCCC" w:sz="2"/>
              <w:right w:val="single" w:color="CCCCCC" w:sz="2"/>
            </w:tcBorders>
            <w:tcMar>
              <w:top w:type="dxa" w:w="70"/>
              <w:left w:type="dxa" w:w="70"/>
              <w:bottom w:type="dxa" w:w="70"/>
              <w:right w:type="dxa" w:w="70"/>
            </w:tcMar>
          </w:tcPr>
          <w:p>
            <w:pPr>
              <w:spacing w:line="220"/>
            </w:pPr>
            <w:r>
              <w:rPr>
                <w:rFonts w:ascii="Calibri" w:cs="Calibri" w:eastAsia="Calibri" w:hAnsi="Calibri"/>
                <w:color w:val="1A1A1A"/>
                <w:sz w:val="15"/>
                <w:szCs w:val="15"/>
              </w:rPr>
              <w:t xml:space="preserve">Yes</w:t>
            </w:r>
          </w:p>
        </w:tc>
        <w:tc>
          <w:tcPr>
            <w:tcW w:type="dxa" w:w="950"/>
            <w:tcBorders>
              <w:top w:val="single" w:color="CCCCCC" w:sz="2"/>
              <w:left w:val="single" w:color="CCCCCC" w:sz="2"/>
              <w:bottom w:val="single" w:color="CCCCCC" w:sz="2"/>
              <w:right w:val="single" w:color="CCCCCC" w:sz="2"/>
            </w:tcBorders>
            <w:tcMar>
              <w:top w:type="dxa" w:w="70"/>
              <w:left w:type="dxa" w:w="70"/>
              <w:bottom w:type="dxa" w:w="70"/>
              <w:right w:type="dxa" w:w="70"/>
            </w:tcMar>
          </w:tcPr>
          <w:p>
            <w:pPr>
              <w:spacing w:line="220"/>
            </w:pPr>
            <w:r>
              <w:rPr>
                <w:rFonts w:ascii="Calibri" w:cs="Calibri" w:eastAsia="Calibri" w:hAnsi="Calibri"/>
                <w:color w:val="1A1A1A"/>
                <w:sz w:val="15"/>
                <w:szCs w:val="15"/>
              </w:rPr>
              <w:t xml:space="preserve">Unconfirmed</w:t>
            </w:r>
          </w:p>
        </w:tc>
        <w:tc>
          <w:tcPr>
            <w:tcW w:type="dxa" w:w="950"/>
            <w:tcBorders>
              <w:top w:val="single" w:color="CCCCCC" w:sz="2"/>
              <w:left w:val="single" w:color="CCCCCC" w:sz="2"/>
              <w:bottom w:val="single" w:color="CCCCCC" w:sz="2"/>
              <w:right w:val="single" w:color="CCCCCC" w:sz="2"/>
            </w:tcBorders>
            <w:tcMar>
              <w:top w:type="dxa" w:w="70"/>
              <w:left w:type="dxa" w:w="70"/>
              <w:bottom w:type="dxa" w:w="70"/>
              <w:right w:type="dxa" w:w="70"/>
            </w:tcMar>
          </w:tcPr>
          <w:p>
            <w:pPr>
              <w:spacing w:line="220"/>
            </w:pPr>
            <w:r>
              <w:rPr>
                <w:rFonts w:ascii="Calibri" w:cs="Calibri" w:eastAsia="Calibri" w:hAnsi="Calibri"/>
                <w:color w:val="1A1A1A"/>
                <w:sz w:val="15"/>
                <w:szCs w:val="15"/>
              </w:rPr>
              <w:t xml:space="preserve">No</w:t>
            </w:r>
          </w:p>
        </w:tc>
        <w:tc>
          <w:tcPr>
            <w:tcW w:type="dxa" w:w="950"/>
            <w:tcBorders>
              <w:top w:val="single" w:color="CCCCCC" w:sz="2"/>
              <w:left w:val="single" w:color="CCCCCC" w:sz="2"/>
              <w:bottom w:val="single" w:color="CCCCCC" w:sz="2"/>
              <w:right w:val="single" w:color="CCCCCC" w:sz="2"/>
            </w:tcBorders>
            <w:tcMar>
              <w:top w:type="dxa" w:w="70"/>
              <w:left w:type="dxa" w:w="70"/>
              <w:bottom w:type="dxa" w:w="70"/>
              <w:right w:type="dxa" w:w="70"/>
            </w:tcMar>
          </w:tcPr>
          <w:p>
            <w:pPr>
              <w:spacing w:line="220"/>
            </w:pPr>
            <w:r>
              <w:rPr>
                <w:rFonts w:ascii="Calibri" w:cs="Calibri" w:eastAsia="Calibri" w:hAnsi="Calibri"/>
                <w:color w:val="1A1A1A"/>
                <w:sz w:val="15"/>
                <w:szCs w:val="15"/>
              </w:rPr>
              <w:t xml:space="preserve">Unconfirmed</w:t>
            </w:r>
          </w:p>
        </w:tc>
        <w:tc>
          <w:tcPr>
            <w:tcW w:type="dxa" w:w="950"/>
            <w:tcBorders>
              <w:top w:val="single" w:color="CCCCCC" w:sz="2"/>
              <w:left w:val="single" w:color="CCCCCC" w:sz="2"/>
              <w:bottom w:val="single" w:color="CCCCCC" w:sz="2"/>
              <w:right w:val="single" w:color="CCCCCC" w:sz="2"/>
            </w:tcBorders>
            <w:tcMar>
              <w:top w:type="dxa" w:w="70"/>
              <w:left w:type="dxa" w:w="70"/>
              <w:bottom w:type="dxa" w:w="70"/>
              <w:right w:type="dxa" w:w="70"/>
            </w:tcMar>
          </w:tcPr>
          <w:p>
            <w:pPr>
              <w:spacing w:line="220"/>
            </w:pPr>
            <w:r>
              <w:rPr>
                <w:rFonts w:ascii="Calibri" w:cs="Calibri" w:eastAsia="Calibri" w:hAnsi="Calibri"/>
                <w:color w:val="1A1A1A"/>
                <w:sz w:val="15"/>
                <w:szCs w:val="15"/>
              </w:rPr>
              <w:t xml:space="preserve">Partial</w:t>
            </w:r>
          </w:p>
        </w:tc>
        <w:tc>
          <w:tcPr>
            <w:tcW w:type="dxa" w:w="1000"/>
            <w:tcBorders>
              <w:top w:val="single" w:color="CCCCCC" w:sz="2"/>
              <w:left w:val="single" w:color="CCCCCC" w:sz="2"/>
              <w:bottom w:val="single" w:color="CCCCCC" w:sz="2"/>
              <w:right w:val="single" w:color="CCCCCC" w:sz="2"/>
            </w:tcBorders>
            <w:tcMar>
              <w:top w:type="dxa" w:w="70"/>
              <w:left w:type="dxa" w:w="70"/>
              <w:bottom w:type="dxa" w:w="70"/>
              <w:right w:type="dxa" w:w="70"/>
            </w:tcMar>
          </w:tcPr>
          <w:p>
            <w:pPr>
              <w:spacing w:line="220"/>
            </w:pPr>
            <w:r>
              <w:rPr>
                <w:rFonts w:ascii="Calibri" w:cs="Calibri" w:eastAsia="Calibri" w:hAnsi="Calibri"/>
                <w:color w:val="1A1A1A"/>
                <w:sz w:val="15"/>
                <w:szCs w:val="15"/>
              </w:rPr>
              <w:t xml:space="preserve">Partial</w:t>
            </w:r>
          </w:p>
        </w:tc>
        <w:tc>
          <w:tcPr>
            <w:tcW w:type="dxa" w:w="1000"/>
            <w:tcBorders>
              <w:top w:val="single" w:color="CCCCCC" w:sz="2"/>
              <w:left w:val="single" w:color="CCCCCC" w:sz="2"/>
              <w:bottom w:val="single" w:color="CCCCCC" w:sz="2"/>
              <w:right w:val="single" w:color="CCCCCC" w:sz="2"/>
            </w:tcBorders>
            <w:tcMar>
              <w:top w:type="dxa" w:w="70"/>
              <w:left w:type="dxa" w:w="70"/>
              <w:bottom w:type="dxa" w:w="70"/>
              <w:right w:type="dxa" w:w="70"/>
            </w:tcMar>
          </w:tcPr>
          <w:p>
            <w:pPr>
              <w:spacing w:line="220"/>
            </w:pPr>
            <w:r>
              <w:rPr>
                <w:rFonts w:ascii="Calibri" w:cs="Calibri" w:eastAsia="Calibri" w:hAnsi="Calibri"/>
                <w:color w:val="1A1A1A"/>
                <w:sz w:val="15"/>
                <w:szCs w:val="15"/>
              </w:rPr>
              <w:t xml:space="preserve">Unconfirmed</w:t>
            </w:r>
          </w:p>
        </w:tc>
      </w:tr>
      <w:tr>
        <w:tc>
          <w:tcPr>
            <w:tcW w:type="dxa" w:w="2500"/>
            <w:tcBorders>
              <w:top w:val="single" w:color="CCCCCC" w:sz="2"/>
              <w:left w:val="single" w:color="CCCCCC" w:sz="2"/>
              <w:bottom w:val="single" w:color="CCCCCC" w:sz="2"/>
              <w:right w:val="single" w:color="CCCCCC" w:sz="2"/>
            </w:tcBorders>
            <w:tcMar>
              <w:top w:type="dxa" w:w="70"/>
              <w:left w:type="dxa" w:w="70"/>
              <w:bottom w:type="dxa" w:w="70"/>
              <w:right w:type="dxa" w:w="70"/>
            </w:tcMar>
          </w:tcPr>
          <w:p>
            <w:pPr>
              <w:spacing w:line="220"/>
            </w:pPr>
            <w:r>
              <w:rPr>
                <w:rFonts w:ascii="Calibri" w:cs="Calibri" w:eastAsia="Calibri" w:hAnsi="Calibri"/>
                <w:color w:val="1A1A1A"/>
                <w:sz w:val="15"/>
                <w:szCs w:val="15"/>
              </w:rPr>
              <w:t xml:space="preserve">Formal role-based JD/requisition approval workflow</w:t>
            </w:r>
          </w:p>
        </w:tc>
        <w:tc>
          <w:tcPr>
            <w:tcW w:type="dxa" w:w="1300"/>
            <w:tcBorders>
              <w:top w:val="single" w:color="CCCCCC" w:sz="2"/>
              <w:left w:val="single" w:color="CCCCCC" w:sz="2"/>
              <w:bottom w:val="single" w:color="CCCCCC" w:sz="2"/>
              <w:right w:val="single" w:color="CCCCCC" w:sz="2"/>
            </w:tcBorders>
            <w:tcMar>
              <w:top w:type="dxa" w:w="70"/>
              <w:left w:type="dxa" w:w="70"/>
              <w:bottom w:type="dxa" w:w="70"/>
              <w:right w:type="dxa" w:w="70"/>
            </w:tcMar>
          </w:tcPr>
          <w:p>
            <w:pPr>
              <w:spacing w:line="220"/>
            </w:pPr>
            <w:r>
              <w:rPr>
                <w:rFonts w:ascii="Calibri" w:cs="Calibri" w:eastAsia="Calibri" w:hAnsi="Calibri"/>
                <w:color w:val="1A1A1A"/>
                <w:sz w:val="15"/>
                <w:szCs w:val="15"/>
              </w:rPr>
              <w:t xml:space="preserve">Yes — manager review with SLA/escalation</w:t>
            </w:r>
          </w:p>
        </w:tc>
        <w:tc>
          <w:tcPr>
            <w:tcW w:type="dxa" w:w="950"/>
            <w:tcBorders>
              <w:top w:val="single" w:color="CCCCCC" w:sz="2"/>
              <w:left w:val="single" w:color="CCCCCC" w:sz="2"/>
              <w:bottom w:val="single" w:color="CCCCCC" w:sz="2"/>
              <w:right w:val="single" w:color="CCCCCC" w:sz="2"/>
            </w:tcBorders>
            <w:tcMar>
              <w:top w:type="dxa" w:w="70"/>
              <w:left w:type="dxa" w:w="70"/>
              <w:bottom w:type="dxa" w:w="70"/>
              <w:right w:type="dxa" w:w="70"/>
            </w:tcMar>
          </w:tcPr>
          <w:p>
            <w:pPr>
              <w:spacing w:line="220"/>
            </w:pPr>
            <w:r>
              <w:rPr>
                <w:rFonts w:ascii="Calibri" w:cs="Calibri" w:eastAsia="Calibri" w:hAnsi="Calibri"/>
                <w:color w:val="1A1A1A"/>
                <w:sz w:val="15"/>
                <w:szCs w:val="15"/>
              </w:rPr>
              <w:t xml:space="preserve">Unconfirmed</w:t>
            </w:r>
          </w:p>
        </w:tc>
        <w:tc>
          <w:tcPr>
            <w:tcW w:type="dxa" w:w="950"/>
            <w:tcBorders>
              <w:top w:val="single" w:color="CCCCCC" w:sz="2"/>
              <w:left w:val="single" w:color="CCCCCC" w:sz="2"/>
              <w:bottom w:val="single" w:color="CCCCCC" w:sz="2"/>
              <w:right w:val="single" w:color="CCCCCC" w:sz="2"/>
            </w:tcBorders>
            <w:tcMar>
              <w:top w:type="dxa" w:w="70"/>
              <w:left w:type="dxa" w:w="70"/>
              <w:bottom w:type="dxa" w:w="70"/>
              <w:right w:type="dxa" w:w="70"/>
            </w:tcMar>
          </w:tcPr>
          <w:p>
            <w:pPr>
              <w:spacing w:line="220"/>
            </w:pPr>
            <w:r>
              <w:rPr>
                <w:rFonts w:ascii="Calibri" w:cs="Calibri" w:eastAsia="Calibri" w:hAnsi="Calibri"/>
                <w:color w:val="1A1A1A"/>
                <w:sz w:val="15"/>
                <w:szCs w:val="15"/>
              </w:rPr>
              <w:t xml:space="preserve">Yes — configurable universal or rule-based approval chain</w:t>
            </w:r>
          </w:p>
        </w:tc>
        <w:tc>
          <w:tcPr>
            <w:tcW w:type="dxa" w:w="950"/>
            <w:tcBorders>
              <w:top w:val="single" w:color="CCCCCC" w:sz="2"/>
              <w:left w:val="single" w:color="CCCCCC" w:sz="2"/>
              <w:bottom w:val="single" w:color="CCCCCC" w:sz="2"/>
              <w:right w:val="single" w:color="CCCCCC" w:sz="2"/>
            </w:tcBorders>
            <w:tcMar>
              <w:top w:type="dxa" w:w="70"/>
              <w:left w:type="dxa" w:w="70"/>
              <w:bottom w:type="dxa" w:w="70"/>
              <w:right w:type="dxa" w:w="70"/>
            </w:tcMar>
          </w:tcPr>
          <w:p>
            <w:pPr>
              <w:spacing w:line="220"/>
            </w:pPr>
            <w:r>
              <w:rPr>
                <w:rFonts w:ascii="Calibri" w:cs="Calibri" w:eastAsia="Calibri" w:hAnsi="Calibri"/>
                <w:color w:val="1A1A1A"/>
                <w:sz w:val="15"/>
                <w:szCs w:val="15"/>
              </w:rPr>
              <w:t xml:space="preserve">Unconfirmed</w:t>
            </w:r>
          </w:p>
        </w:tc>
        <w:tc>
          <w:tcPr>
            <w:tcW w:type="dxa" w:w="950"/>
            <w:tcBorders>
              <w:top w:val="single" w:color="CCCCCC" w:sz="2"/>
              <w:left w:val="single" w:color="CCCCCC" w:sz="2"/>
              <w:bottom w:val="single" w:color="CCCCCC" w:sz="2"/>
              <w:right w:val="single" w:color="CCCCCC" w:sz="2"/>
            </w:tcBorders>
            <w:tcMar>
              <w:top w:type="dxa" w:w="70"/>
              <w:left w:type="dxa" w:w="70"/>
              <w:bottom w:type="dxa" w:w="70"/>
              <w:right w:type="dxa" w:w="70"/>
            </w:tcMar>
          </w:tcPr>
          <w:p>
            <w:pPr>
              <w:spacing w:line="220"/>
            </w:pPr>
            <w:r>
              <w:rPr>
                <w:rFonts w:ascii="Calibri" w:cs="Calibri" w:eastAsia="Calibri" w:hAnsi="Calibri"/>
                <w:color w:val="1A1A1A"/>
                <w:sz w:val="15"/>
                <w:szCs w:val="15"/>
              </w:rPr>
              <w:t xml:space="preserve">Partial — general workflow/blueprint automation</w:t>
            </w:r>
          </w:p>
        </w:tc>
        <w:tc>
          <w:tcPr>
            <w:tcW w:type="dxa" w:w="1000"/>
            <w:tcBorders>
              <w:top w:val="single" w:color="CCCCCC" w:sz="2"/>
              <w:left w:val="single" w:color="CCCCCC" w:sz="2"/>
              <w:bottom w:val="single" w:color="CCCCCC" w:sz="2"/>
              <w:right w:val="single" w:color="CCCCCC" w:sz="2"/>
            </w:tcBorders>
            <w:tcMar>
              <w:top w:type="dxa" w:w="70"/>
              <w:left w:type="dxa" w:w="70"/>
              <w:bottom w:type="dxa" w:w="70"/>
              <w:right w:type="dxa" w:w="70"/>
            </w:tcMar>
          </w:tcPr>
          <w:p>
            <w:pPr>
              <w:spacing w:line="220"/>
            </w:pPr>
            <w:r>
              <w:rPr>
                <w:rFonts w:ascii="Calibri" w:cs="Calibri" w:eastAsia="Calibri" w:hAnsi="Calibri"/>
                <w:color w:val="1A1A1A"/>
                <w:sz w:val="15"/>
                <w:szCs w:val="15"/>
              </w:rPr>
              <w:t xml:space="preserve">Yes — configurable approval hierarchies</w:t>
            </w:r>
          </w:p>
        </w:tc>
        <w:tc>
          <w:tcPr>
            <w:tcW w:type="dxa" w:w="1000"/>
            <w:tcBorders>
              <w:top w:val="single" w:color="CCCCCC" w:sz="2"/>
              <w:left w:val="single" w:color="CCCCCC" w:sz="2"/>
              <w:bottom w:val="single" w:color="CCCCCC" w:sz="2"/>
              <w:right w:val="single" w:color="CCCCCC" w:sz="2"/>
            </w:tcBorders>
            <w:tcMar>
              <w:top w:type="dxa" w:w="70"/>
              <w:left w:type="dxa" w:w="70"/>
              <w:bottom w:type="dxa" w:w="70"/>
              <w:right w:type="dxa" w:w="70"/>
            </w:tcMar>
          </w:tcPr>
          <w:p>
            <w:pPr>
              <w:spacing w:line="220"/>
            </w:pPr>
            <w:r>
              <w:rPr>
                <w:rFonts w:ascii="Calibri" w:cs="Calibri" w:eastAsia="Calibri" w:hAnsi="Calibri"/>
                <w:color w:val="1A1A1A"/>
                <w:sz w:val="15"/>
                <w:szCs w:val="15"/>
              </w:rPr>
              <w:t xml:space="preserve">Partial — Approver role in workflow</w:t>
            </w:r>
          </w:p>
        </w:tc>
      </w:tr>
      <w:tr>
        <w:tc>
          <w:tcPr>
            <w:tcW w:type="dxa" w:w="2500"/>
            <w:tcBorders>
              <w:top w:val="single" w:color="CCCCCC" w:sz="2"/>
              <w:left w:val="single" w:color="CCCCCC" w:sz="2"/>
              <w:bottom w:val="single" w:color="CCCCCC" w:sz="2"/>
              <w:right w:val="single" w:color="CCCCCC" w:sz="2"/>
            </w:tcBorders>
            <w:tcMar>
              <w:top w:type="dxa" w:w="70"/>
              <w:left w:type="dxa" w:w="70"/>
              <w:bottom w:type="dxa" w:w="70"/>
              <w:right w:type="dxa" w:w="70"/>
            </w:tcMar>
          </w:tcPr>
          <w:p>
            <w:pPr>
              <w:spacing w:line="220"/>
            </w:pPr>
            <w:r>
              <w:rPr>
                <w:rFonts w:ascii="Calibri" w:cs="Calibri" w:eastAsia="Calibri" w:hAnsi="Calibri"/>
                <w:color w:val="1A1A1A"/>
                <w:sz w:val="15"/>
                <w:szCs w:val="15"/>
              </w:rPr>
              <w:t xml:space="preserve">Hard, immutable JD-freeze state (version-locked)</w:t>
            </w:r>
          </w:p>
        </w:tc>
        <w:tc>
          <w:tcPr>
            <w:tcW w:type="dxa" w:w="1300"/>
            <w:tcBorders>
              <w:top w:val="single" w:color="CCCCCC" w:sz="2"/>
              <w:left w:val="single" w:color="CCCCCC" w:sz="2"/>
              <w:bottom w:val="single" w:color="CCCCCC" w:sz="2"/>
              <w:right w:val="single" w:color="CCCCCC" w:sz="2"/>
            </w:tcBorders>
            <w:tcMar>
              <w:top w:type="dxa" w:w="70"/>
              <w:left w:type="dxa" w:w="70"/>
              <w:bottom w:type="dxa" w:w="70"/>
              <w:right w:type="dxa" w:w="70"/>
            </w:tcMar>
          </w:tcPr>
          <w:p>
            <w:pPr>
              <w:spacing w:line="220"/>
            </w:pPr>
            <w:r>
              <w:rPr>
                <w:rFonts w:ascii="Calibri" w:cs="Calibri" w:eastAsia="Calibri" w:hAnsi="Calibri"/>
                <w:color w:val="1A1A1A"/>
                <w:sz w:val="15"/>
                <w:szCs w:val="15"/>
              </w:rPr>
              <w:t xml:space="preserve">Yes — DB-trigger-enforced immutability on freeze (unique)</w:t>
            </w:r>
          </w:p>
        </w:tc>
        <w:tc>
          <w:tcPr>
            <w:tcW w:type="dxa" w:w="950"/>
            <w:tcBorders>
              <w:top w:val="single" w:color="CCCCCC" w:sz="2"/>
              <w:left w:val="single" w:color="CCCCCC" w:sz="2"/>
              <w:bottom w:val="single" w:color="CCCCCC" w:sz="2"/>
              <w:right w:val="single" w:color="CCCCCC" w:sz="2"/>
            </w:tcBorders>
            <w:tcMar>
              <w:top w:type="dxa" w:w="70"/>
              <w:left w:type="dxa" w:w="70"/>
              <w:bottom w:type="dxa" w:w="70"/>
              <w:right w:type="dxa" w:w="70"/>
            </w:tcMar>
          </w:tcPr>
          <w:p>
            <w:pPr>
              <w:spacing w:line="220"/>
            </w:pPr>
            <w:r>
              <w:rPr>
                <w:rFonts w:ascii="Calibri" w:cs="Calibri" w:eastAsia="Calibri" w:hAnsi="Calibri"/>
                <w:color w:val="1A1A1A"/>
                <w:sz w:val="15"/>
                <w:szCs w:val="15"/>
              </w:rPr>
              <w:t xml:space="preserve">Not found</w:t>
            </w:r>
          </w:p>
        </w:tc>
        <w:tc>
          <w:tcPr>
            <w:tcW w:type="dxa" w:w="950"/>
            <w:tcBorders>
              <w:top w:val="single" w:color="CCCCCC" w:sz="2"/>
              <w:left w:val="single" w:color="CCCCCC" w:sz="2"/>
              <w:bottom w:val="single" w:color="CCCCCC" w:sz="2"/>
              <w:right w:val="single" w:color="CCCCCC" w:sz="2"/>
            </w:tcBorders>
            <w:tcMar>
              <w:top w:type="dxa" w:w="70"/>
              <w:left w:type="dxa" w:w="70"/>
              <w:bottom w:type="dxa" w:w="70"/>
              <w:right w:type="dxa" w:w="70"/>
            </w:tcMar>
          </w:tcPr>
          <w:p>
            <w:pPr>
              <w:spacing w:line="220"/>
            </w:pPr>
            <w:r>
              <w:rPr>
                <w:rFonts w:ascii="Calibri" w:cs="Calibri" w:eastAsia="Calibri" w:hAnsi="Calibri"/>
                <w:color w:val="1A1A1A"/>
                <w:sz w:val="15"/>
                <w:szCs w:val="15"/>
              </w:rPr>
              <w:t xml:space="preserve">Not found</w:t>
            </w:r>
          </w:p>
        </w:tc>
        <w:tc>
          <w:tcPr>
            <w:tcW w:type="dxa" w:w="950"/>
            <w:tcBorders>
              <w:top w:val="single" w:color="CCCCCC" w:sz="2"/>
              <w:left w:val="single" w:color="CCCCCC" w:sz="2"/>
              <w:bottom w:val="single" w:color="CCCCCC" w:sz="2"/>
              <w:right w:val="single" w:color="CCCCCC" w:sz="2"/>
            </w:tcBorders>
            <w:tcMar>
              <w:top w:type="dxa" w:w="70"/>
              <w:left w:type="dxa" w:w="70"/>
              <w:bottom w:type="dxa" w:w="70"/>
              <w:right w:type="dxa" w:w="70"/>
            </w:tcMar>
          </w:tcPr>
          <w:p>
            <w:pPr>
              <w:spacing w:line="220"/>
            </w:pPr>
            <w:r>
              <w:rPr>
                <w:rFonts w:ascii="Calibri" w:cs="Calibri" w:eastAsia="Calibri" w:hAnsi="Calibri"/>
                <w:color w:val="1A1A1A"/>
                <w:sz w:val="15"/>
                <w:szCs w:val="15"/>
              </w:rPr>
              <w:t xml:space="preserve">Not found</w:t>
            </w:r>
          </w:p>
        </w:tc>
        <w:tc>
          <w:tcPr>
            <w:tcW w:type="dxa" w:w="950"/>
            <w:tcBorders>
              <w:top w:val="single" w:color="CCCCCC" w:sz="2"/>
              <w:left w:val="single" w:color="CCCCCC" w:sz="2"/>
              <w:bottom w:val="single" w:color="CCCCCC" w:sz="2"/>
              <w:right w:val="single" w:color="CCCCCC" w:sz="2"/>
            </w:tcBorders>
            <w:tcMar>
              <w:top w:type="dxa" w:w="70"/>
              <w:left w:type="dxa" w:w="70"/>
              <w:bottom w:type="dxa" w:w="70"/>
              <w:right w:type="dxa" w:w="70"/>
            </w:tcMar>
          </w:tcPr>
          <w:p>
            <w:pPr>
              <w:spacing w:line="220"/>
            </w:pPr>
            <w:r>
              <w:rPr>
                <w:rFonts w:ascii="Calibri" w:cs="Calibri" w:eastAsia="Calibri" w:hAnsi="Calibri"/>
                <w:color w:val="1A1A1A"/>
                <w:sz w:val="15"/>
                <w:szCs w:val="15"/>
              </w:rPr>
              <w:t xml:space="preserve">Not found</w:t>
            </w:r>
          </w:p>
        </w:tc>
        <w:tc>
          <w:tcPr>
            <w:tcW w:type="dxa" w:w="1000"/>
            <w:tcBorders>
              <w:top w:val="single" w:color="CCCCCC" w:sz="2"/>
              <w:left w:val="single" w:color="CCCCCC" w:sz="2"/>
              <w:bottom w:val="single" w:color="CCCCCC" w:sz="2"/>
              <w:right w:val="single" w:color="CCCCCC" w:sz="2"/>
            </w:tcBorders>
            <w:tcMar>
              <w:top w:type="dxa" w:w="70"/>
              <w:left w:type="dxa" w:w="70"/>
              <w:bottom w:type="dxa" w:w="70"/>
              <w:right w:type="dxa" w:w="70"/>
            </w:tcMar>
          </w:tcPr>
          <w:p>
            <w:pPr>
              <w:spacing w:line="220"/>
            </w:pPr>
            <w:r>
              <w:rPr>
                <w:rFonts w:ascii="Calibri" w:cs="Calibri" w:eastAsia="Calibri" w:hAnsi="Calibri"/>
                <w:color w:val="1A1A1A"/>
                <w:sz w:val="15"/>
                <w:szCs w:val="15"/>
              </w:rPr>
              <w:t xml:space="preserve">Not found</w:t>
            </w:r>
          </w:p>
        </w:tc>
        <w:tc>
          <w:tcPr>
            <w:tcW w:type="dxa" w:w="1000"/>
            <w:tcBorders>
              <w:top w:val="single" w:color="CCCCCC" w:sz="2"/>
              <w:left w:val="single" w:color="CCCCCC" w:sz="2"/>
              <w:bottom w:val="single" w:color="CCCCCC" w:sz="2"/>
              <w:right w:val="single" w:color="CCCCCC" w:sz="2"/>
            </w:tcBorders>
            <w:tcMar>
              <w:top w:type="dxa" w:w="70"/>
              <w:left w:type="dxa" w:w="70"/>
              <w:bottom w:type="dxa" w:w="70"/>
              <w:right w:type="dxa" w:w="70"/>
            </w:tcMar>
          </w:tcPr>
          <w:p>
            <w:pPr>
              <w:spacing w:line="220"/>
            </w:pPr>
            <w:r>
              <w:rPr>
                <w:rFonts w:ascii="Calibri" w:cs="Calibri" w:eastAsia="Calibri" w:hAnsi="Calibri"/>
                <w:color w:val="1A1A1A"/>
                <w:sz w:val="15"/>
                <w:szCs w:val="15"/>
              </w:rPr>
              <w:t xml:space="preserve">Not found</w:t>
            </w:r>
          </w:p>
        </w:tc>
      </w:tr>
      <w:tr>
        <w:tc>
          <w:tcPr>
            <w:tcW w:type="dxa" w:w="2500"/>
            <w:tcBorders>
              <w:top w:val="single" w:color="CCCCCC" w:sz="2"/>
              <w:left w:val="single" w:color="CCCCCC" w:sz="2"/>
              <w:bottom w:val="single" w:color="CCCCCC" w:sz="2"/>
              <w:right w:val="single" w:color="CCCCCC" w:sz="2"/>
            </w:tcBorders>
            <w:tcMar>
              <w:top w:type="dxa" w:w="70"/>
              <w:left w:type="dxa" w:w="70"/>
              <w:bottom w:type="dxa" w:w="70"/>
              <w:right w:type="dxa" w:w="70"/>
            </w:tcMar>
          </w:tcPr>
          <w:p>
            <w:pPr>
              <w:spacing w:line="220"/>
            </w:pPr>
            <w:r>
              <w:rPr>
                <w:rFonts w:ascii="Calibri" w:cs="Calibri" w:eastAsia="Calibri" w:hAnsi="Calibri"/>
                <w:color w:val="1A1A1A"/>
                <w:sz w:val="15"/>
                <w:szCs w:val="15"/>
              </w:rPr>
              <w:t xml:space="preserve">Manager approval via native email-reply NLP parsing</w:t>
            </w:r>
          </w:p>
        </w:tc>
        <w:tc>
          <w:tcPr>
            <w:tcW w:type="dxa" w:w="1300"/>
            <w:tcBorders>
              <w:top w:val="single" w:color="CCCCCC" w:sz="2"/>
              <w:left w:val="single" w:color="CCCCCC" w:sz="2"/>
              <w:bottom w:val="single" w:color="CCCCCC" w:sz="2"/>
              <w:right w:val="single" w:color="CCCCCC" w:sz="2"/>
            </w:tcBorders>
            <w:tcMar>
              <w:top w:type="dxa" w:w="70"/>
              <w:left w:type="dxa" w:w="70"/>
              <w:bottom w:type="dxa" w:w="70"/>
              <w:right w:type="dxa" w:w="70"/>
            </w:tcMar>
          </w:tcPr>
          <w:p>
            <w:pPr>
              <w:spacing w:line="220"/>
            </w:pPr>
            <w:r>
              <w:rPr>
                <w:rFonts w:ascii="Calibri" w:cs="Calibri" w:eastAsia="Calibri" w:hAnsi="Calibri"/>
                <w:color w:val="1A1A1A"/>
                <w:sz w:val="15"/>
                <w:szCs w:val="15"/>
              </w:rPr>
              <w:t xml:space="preserve">Yes — no portal login required (unique)</w:t>
            </w:r>
          </w:p>
        </w:tc>
        <w:tc>
          <w:tcPr>
            <w:tcW w:type="dxa" w:w="950"/>
            <w:tcBorders>
              <w:top w:val="single" w:color="CCCCCC" w:sz="2"/>
              <w:left w:val="single" w:color="CCCCCC" w:sz="2"/>
              <w:bottom w:val="single" w:color="CCCCCC" w:sz="2"/>
              <w:right w:val="single" w:color="CCCCCC" w:sz="2"/>
            </w:tcBorders>
            <w:tcMar>
              <w:top w:type="dxa" w:w="70"/>
              <w:left w:type="dxa" w:w="70"/>
              <w:bottom w:type="dxa" w:w="70"/>
              <w:right w:type="dxa" w:w="70"/>
            </w:tcMar>
          </w:tcPr>
          <w:p>
            <w:pPr>
              <w:spacing w:line="220"/>
            </w:pPr>
            <w:r>
              <w:rPr>
                <w:rFonts w:ascii="Calibri" w:cs="Calibri" w:eastAsia="Calibri" w:hAnsi="Calibri"/>
                <w:color w:val="1A1A1A"/>
                <w:sz w:val="15"/>
                <w:szCs w:val="15"/>
              </w:rPr>
              <w:t xml:space="preserve">Not found</w:t>
            </w:r>
          </w:p>
        </w:tc>
        <w:tc>
          <w:tcPr>
            <w:tcW w:type="dxa" w:w="950"/>
            <w:tcBorders>
              <w:top w:val="single" w:color="CCCCCC" w:sz="2"/>
              <w:left w:val="single" w:color="CCCCCC" w:sz="2"/>
              <w:bottom w:val="single" w:color="CCCCCC" w:sz="2"/>
              <w:right w:val="single" w:color="CCCCCC" w:sz="2"/>
            </w:tcBorders>
            <w:tcMar>
              <w:top w:type="dxa" w:w="70"/>
              <w:left w:type="dxa" w:w="70"/>
              <w:bottom w:type="dxa" w:w="70"/>
              <w:right w:type="dxa" w:w="70"/>
            </w:tcMar>
          </w:tcPr>
          <w:p>
            <w:pPr>
              <w:spacing w:line="220"/>
            </w:pPr>
            <w:r>
              <w:rPr>
                <w:rFonts w:ascii="Calibri" w:cs="Calibri" w:eastAsia="Calibri" w:hAnsi="Calibri"/>
                <w:color w:val="1A1A1A"/>
                <w:sz w:val="15"/>
                <w:szCs w:val="15"/>
              </w:rPr>
              <w:t xml:space="preserve">Not found</w:t>
            </w:r>
          </w:p>
        </w:tc>
        <w:tc>
          <w:tcPr>
            <w:tcW w:type="dxa" w:w="950"/>
            <w:tcBorders>
              <w:top w:val="single" w:color="CCCCCC" w:sz="2"/>
              <w:left w:val="single" w:color="CCCCCC" w:sz="2"/>
              <w:bottom w:val="single" w:color="CCCCCC" w:sz="2"/>
              <w:right w:val="single" w:color="CCCCCC" w:sz="2"/>
            </w:tcBorders>
            <w:tcMar>
              <w:top w:type="dxa" w:w="70"/>
              <w:left w:type="dxa" w:w="70"/>
              <w:bottom w:type="dxa" w:w="70"/>
              <w:right w:type="dxa" w:w="70"/>
            </w:tcMar>
          </w:tcPr>
          <w:p>
            <w:pPr>
              <w:spacing w:line="220"/>
            </w:pPr>
            <w:r>
              <w:rPr>
                <w:rFonts w:ascii="Calibri" w:cs="Calibri" w:eastAsia="Calibri" w:hAnsi="Calibri"/>
                <w:color w:val="1A1A1A"/>
                <w:sz w:val="15"/>
                <w:szCs w:val="15"/>
              </w:rPr>
              <w:t xml:space="preserve">Not found</w:t>
            </w:r>
          </w:p>
        </w:tc>
        <w:tc>
          <w:tcPr>
            <w:tcW w:type="dxa" w:w="950"/>
            <w:tcBorders>
              <w:top w:val="single" w:color="CCCCCC" w:sz="2"/>
              <w:left w:val="single" w:color="CCCCCC" w:sz="2"/>
              <w:bottom w:val="single" w:color="CCCCCC" w:sz="2"/>
              <w:right w:val="single" w:color="CCCCCC" w:sz="2"/>
            </w:tcBorders>
            <w:tcMar>
              <w:top w:type="dxa" w:w="70"/>
              <w:left w:type="dxa" w:w="70"/>
              <w:bottom w:type="dxa" w:w="70"/>
              <w:right w:type="dxa" w:w="70"/>
            </w:tcMar>
          </w:tcPr>
          <w:p>
            <w:pPr>
              <w:spacing w:line="220"/>
            </w:pPr>
            <w:r>
              <w:rPr>
                <w:rFonts w:ascii="Calibri" w:cs="Calibri" w:eastAsia="Calibri" w:hAnsi="Calibri"/>
                <w:color w:val="1A1A1A"/>
                <w:sz w:val="15"/>
                <w:szCs w:val="15"/>
              </w:rPr>
              <w:t xml:space="preserve">Not found</w:t>
            </w:r>
          </w:p>
        </w:tc>
        <w:tc>
          <w:tcPr>
            <w:tcW w:type="dxa" w:w="1000"/>
            <w:tcBorders>
              <w:top w:val="single" w:color="CCCCCC" w:sz="2"/>
              <w:left w:val="single" w:color="CCCCCC" w:sz="2"/>
              <w:bottom w:val="single" w:color="CCCCCC" w:sz="2"/>
              <w:right w:val="single" w:color="CCCCCC" w:sz="2"/>
            </w:tcBorders>
            <w:tcMar>
              <w:top w:type="dxa" w:w="70"/>
              <w:left w:type="dxa" w:w="70"/>
              <w:bottom w:type="dxa" w:w="70"/>
              <w:right w:type="dxa" w:w="70"/>
            </w:tcMar>
          </w:tcPr>
          <w:p>
            <w:pPr>
              <w:spacing w:line="220"/>
            </w:pPr>
            <w:r>
              <w:rPr>
                <w:rFonts w:ascii="Calibri" w:cs="Calibri" w:eastAsia="Calibri" w:hAnsi="Calibri"/>
                <w:color w:val="1A1A1A"/>
                <w:sz w:val="15"/>
                <w:szCs w:val="15"/>
              </w:rPr>
              <w:t xml:space="preserve">Not found</w:t>
            </w:r>
          </w:p>
        </w:tc>
        <w:tc>
          <w:tcPr>
            <w:tcW w:type="dxa" w:w="1000"/>
            <w:tcBorders>
              <w:top w:val="single" w:color="CCCCCC" w:sz="2"/>
              <w:left w:val="single" w:color="CCCCCC" w:sz="2"/>
              <w:bottom w:val="single" w:color="CCCCCC" w:sz="2"/>
              <w:right w:val="single" w:color="CCCCCC" w:sz="2"/>
            </w:tcBorders>
            <w:tcMar>
              <w:top w:type="dxa" w:w="70"/>
              <w:left w:type="dxa" w:w="70"/>
              <w:bottom w:type="dxa" w:w="70"/>
              <w:right w:type="dxa" w:w="70"/>
            </w:tcMar>
          </w:tcPr>
          <w:p>
            <w:pPr>
              <w:spacing w:line="220"/>
            </w:pPr>
            <w:r>
              <w:rPr>
                <w:rFonts w:ascii="Calibri" w:cs="Calibri" w:eastAsia="Calibri" w:hAnsi="Calibri"/>
                <w:color w:val="1A1A1A"/>
                <w:sz w:val="15"/>
                <w:szCs w:val="15"/>
              </w:rPr>
              <w:t xml:space="preserve">Not found</w:t>
            </w:r>
          </w:p>
        </w:tc>
      </w:tr>
      <w:tr>
        <w:tc>
          <w:tcPr>
            <w:tcW w:type="dxa" w:w="2500"/>
            <w:tcBorders>
              <w:top w:val="single" w:color="CCCCCC" w:sz="2"/>
              <w:left w:val="single" w:color="CCCCCC" w:sz="2"/>
              <w:bottom w:val="single" w:color="CCCCCC" w:sz="2"/>
              <w:right w:val="single" w:color="CCCCCC" w:sz="2"/>
            </w:tcBorders>
            <w:tcMar>
              <w:top w:type="dxa" w:w="70"/>
              <w:left w:type="dxa" w:w="70"/>
              <w:bottom w:type="dxa" w:w="70"/>
              <w:right w:type="dxa" w:w="70"/>
            </w:tcMar>
          </w:tcPr>
          <w:p>
            <w:pPr>
              <w:spacing w:line="220"/>
            </w:pPr>
            <w:r>
              <w:rPr>
                <w:rFonts w:ascii="Calibri" w:cs="Calibri" w:eastAsia="Calibri" w:hAnsi="Calibri"/>
                <w:color w:val="1A1A1A"/>
                <w:sz w:val="15"/>
                <w:szCs w:val="15"/>
              </w:rPr>
              <w:t xml:space="preserve">Unified, deduplicated multi-channel resume inbox</w:t>
            </w:r>
          </w:p>
        </w:tc>
        <w:tc>
          <w:tcPr>
            <w:tcW w:type="dxa" w:w="1300"/>
            <w:tcBorders>
              <w:top w:val="single" w:color="CCCCCC" w:sz="2"/>
              <w:left w:val="single" w:color="CCCCCC" w:sz="2"/>
              <w:bottom w:val="single" w:color="CCCCCC" w:sz="2"/>
              <w:right w:val="single" w:color="CCCCCC" w:sz="2"/>
            </w:tcBorders>
            <w:tcMar>
              <w:top w:type="dxa" w:w="70"/>
              <w:left w:type="dxa" w:w="70"/>
              <w:bottom w:type="dxa" w:w="70"/>
              <w:right w:type="dxa" w:w="70"/>
            </w:tcMar>
          </w:tcPr>
          <w:p>
            <w:pPr>
              <w:spacing w:line="220"/>
            </w:pPr>
            <w:r>
              <w:rPr>
                <w:rFonts w:ascii="Calibri" w:cs="Calibri" w:eastAsia="Calibri" w:hAnsi="Calibri"/>
                <w:color w:val="1A1A1A"/>
                <w:sz w:val="15"/>
                <w:szCs w:val="15"/>
              </w:rPr>
              <w:t xml:space="preserve">Yes (HR-M2-FR-003)</w:t>
            </w:r>
          </w:p>
        </w:tc>
        <w:tc>
          <w:tcPr>
            <w:tcW w:type="dxa" w:w="950"/>
            <w:tcBorders>
              <w:top w:val="single" w:color="CCCCCC" w:sz="2"/>
              <w:left w:val="single" w:color="CCCCCC" w:sz="2"/>
              <w:bottom w:val="single" w:color="CCCCCC" w:sz="2"/>
              <w:right w:val="single" w:color="CCCCCC" w:sz="2"/>
            </w:tcBorders>
            <w:tcMar>
              <w:top w:type="dxa" w:w="70"/>
              <w:left w:type="dxa" w:w="70"/>
              <w:bottom w:type="dxa" w:w="70"/>
              <w:right w:type="dxa" w:w="70"/>
            </w:tcMar>
          </w:tcPr>
          <w:p>
            <w:pPr>
              <w:spacing w:line="220"/>
            </w:pPr>
            <w:r>
              <w:rPr>
                <w:rFonts w:ascii="Calibri" w:cs="Calibri" w:eastAsia="Calibri" w:hAnsi="Calibri"/>
                <w:color w:val="1A1A1A"/>
                <w:sz w:val="15"/>
                <w:szCs w:val="15"/>
              </w:rPr>
              <w:t xml:space="preserve">Unconfirmed</w:t>
            </w:r>
          </w:p>
        </w:tc>
        <w:tc>
          <w:tcPr>
            <w:tcW w:type="dxa" w:w="950"/>
            <w:tcBorders>
              <w:top w:val="single" w:color="CCCCCC" w:sz="2"/>
              <w:left w:val="single" w:color="CCCCCC" w:sz="2"/>
              <w:bottom w:val="single" w:color="CCCCCC" w:sz="2"/>
              <w:right w:val="single" w:color="CCCCCC" w:sz="2"/>
            </w:tcBorders>
            <w:tcMar>
              <w:top w:type="dxa" w:w="70"/>
              <w:left w:type="dxa" w:w="70"/>
              <w:bottom w:type="dxa" w:w="70"/>
              <w:right w:type="dxa" w:w="70"/>
            </w:tcMar>
          </w:tcPr>
          <w:p>
            <w:pPr>
              <w:spacing w:line="220"/>
            </w:pPr>
            <w:r>
              <w:rPr>
                <w:rFonts w:ascii="Calibri" w:cs="Calibri" w:eastAsia="Calibri" w:hAnsi="Calibri"/>
                <w:color w:val="1A1A1A"/>
                <w:sz w:val="15"/>
                <w:szCs w:val="15"/>
              </w:rPr>
              <w:t xml:space="preserve">Unconfirmed</w:t>
            </w:r>
          </w:p>
        </w:tc>
        <w:tc>
          <w:tcPr>
            <w:tcW w:type="dxa" w:w="950"/>
            <w:tcBorders>
              <w:top w:val="single" w:color="CCCCCC" w:sz="2"/>
              <w:left w:val="single" w:color="CCCCCC" w:sz="2"/>
              <w:bottom w:val="single" w:color="CCCCCC" w:sz="2"/>
              <w:right w:val="single" w:color="CCCCCC" w:sz="2"/>
            </w:tcBorders>
            <w:tcMar>
              <w:top w:type="dxa" w:w="70"/>
              <w:left w:type="dxa" w:w="70"/>
              <w:bottom w:type="dxa" w:w="70"/>
              <w:right w:type="dxa" w:w="70"/>
            </w:tcMar>
          </w:tcPr>
          <w:p>
            <w:pPr>
              <w:spacing w:line="220"/>
            </w:pPr>
            <w:r>
              <w:rPr>
                <w:rFonts w:ascii="Calibri" w:cs="Calibri" w:eastAsia="Calibri" w:hAnsi="Calibri"/>
                <w:color w:val="1A1A1A"/>
                <w:sz w:val="15"/>
                <w:szCs w:val="15"/>
              </w:rPr>
              <w:t xml:space="preserve">Partial — undetailed "centralized inbox" claim</w:t>
            </w:r>
          </w:p>
        </w:tc>
        <w:tc>
          <w:tcPr>
            <w:tcW w:type="dxa" w:w="950"/>
            <w:tcBorders>
              <w:top w:val="single" w:color="CCCCCC" w:sz="2"/>
              <w:left w:val="single" w:color="CCCCCC" w:sz="2"/>
              <w:bottom w:val="single" w:color="CCCCCC" w:sz="2"/>
              <w:right w:val="single" w:color="CCCCCC" w:sz="2"/>
            </w:tcBorders>
            <w:tcMar>
              <w:top w:type="dxa" w:w="70"/>
              <w:left w:type="dxa" w:w="70"/>
              <w:bottom w:type="dxa" w:w="70"/>
              <w:right w:type="dxa" w:w="70"/>
            </w:tcMar>
          </w:tcPr>
          <w:p>
            <w:pPr>
              <w:spacing w:line="220"/>
            </w:pPr>
            <w:r>
              <w:rPr>
                <w:rFonts w:ascii="Calibri" w:cs="Calibri" w:eastAsia="Calibri" w:hAnsi="Calibri"/>
                <w:color w:val="1A1A1A"/>
                <w:sz w:val="15"/>
                <w:szCs w:val="15"/>
              </w:rPr>
              <w:t xml:space="preserve">Yes — Resume Inbox</w:t>
            </w:r>
          </w:p>
        </w:tc>
        <w:tc>
          <w:tcPr>
            <w:tcW w:type="dxa" w:w="1000"/>
            <w:tcBorders>
              <w:top w:val="single" w:color="CCCCCC" w:sz="2"/>
              <w:left w:val="single" w:color="CCCCCC" w:sz="2"/>
              <w:bottom w:val="single" w:color="CCCCCC" w:sz="2"/>
              <w:right w:val="single" w:color="CCCCCC" w:sz="2"/>
            </w:tcBorders>
            <w:tcMar>
              <w:top w:type="dxa" w:w="70"/>
              <w:left w:type="dxa" w:w="70"/>
              <w:bottom w:type="dxa" w:w="70"/>
              <w:right w:type="dxa" w:w="70"/>
            </w:tcMar>
          </w:tcPr>
          <w:p>
            <w:pPr>
              <w:spacing w:line="220"/>
            </w:pPr>
            <w:r>
              <w:rPr>
                <w:rFonts w:ascii="Calibri" w:cs="Calibri" w:eastAsia="Calibri" w:hAnsi="Calibri"/>
                <w:color w:val="1A1A1A"/>
                <w:sz w:val="15"/>
                <w:szCs w:val="15"/>
              </w:rPr>
              <w:t xml:space="preserve">Partial</w:t>
            </w:r>
          </w:p>
        </w:tc>
        <w:tc>
          <w:tcPr>
            <w:tcW w:type="dxa" w:w="1000"/>
            <w:tcBorders>
              <w:top w:val="single" w:color="CCCCCC" w:sz="2"/>
              <w:left w:val="single" w:color="CCCCCC" w:sz="2"/>
              <w:bottom w:val="single" w:color="CCCCCC" w:sz="2"/>
              <w:right w:val="single" w:color="CCCCCC" w:sz="2"/>
            </w:tcBorders>
            <w:tcMar>
              <w:top w:type="dxa" w:w="70"/>
              <w:left w:type="dxa" w:w="70"/>
              <w:bottom w:type="dxa" w:w="70"/>
              <w:right w:type="dxa" w:w="70"/>
            </w:tcMar>
          </w:tcPr>
          <w:p>
            <w:pPr>
              <w:spacing w:line="220"/>
            </w:pPr>
            <w:r>
              <w:rPr>
                <w:rFonts w:ascii="Calibri" w:cs="Calibri" w:eastAsia="Calibri" w:hAnsi="Calibri"/>
                <w:color w:val="1A1A1A"/>
                <w:sz w:val="15"/>
                <w:szCs w:val="15"/>
              </w:rPr>
              <w:t xml:space="preserve">Unconfirmed</w:t>
            </w:r>
          </w:p>
        </w:tc>
      </w:tr>
      <w:tr>
        <w:tc>
          <w:tcPr>
            <w:tcW w:type="dxa" w:w="2500"/>
            <w:tcBorders>
              <w:top w:val="single" w:color="CCCCCC" w:sz="2"/>
              <w:left w:val="single" w:color="CCCCCC" w:sz="2"/>
              <w:bottom w:val="single" w:color="CCCCCC" w:sz="2"/>
              <w:right w:val="single" w:color="CCCCCC" w:sz="2"/>
            </w:tcBorders>
            <w:tcMar>
              <w:top w:type="dxa" w:w="70"/>
              <w:left w:type="dxa" w:w="70"/>
              <w:bottom w:type="dxa" w:w="70"/>
              <w:right w:type="dxa" w:w="70"/>
            </w:tcMar>
          </w:tcPr>
          <w:p>
            <w:pPr>
              <w:spacing w:line="220"/>
            </w:pPr>
            <w:r>
              <w:rPr>
                <w:rFonts w:ascii="Calibri" w:cs="Calibri" w:eastAsia="Calibri" w:hAnsi="Calibri"/>
                <w:color w:val="1A1A1A"/>
                <w:sz w:val="15"/>
                <w:szCs w:val="15"/>
              </w:rPr>
              <w:t xml:space="preserve">Native resume parsing (no third-party add-on)</w:t>
            </w:r>
          </w:p>
        </w:tc>
        <w:tc>
          <w:tcPr>
            <w:tcW w:type="dxa" w:w="1300"/>
            <w:tcBorders>
              <w:top w:val="single" w:color="CCCCCC" w:sz="2"/>
              <w:left w:val="single" w:color="CCCCCC" w:sz="2"/>
              <w:bottom w:val="single" w:color="CCCCCC" w:sz="2"/>
              <w:right w:val="single" w:color="CCCCCC" w:sz="2"/>
            </w:tcBorders>
            <w:tcMar>
              <w:top w:type="dxa" w:w="70"/>
              <w:left w:type="dxa" w:w="70"/>
              <w:bottom w:type="dxa" w:w="70"/>
              <w:right w:type="dxa" w:w="70"/>
            </w:tcMar>
          </w:tcPr>
          <w:p>
            <w:pPr>
              <w:spacing w:line="220"/>
            </w:pPr>
            <w:r>
              <w:rPr>
                <w:rFonts w:ascii="Calibri" w:cs="Calibri" w:eastAsia="Calibri" w:hAnsi="Calibri"/>
                <w:color w:val="1A1A1A"/>
                <w:sz w:val="15"/>
                <w:szCs w:val="15"/>
              </w:rPr>
              <w:t xml:space="preserve">Yes</w:t>
            </w:r>
          </w:p>
        </w:tc>
        <w:tc>
          <w:tcPr>
            <w:tcW w:type="dxa" w:w="950"/>
            <w:tcBorders>
              <w:top w:val="single" w:color="CCCCCC" w:sz="2"/>
              <w:left w:val="single" w:color="CCCCCC" w:sz="2"/>
              <w:bottom w:val="single" w:color="CCCCCC" w:sz="2"/>
              <w:right w:val="single" w:color="CCCCCC" w:sz="2"/>
            </w:tcBorders>
            <w:tcMar>
              <w:top w:type="dxa" w:w="70"/>
              <w:left w:type="dxa" w:w="70"/>
              <w:bottom w:type="dxa" w:w="70"/>
              <w:right w:type="dxa" w:w="70"/>
            </w:tcMar>
          </w:tcPr>
          <w:p>
            <w:pPr>
              <w:spacing w:line="220"/>
            </w:pPr>
            <w:r>
              <w:rPr>
                <w:rFonts w:ascii="Calibri" w:cs="Calibri" w:eastAsia="Calibri" w:hAnsi="Calibri"/>
                <w:color w:val="1A1A1A"/>
                <w:sz w:val="15"/>
                <w:szCs w:val="15"/>
              </w:rPr>
              <w:t xml:space="preserve">No — marketplace add-on only</w:t>
            </w:r>
          </w:p>
        </w:tc>
        <w:tc>
          <w:tcPr>
            <w:tcW w:type="dxa" w:w="950"/>
            <w:tcBorders>
              <w:top w:val="single" w:color="CCCCCC" w:sz="2"/>
              <w:left w:val="single" w:color="CCCCCC" w:sz="2"/>
              <w:bottom w:val="single" w:color="CCCCCC" w:sz="2"/>
              <w:right w:val="single" w:color="CCCCCC" w:sz="2"/>
            </w:tcBorders>
            <w:tcMar>
              <w:top w:type="dxa" w:w="70"/>
              <w:left w:type="dxa" w:w="70"/>
              <w:bottom w:type="dxa" w:w="70"/>
              <w:right w:type="dxa" w:w="70"/>
            </w:tcMar>
          </w:tcPr>
          <w:p>
            <w:pPr>
              <w:spacing w:line="220"/>
            </w:pPr>
            <w:r>
              <w:rPr>
                <w:rFonts w:ascii="Calibri" w:cs="Calibri" w:eastAsia="Calibri" w:hAnsi="Calibri"/>
                <w:color w:val="1A1A1A"/>
                <w:sz w:val="15"/>
                <w:szCs w:val="15"/>
              </w:rPr>
              <w:t xml:space="preserve">Unconfirmed</w:t>
            </w:r>
          </w:p>
        </w:tc>
        <w:tc>
          <w:tcPr>
            <w:tcW w:type="dxa" w:w="950"/>
            <w:tcBorders>
              <w:top w:val="single" w:color="CCCCCC" w:sz="2"/>
              <w:left w:val="single" w:color="CCCCCC" w:sz="2"/>
              <w:bottom w:val="single" w:color="CCCCCC" w:sz="2"/>
              <w:right w:val="single" w:color="CCCCCC" w:sz="2"/>
            </w:tcBorders>
            <w:tcMar>
              <w:top w:type="dxa" w:w="70"/>
              <w:left w:type="dxa" w:w="70"/>
              <w:bottom w:type="dxa" w:w="70"/>
              <w:right w:type="dxa" w:w="70"/>
            </w:tcMar>
          </w:tcPr>
          <w:p>
            <w:pPr>
              <w:spacing w:line="220"/>
            </w:pPr>
            <w:r>
              <w:rPr>
                <w:rFonts w:ascii="Calibri" w:cs="Calibri" w:eastAsia="Calibri" w:hAnsi="Calibri"/>
                <w:color w:val="1A1A1A"/>
                <w:sz w:val="15"/>
                <w:szCs w:val="15"/>
              </w:rPr>
              <w:t xml:space="preserve">Unconfirmed</w:t>
            </w:r>
          </w:p>
        </w:tc>
        <w:tc>
          <w:tcPr>
            <w:tcW w:type="dxa" w:w="950"/>
            <w:tcBorders>
              <w:top w:val="single" w:color="CCCCCC" w:sz="2"/>
              <w:left w:val="single" w:color="CCCCCC" w:sz="2"/>
              <w:bottom w:val="single" w:color="CCCCCC" w:sz="2"/>
              <w:right w:val="single" w:color="CCCCCC" w:sz="2"/>
            </w:tcBorders>
            <w:tcMar>
              <w:top w:type="dxa" w:w="70"/>
              <w:left w:type="dxa" w:w="70"/>
              <w:bottom w:type="dxa" w:w="70"/>
              <w:right w:type="dxa" w:w="70"/>
            </w:tcMar>
          </w:tcPr>
          <w:p>
            <w:pPr>
              <w:spacing w:line="220"/>
            </w:pPr>
            <w:r>
              <w:rPr>
                <w:rFonts w:ascii="Calibri" w:cs="Calibri" w:eastAsia="Calibri" w:hAnsi="Calibri"/>
                <w:color w:val="1A1A1A"/>
                <w:sz w:val="15"/>
                <w:szCs w:val="15"/>
              </w:rPr>
              <w:t xml:space="preserve">Yes — Resume Extractor/Formatted Resume</w:t>
            </w:r>
          </w:p>
        </w:tc>
        <w:tc>
          <w:tcPr>
            <w:tcW w:type="dxa" w:w="1000"/>
            <w:tcBorders>
              <w:top w:val="single" w:color="CCCCCC" w:sz="2"/>
              <w:left w:val="single" w:color="CCCCCC" w:sz="2"/>
              <w:bottom w:val="single" w:color="CCCCCC" w:sz="2"/>
              <w:right w:val="single" w:color="CCCCCC" w:sz="2"/>
            </w:tcBorders>
            <w:tcMar>
              <w:top w:type="dxa" w:w="70"/>
              <w:left w:type="dxa" w:w="70"/>
              <w:bottom w:type="dxa" w:w="70"/>
              <w:right w:type="dxa" w:w="70"/>
            </w:tcMar>
          </w:tcPr>
          <w:p>
            <w:pPr>
              <w:spacing w:line="220"/>
            </w:pPr>
            <w:r>
              <w:rPr>
                <w:rFonts w:ascii="Calibri" w:cs="Calibri" w:eastAsia="Calibri" w:hAnsi="Calibri"/>
                <w:color w:val="1A1A1A"/>
                <w:sz w:val="15"/>
                <w:szCs w:val="15"/>
              </w:rPr>
              <w:t xml:space="preserve">Yes</w:t>
            </w:r>
          </w:p>
        </w:tc>
        <w:tc>
          <w:tcPr>
            <w:tcW w:type="dxa" w:w="1000"/>
            <w:tcBorders>
              <w:top w:val="single" w:color="CCCCCC" w:sz="2"/>
              <w:left w:val="single" w:color="CCCCCC" w:sz="2"/>
              <w:bottom w:val="single" w:color="CCCCCC" w:sz="2"/>
              <w:right w:val="single" w:color="CCCCCC" w:sz="2"/>
            </w:tcBorders>
            <w:tcMar>
              <w:top w:type="dxa" w:w="70"/>
              <w:left w:type="dxa" w:w="70"/>
              <w:bottom w:type="dxa" w:w="70"/>
              <w:right w:type="dxa" w:w="70"/>
            </w:tcMar>
          </w:tcPr>
          <w:p>
            <w:pPr>
              <w:spacing w:line="220"/>
            </w:pPr>
            <w:r>
              <w:rPr>
                <w:rFonts w:ascii="Calibri" w:cs="Calibri" w:eastAsia="Calibri" w:hAnsi="Calibri"/>
                <w:color w:val="1A1A1A"/>
                <w:sz w:val="15"/>
                <w:szCs w:val="15"/>
              </w:rPr>
              <w:t xml:space="preserve">Unconfirmed</w:t>
            </w:r>
          </w:p>
        </w:tc>
      </w:tr>
      <w:tr>
        <w:tc>
          <w:tcPr>
            <w:tcW w:type="dxa" w:w="2500"/>
            <w:tcBorders>
              <w:top w:val="single" w:color="CCCCCC" w:sz="2"/>
              <w:left w:val="single" w:color="CCCCCC" w:sz="2"/>
              <w:bottom w:val="single" w:color="CCCCCC" w:sz="2"/>
              <w:right w:val="single" w:color="CCCCCC" w:sz="2"/>
            </w:tcBorders>
            <w:tcMar>
              <w:top w:type="dxa" w:w="70"/>
              <w:left w:type="dxa" w:w="70"/>
              <w:bottom w:type="dxa" w:w="70"/>
              <w:right w:type="dxa" w:w="70"/>
            </w:tcMar>
          </w:tcPr>
          <w:p>
            <w:pPr>
              <w:spacing w:line="220"/>
            </w:pPr>
            <w:r>
              <w:rPr>
                <w:rFonts w:ascii="Calibri" w:cs="Calibri" w:eastAsia="Calibri" w:hAnsi="Calibri"/>
                <w:color w:val="1A1A1A"/>
                <w:sz w:val="15"/>
                <w:szCs w:val="15"/>
              </w:rPr>
              <w:t xml:space="preserve">Cross-channel duplicate-candidate detection with audit trail</w:t>
            </w:r>
          </w:p>
        </w:tc>
        <w:tc>
          <w:tcPr>
            <w:tcW w:type="dxa" w:w="1300"/>
            <w:tcBorders>
              <w:top w:val="single" w:color="CCCCCC" w:sz="2"/>
              <w:left w:val="single" w:color="CCCCCC" w:sz="2"/>
              <w:bottom w:val="single" w:color="CCCCCC" w:sz="2"/>
              <w:right w:val="single" w:color="CCCCCC" w:sz="2"/>
            </w:tcBorders>
            <w:tcMar>
              <w:top w:type="dxa" w:w="70"/>
              <w:left w:type="dxa" w:w="70"/>
              <w:bottom w:type="dxa" w:w="70"/>
              <w:right w:type="dxa" w:w="70"/>
            </w:tcMar>
          </w:tcPr>
          <w:p>
            <w:pPr>
              <w:spacing w:line="220"/>
            </w:pPr>
            <w:r>
              <w:rPr>
                <w:rFonts w:ascii="Calibri" w:cs="Calibri" w:eastAsia="Calibri" w:hAnsi="Calibri"/>
                <w:color w:val="1A1A1A"/>
                <w:sz w:val="15"/>
                <w:szCs w:val="15"/>
              </w:rPr>
              <w:t xml:space="preserve">Yes — append-only reversal model (HR-M2-FR-006, unique)</w:t>
            </w:r>
          </w:p>
        </w:tc>
        <w:tc>
          <w:tcPr>
            <w:tcW w:type="dxa" w:w="950"/>
            <w:tcBorders>
              <w:top w:val="single" w:color="CCCCCC" w:sz="2"/>
              <w:left w:val="single" w:color="CCCCCC" w:sz="2"/>
              <w:bottom w:val="single" w:color="CCCCCC" w:sz="2"/>
              <w:right w:val="single" w:color="CCCCCC" w:sz="2"/>
            </w:tcBorders>
            <w:tcMar>
              <w:top w:type="dxa" w:w="70"/>
              <w:left w:type="dxa" w:w="70"/>
              <w:bottom w:type="dxa" w:w="70"/>
              <w:right w:type="dxa" w:w="70"/>
            </w:tcMar>
          </w:tcPr>
          <w:p>
            <w:pPr>
              <w:spacing w:line="220"/>
            </w:pPr>
            <w:r>
              <w:rPr>
                <w:rFonts w:ascii="Calibri" w:cs="Calibri" w:eastAsia="Calibri" w:hAnsi="Calibri"/>
                <w:color w:val="1A1A1A"/>
                <w:sz w:val="15"/>
                <w:szCs w:val="15"/>
              </w:rPr>
              <w:t xml:space="preserve">Not confirmed by any provider researched</w:t>
            </w:r>
          </w:p>
        </w:tc>
        <w:tc>
          <w:tcPr>
            <w:tcW w:type="dxa" w:w="950"/>
            <w:tcBorders>
              <w:top w:val="single" w:color="CCCCCC" w:sz="2"/>
              <w:left w:val="single" w:color="CCCCCC" w:sz="2"/>
              <w:bottom w:val="single" w:color="CCCCCC" w:sz="2"/>
              <w:right w:val="single" w:color="CCCCCC" w:sz="2"/>
            </w:tcBorders>
            <w:tcMar>
              <w:top w:type="dxa" w:w="70"/>
              <w:left w:type="dxa" w:w="70"/>
              <w:bottom w:type="dxa" w:w="70"/>
              <w:right w:type="dxa" w:w="70"/>
            </w:tcMar>
          </w:tcPr>
          <w:p>
            <w:pPr>
              <w:spacing w:line="220"/>
            </w:pPr>
            <w:r>
              <w:rPr>
                <w:rFonts w:ascii="Calibri" w:cs="Calibri" w:eastAsia="Calibri" w:hAnsi="Calibri"/>
                <w:color w:val="1A1A1A"/>
                <w:sz w:val="15"/>
                <w:szCs w:val="15"/>
              </w:rPr>
              <w:t xml:space="preserve">—</w:t>
            </w:r>
          </w:p>
        </w:tc>
        <w:tc>
          <w:tcPr>
            <w:tcW w:type="dxa" w:w="950"/>
            <w:tcBorders>
              <w:top w:val="single" w:color="CCCCCC" w:sz="2"/>
              <w:left w:val="single" w:color="CCCCCC" w:sz="2"/>
              <w:bottom w:val="single" w:color="CCCCCC" w:sz="2"/>
              <w:right w:val="single" w:color="CCCCCC" w:sz="2"/>
            </w:tcBorders>
            <w:tcMar>
              <w:top w:type="dxa" w:w="70"/>
              <w:left w:type="dxa" w:w="70"/>
              <w:bottom w:type="dxa" w:w="70"/>
              <w:right w:type="dxa" w:w="70"/>
            </w:tcMar>
          </w:tcPr>
          <w:p>
            <w:pPr>
              <w:spacing w:line="220"/>
            </w:pPr>
            <w:r>
              <w:rPr>
                <w:rFonts w:ascii="Calibri" w:cs="Calibri" w:eastAsia="Calibri" w:hAnsi="Calibri"/>
                <w:color w:val="1A1A1A"/>
                <w:sz w:val="15"/>
                <w:szCs w:val="15"/>
              </w:rPr>
              <w:t xml:space="preserve">—</w:t>
            </w:r>
          </w:p>
        </w:tc>
        <w:tc>
          <w:tcPr>
            <w:tcW w:type="dxa" w:w="950"/>
            <w:tcBorders>
              <w:top w:val="single" w:color="CCCCCC" w:sz="2"/>
              <w:left w:val="single" w:color="CCCCCC" w:sz="2"/>
              <w:bottom w:val="single" w:color="CCCCCC" w:sz="2"/>
              <w:right w:val="single" w:color="CCCCCC" w:sz="2"/>
            </w:tcBorders>
            <w:tcMar>
              <w:top w:type="dxa" w:w="70"/>
              <w:left w:type="dxa" w:w="70"/>
              <w:bottom w:type="dxa" w:w="70"/>
              <w:right w:type="dxa" w:w="70"/>
            </w:tcMar>
          </w:tcPr>
          <w:p>
            <w:pPr>
              <w:spacing w:line="220"/>
            </w:pPr>
            <w:r>
              <w:rPr>
                <w:rFonts w:ascii="Calibri" w:cs="Calibri" w:eastAsia="Calibri" w:hAnsi="Calibri"/>
                <w:color w:val="1A1A1A"/>
                <w:sz w:val="15"/>
                <w:szCs w:val="15"/>
              </w:rPr>
              <w:t xml:space="preserve">—</w:t>
            </w:r>
          </w:p>
        </w:tc>
        <w:tc>
          <w:tcPr>
            <w:tcW w:type="dxa" w:w="1000"/>
            <w:tcBorders>
              <w:top w:val="single" w:color="CCCCCC" w:sz="2"/>
              <w:left w:val="single" w:color="CCCCCC" w:sz="2"/>
              <w:bottom w:val="single" w:color="CCCCCC" w:sz="2"/>
              <w:right w:val="single" w:color="CCCCCC" w:sz="2"/>
            </w:tcBorders>
            <w:tcMar>
              <w:top w:type="dxa" w:w="70"/>
              <w:left w:type="dxa" w:w="70"/>
              <w:bottom w:type="dxa" w:w="70"/>
              <w:right w:type="dxa" w:w="70"/>
            </w:tcMar>
          </w:tcPr>
          <w:p>
            <w:pPr>
              <w:spacing w:line="220"/>
            </w:pPr>
            <w:r>
              <w:rPr>
                <w:rFonts w:ascii="Calibri" w:cs="Calibri" w:eastAsia="Calibri" w:hAnsi="Calibri"/>
                <w:color w:val="1A1A1A"/>
                <w:sz w:val="15"/>
                <w:szCs w:val="15"/>
              </w:rPr>
              <w:t xml:space="preserve">—</w:t>
            </w:r>
          </w:p>
        </w:tc>
        <w:tc>
          <w:tcPr>
            <w:tcW w:type="dxa" w:w="1000"/>
            <w:tcBorders>
              <w:top w:val="single" w:color="CCCCCC" w:sz="2"/>
              <w:left w:val="single" w:color="CCCCCC" w:sz="2"/>
              <w:bottom w:val="single" w:color="CCCCCC" w:sz="2"/>
              <w:right w:val="single" w:color="CCCCCC" w:sz="2"/>
            </w:tcBorders>
            <w:tcMar>
              <w:top w:type="dxa" w:w="70"/>
              <w:left w:type="dxa" w:w="70"/>
              <w:bottom w:type="dxa" w:w="70"/>
              <w:right w:type="dxa" w:w="70"/>
            </w:tcMar>
          </w:tcPr>
          <w:p>
            <w:pPr>
              <w:spacing w:line="220"/>
            </w:pPr>
            <w:r>
              <w:rPr>
                <w:rFonts w:ascii="Calibri" w:cs="Calibri" w:eastAsia="Calibri" w:hAnsi="Calibri"/>
                <w:color w:val="1A1A1A"/>
                <w:sz w:val="15"/>
                <w:szCs w:val="15"/>
              </w:rPr>
              <w:t xml:space="preserve">—</w:t>
            </w:r>
          </w:p>
        </w:tc>
      </w:tr>
      <w:tr>
        <w:tc>
          <w:tcPr>
            <w:tcW w:type="dxa" w:w="2500"/>
            <w:tcBorders>
              <w:top w:val="single" w:color="CCCCCC" w:sz="2"/>
              <w:left w:val="single" w:color="CCCCCC" w:sz="2"/>
              <w:bottom w:val="single" w:color="CCCCCC" w:sz="2"/>
              <w:right w:val="single" w:color="CCCCCC" w:sz="2"/>
            </w:tcBorders>
            <w:tcMar>
              <w:top w:type="dxa" w:w="70"/>
              <w:left w:type="dxa" w:w="70"/>
              <w:bottom w:type="dxa" w:w="70"/>
              <w:right w:type="dxa" w:w="70"/>
            </w:tcMar>
          </w:tcPr>
          <w:p>
            <w:pPr>
              <w:spacing w:line="220"/>
            </w:pPr>
            <w:r>
              <w:rPr>
                <w:rFonts w:ascii="Calibri" w:cs="Calibri" w:eastAsia="Calibri" w:hAnsi="Calibri"/>
                <w:color w:val="1A1A1A"/>
                <w:sz w:val="15"/>
                <w:szCs w:val="15"/>
              </w:rPr>
              <w:t xml:space="preserve">Multi-tenant + multi-client (agency) isolation architecture</w:t>
            </w:r>
          </w:p>
        </w:tc>
        <w:tc>
          <w:tcPr>
            <w:tcW w:type="dxa" w:w="1300"/>
            <w:tcBorders>
              <w:top w:val="single" w:color="CCCCCC" w:sz="2"/>
              <w:left w:val="single" w:color="CCCCCC" w:sz="2"/>
              <w:bottom w:val="single" w:color="CCCCCC" w:sz="2"/>
              <w:right w:val="single" w:color="CCCCCC" w:sz="2"/>
            </w:tcBorders>
            <w:tcMar>
              <w:top w:type="dxa" w:w="70"/>
              <w:left w:type="dxa" w:w="70"/>
              <w:bottom w:type="dxa" w:w="70"/>
              <w:right w:type="dxa" w:w="70"/>
            </w:tcMar>
          </w:tcPr>
          <w:p>
            <w:pPr>
              <w:spacing w:line="220"/>
            </w:pPr>
            <w:r>
              <w:rPr>
                <w:rFonts w:ascii="Calibri" w:cs="Calibri" w:eastAsia="Calibri" w:hAnsi="Calibri"/>
                <w:color w:val="1A1A1A"/>
                <w:sz w:val="15"/>
                <w:szCs w:val="15"/>
              </w:rPr>
              <w:t xml:space="preserve">Yes — 5-layer enforcement (TDD Section 5.3)</w:t>
            </w:r>
          </w:p>
        </w:tc>
        <w:tc>
          <w:tcPr>
            <w:tcW w:type="dxa" w:w="950"/>
            <w:tcBorders>
              <w:top w:val="single" w:color="CCCCCC" w:sz="2"/>
              <w:left w:val="single" w:color="CCCCCC" w:sz="2"/>
              <w:bottom w:val="single" w:color="CCCCCC" w:sz="2"/>
              <w:right w:val="single" w:color="CCCCCC" w:sz="2"/>
            </w:tcBorders>
            <w:tcMar>
              <w:top w:type="dxa" w:w="70"/>
              <w:left w:type="dxa" w:w="70"/>
              <w:bottom w:type="dxa" w:w="70"/>
              <w:right w:type="dxa" w:w="70"/>
            </w:tcMar>
          </w:tcPr>
          <w:p>
            <w:pPr>
              <w:spacing w:line="220"/>
            </w:pPr>
            <w:r>
              <w:rPr>
                <w:rFonts w:ascii="Calibri" w:cs="Calibri" w:eastAsia="Calibri" w:hAnsi="Calibri"/>
                <w:color w:val="1A1A1A"/>
                <w:sz w:val="15"/>
                <w:szCs w:val="15"/>
              </w:rPr>
              <w:t xml:space="preserve">No</w:t>
            </w:r>
          </w:p>
        </w:tc>
        <w:tc>
          <w:tcPr>
            <w:tcW w:type="dxa" w:w="950"/>
            <w:tcBorders>
              <w:top w:val="single" w:color="CCCCCC" w:sz="2"/>
              <w:left w:val="single" w:color="CCCCCC" w:sz="2"/>
              <w:bottom w:val="single" w:color="CCCCCC" w:sz="2"/>
              <w:right w:val="single" w:color="CCCCCC" w:sz="2"/>
            </w:tcBorders>
            <w:tcMar>
              <w:top w:type="dxa" w:w="70"/>
              <w:left w:type="dxa" w:w="70"/>
              <w:bottom w:type="dxa" w:w="70"/>
              <w:right w:type="dxa" w:w="70"/>
            </w:tcMar>
          </w:tcPr>
          <w:p>
            <w:pPr>
              <w:spacing w:line="220"/>
            </w:pPr>
            <w:r>
              <w:rPr>
                <w:rFonts w:ascii="Calibri" w:cs="Calibri" w:eastAsia="Calibri" w:hAnsi="Calibri"/>
                <w:color w:val="1A1A1A"/>
                <w:sz w:val="15"/>
                <w:szCs w:val="15"/>
              </w:rPr>
              <w:t xml:space="preserve">No</w:t>
            </w:r>
          </w:p>
        </w:tc>
        <w:tc>
          <w:tcPr>
            <w:tcW w:type="dxa" w:w="950"/>
            <w:tcBorders>
              <w:top w:val="single" w:color="CCCCCC" w:sz="2"/>
              <w:left w:val="single" w:color="CCCCCC" w:sz="2"/>
              <w:bottom w:val="single" w:color="CCCCCC" w:sz="2"/>
              <w:right w:val="single" w:color="CCCCCC" w:sz="2"/>
            </w:tcBorders>
            <w:tcMar>
              <w:top w:type="dxa" w:w="70"/>
              <w:left w:type="dxa" w:w="70"/>
              <w:bottom w:type="dxa" w:w="70"/>
              <w:right w:type="dxa" w:w="70"/>
            </w:tcMar>
          </w:tcPr>
          <w:p>
            <w:pPr>
              <w:spacing w:line="220"/>
            </w:pPr>
            <w:r>
              <w:rPr>
                <w:rFonts w:ascii="Calibri" w:cs="Calibri" w:eastAsia="Calibri" w:hAnsi="Calibri"/>
                <w:color w:val="1A1A1A"/>
                <w:sz w:val="15"/>
                <w:szCs w:val="15"/>
              </w:rPr>
              <w:t xml:space="preserve">No</w:t>
            </w:r>
          </w:p>
        </w:tc>
        <w:tc>
          <w:tcPr>
            <w:tcW w:type="dxa" w:w="950"/>
            <w:tcBorders>
              <w:top w:val="single" w:color="CCCCCC" w:sz="2"/>
              <w:left w:val="single" w:color="CCCCCC" w:sz="2"/>
              <w:bottom w:val="single" w:color="CCCCCC" w:sz="2"/>
              <w:right w:val="single" w:color="CCCCCC" w:sz="2"/>
            </w:tcBorders>
            <w:tcMar>
              <w:top w:type="dxa" w:w="70"/>
              <w:left w:type="dxa" w:w="70"/>
              <w:bottom w:type="dxa" w:w="70"/>
              <w:right w:type="dxa" w:w="70"/>
            </w:tcMar>
          </w:tcPr>
          <w:p>
            <w:pPr>
              <w:spacing w:line="220"/>
            </w:pPr>
            <w:r>
              <w:rPr>
                <w:rFonts w:ascii="Calibri" w:cs="Calibri" w:eastAsia="Calibri" w:hAnsi="Calibri"/>
                <w:color w:val="1A1A1A"/>
                <w:sz w:val="15"/>
                <w:szCs w:val="15"/>
              </w:rPr>
              <w:t xml:space="preserve">Yes — Client Portal + Vendor Portal (Staffing Edition)</w:t>
            </w:r>
          </w:p>
        </w:tc>
        <w:tc>
          <w:tcPr>
            <w:tcW w:type="dxa" w:w="1000"/>
            <w:tcBorders>
              <w:top w:val="single" w:color="CCCCCC" w:sz="2"/>
              <w:left w:val="single" w:color="CCCCCC" w:sz="2"/>
              <w:bottom w:val="single" w:color="CCCCCC" w:sz="2"/>
              <w:right w:val="single" w:color="CCCCCC" w:sz="2"/>
            </w:tcBorders>
            <w:tcMar>
              <w:top w:type="dxa" w:w="70"/>
              <w:left w:type="dxa" w:w="70"/>
              <w:bottom w:type="dxa" w:w="70"/>
              <w:right w:type="dxa" w:w="70"/>
            </w:tcMar>
          </w:tcPr>
          <w:p>
            <w:pPr>
              <w:spacing w:line="220"/>
            </w:pPr>
            <w:r>
              <w:rPr>
                <w:rFonts w:ascii="Calibri" w:cs="Calibri" w:eastAsia="Calibri" w:hAnsi="Calibri"/>
                <w:color w:val="1A1A1A"/>
                <w:sz w:val="15"/>
                <w:szCs w:val="15"/>
              </w:rPr>
              <w:t xml:space="preserve">Partial — multi-stakeholder interfaces, no explicit agency edition</w:t>
            </w:r>
          </w:p>
        </w:tc>
        <w:tc>
          <w:tcPr>
            <w:tcW w:type="dxa" w:w="1000"/>
            <w:tcBorders>
              <w:top w:val="single" w:color="CCCCCC" w:sz="2"/>
              <w:left w:val="single" w:color="CCCCCC" w:sz="2"/>
              <w:bottom w:val="single" w:color="CCCCCC" w:sz="2"/>
              <w:right w:val="single" w:color="CCCCCC" w:sz="2"/>
            </w:tcBorders>
            <w:tcMar>
              <w:top w:type="dxa" w:w="70"/>
              <w:left w:type="dxa" w:w="70"/>
              <w:bottom w:type="dxa" w:w="70"/>
              <w:right w:type="dxa" w:w="70"/>
            </w:tcMar>
          </w:tcPr>
          <w:p>
            <w:pPr>
              <w:spacing w:line="220"/>
            </w:pPr>
            <w:r>
              <w:rPr>
                <w:rFonts w:ascii="Calibri" w:cs="Calibri" w:eastAsia="Calibri" w:hAnsi="Calibri"/>
                <w:color w:val="1A1A1A"/>
                <w:sz w:val="15"/>
                <w:szCs w:val="15"/>
              </w:rPr>
              <w:t xml:space="preserve">No</w:t>
            </w:r>
          </w:p>
        </w:tc>
      </w:tr>
      <w:tr>
        <w:tc>
          <w:tcPr>
            <w:tcW w:type="dxa" w:w="2500"/>
            <w:tcBorders>
              <w:top w:val="single" w:color="CCCCCC" w:sz="2"/>
              <w:left w:val="single" w:color="CCCCCC" w:sz="2"/>
              <w:bottom w:val="single" w:color="CCCCCC" w:sz="2"/>
              <w:right w:val="single" w:color="CCCCCC" w:sz="2"/>
            </w:tcBorders>
            <w:tcMar>
              <w:top w:type="dxa" w:w="70"/>
              <w:left w:type="dxa" w:w="70"/>
              <w:bottom w:type="dxa" w:w="70"/>
              <w:right w:type="dxa" w:w="70"/>
            </w:tcMar>
          </w:tcPr>
          <w:p>
            <w:pPr>
              <w:spacing w:line="220"/>
            </w:pPr>
            <w:r>
              <w:rPr>
                <w:rFonts w:ascii="Calibri" w:cs="Calibri" w:eastAsia="Calibri" w:hAnsi="Calibri"/>
                <w:color w:val="1A1A1A"/>
                <w:sz w:val="15"/>
                <w:szCs w:val="15"/>
              </w:rPr>
              <w:t xml:space="preserve">Sourcing restricted to official APIs/RMS + email + manual upload (no job-board scraping)</w:t>
            </w:r>
          </w:p>
        </w:tc>
        <w:tc>
          <w:tcPr>
            <w:tcW w:type="dxa" w:w="1300"/>
            <w:tcBorders>
              <w:top w:val="single" w:color="CCCCCC" w:sz="2"/>
              <w:left w:val="single" w:color="CCCCCC" w:sz="2"/>
              <w:bottom w:val="single" w:color="CCCCCC" w:sz="2"/>
              <w:right w:val="single" w:color="CCCCCC" w:sz="2"/>
            </w:tcBorders>
            <w:tcMar>
              <w:top w:type="dxa" w:w="70"/>
              <w:left w:type="dxa" w:w="70"/>
              <w:bottom w:type="dxa" w:w="70"/>
              <w:right w:type="dxa" w:w="70"/>
            </w:tcMar>
          </w:tcPr>
          <w:p>
            <w:pPr>
              <w:spacing w:line="220"/>
            </w:pPr>
            <w:r>
              <w:rPr>
                <w:rFonts w:ascii="Calibri" w:cs="Calibri" w:eastAsia="Calibri" w:hAnsi="Calibri"/>
                <w:color w:val="1A1A1A"/>
                <w:sz w:val="15"/>
                <w:szCs w:val="15"/>
              </w:rPr>
              <w:t xml:space="preserve">Yes — explicit locked decision (legal/ToS risk avoidance)</w:t>
            </w:r>
          </w:p>
        </w:tc>
        <w:tc>
          <w:tcPr>
            <w:tcW w:type="dxa" w:w="950"/>
            <w:tcBorders>
              <w:top w:val="single" w:color="CCCCCC" w:sz="2"/>
              <w:left w:val="single" w:color="CCCCCC" w:sz="2"/>
              <w:bottom w:val="single" w:color="CCCCCC" w:sz="2"/>
              <w:right w:val="single" w:color="CCCCCC" w:sz="2"/>
            </w:tcBorders>
            <w:tcMar>
              <w:top w:type="dxa" w:w="70"/>
              <w:left w:type="dxa" w:w="70"/>
              <w:bottom w:type="dxa" w:w="70"/>
              <w:right w:type="dxa" w:w="70"/>
            </w:tcMar>
          </w:tcPr>
          <w:p>
            <w:pPr>
              <w:spacing w:line="220"/>
            </w:pPr>
            <w:r>
              <w:rPr>
                <w:rFonts w:ascii="Calibri" w:cs="Calibri" w:eastAsia="Calibri" w:hAnsi="Calibri"/>
                <w:color w:val="1A1A1A"/>
                <w:sz w:val="15"/>
                <w:szCs w:val="15"/>
              </w:rPr>
              <w:t xml:space="preserve">Not stated publicly</w:t>
            </w:r>
          </w:p>
        </w:tc>
        <w:tc>
          <w:tcPr>
            <w:tcW w:type="dxa" w:w="950"/>
            <w:tcBorders>
              <w:top w:val="single" w:color="CCCCCC" w:sz="2"/>
              <w:left w:val="single" w:color="CCCCCC" w:sz="2"/>
              <w:bottom w:val="single" w:color="CCCCCC" w:sz="2"/>
              <w:right w:val="single" w:color="CCCCCC" w:sz="2"/>
            </w:tcBorders>
            <w:tcMar>
              <w:top w:type="dxa" w:w="70"/>
              <w:left w:type="dxa" w:w="70"/>
              <w:bottom w:type="dxa" w:w="70"/>
              <w:right w:type="dxa" w:w="70"/>
            </w:tcMar>
          </w:tcPr>
          <w:p>
            <w:pPr>
              <w:spacing w:line="220"/>
            </w:pPr>
            <w:r>
              <w:rPr>
                <w:rFonts w:ascii="Calibri" w:cs="Calibri" w:eastAsia="Calibri" w:hAnsi="Calibri"/>
                <w:color w:val="1A1A1A"/>
                <w:sz w:val="15"/>
                <w:szCs w:val="15"/>
              </w:rPr>
              <w:t xml:space="preserve">Not stated publicly</w:t>
            </w:r>
          </w:p>
        </w:tc>
        <w:tc>
          <w:tcPr>
            <w:tcW w:type="dxa" w:w="950"/>
            <w:tcBorders>
              <w:top w:val="single" w:color="CCCCCC" w:sz="2"/>
              <w:left w:val="single" w:color="CCCCCC" w:sz="2"/>
              <w:bottom w:val="single" w:color="CCCCCC" w:sz="2"/>
              <w:right w:val="single" w:color="CCCCCC" w:sz="2"/>
            </w:tcBorders>
            <w:tcMar>
              <w:top w:type="dxa" w:w="70"/>
              <w:left w:type="dxa" w:w="70"/>
              <w:bottom w:type="dxa" w:w="70"/>
              <w:right w:type="dxa" w:w="70"/>
            </w:tcMar>
          </w:tcPr>
          <w:p>
            <w:pPr>
              <w:spacing w:line="220"/>
            </w:pPr>
            <w:r>
              <w:rPr>
                <w:rFonts w:ascii="Calibri" w:cs="Calibri" w:eastAsia="Calibri" w:hAnsi="Calibri"/>
                <w:color w:val="1A1A1A"/>
                <w:sz w:val="15"/>
                <w:szCs w:val="15"/>
              </w:rPr>
              <w:t xml:space="preserve">Not stated publicly</w:t>
            </w:r>
          </w:p>
        </w:tc>
        <w:tc>
          <w:tcPr>
            <w:tcW w:type="dxa" w:w="950"/>
            <w:tcBorders>
              <w:top w:val="single" w:color="CCCCCC" w:sz="2"/>
              <w:left w:val="single" w:color="CCCCCC" w:sz="2"/>
              <w:bottom w:val="single" w:color="CCCCCC" w:sz="2"/>
              <w:right w:val="single" w:color="CCCCCC" w:sz="2"/>
            </w:tcBorders>
            <w:tcMar>
              <w:top w:type="dxa" w:w="70"/>
              <w:left w:type="dxa" w:w="70"/>
              <w:bottom w:type="dxa" w:w="70"/>
              <w:right w:type="dxa" w:w="70"/>
            </w:tcMar>
          </w:tcPr>
          <w:p>
            <w:pPr>
              <w:spacing w:line="220"/>
            </w:pPr>
            <w:r>
              <w:rPr>
                <w:rFonts w:ascii="Calibri" w:cs="Calibri" w:eastAsia="Calibri" w:hAnsi="Calibri"/>
                <w:color w:val="1A1A1A"/>
                <w:sz w:val="15"/>
                <w:szCs w:val="15"/>
              </w:rPr>
              <w:t xml:space="preserve">Not stated publicly</w:t>
            </w:r>
          </w:p>
        </w:tc>
        <w:tc>
          <w:tcPr>
            <w:tcW w:type="dxa" w:w="1000"/>
            <w:tcBorders>
              <w:top w:val="single" w:color="CCCCCC" w:sz="2"/>
              <w:left w:val="single" w:color="CCCCCC" w:sz="2"/>
              <w:bottom w:val="single" w:color="CCCCCC" w:sz="2"/>
              <w:right w:val="single" w:color="CCCCCC" w:sz="2"/>
            </w:tcBorders>
            <w:tcMar>
              <w:top w:type="dxa" w:w="70"/>
              <w:left w:type="dxa" w:w="70"/>
              <w:bottom w:type="dxa" w:w="70"/>
              <w:right w:type="dxa" w:w="70"/>
            </w:tcMar>
          </w:tcPr>
          <w:p>
            <w:pPr>
              <w:spacing w:line="220"/>
            </w:pPr>
            <w:r>
              <w:rPr>
                <w:rFonts w:ascii="Calibri" w:cs="Calibri" w:eastAsia="Calibri" w:hAnsi="Calibri"/>
                <w:color w:val="1A1A1A"/>
                <w:sz w:val="15"/>
                <w:szCs w:val="15"/>
              </w:rPr>
              <w:t xml:space="preserve">Not stated publicly</w:t>
            </w:r>
          </w:p>
        </w:tc>
        <w:tc>
          <w:tcPr>
            <w:tcW w:type="dxa" w:w="1000"/>
            <w:tcBorders>
              <w:top w:val="single" w:color="CCCCCC" w:sz="2"/>
              <w:left w:val="single" w:color="CCCCCC" w:sz="2"/>
              <w:bottom w:val="single" w:color="CCCCCC" w:sz="2"/>
              <w:right w:val="single" w:color="CCCCCC" w:sz="2"/>
            </w:tcBorders>
            <w:tcMar>
              <w:top w:type="dxa" w:w="70"/>
              <w:left w:type="dxa" w:w="70"/>
              <w:bottom w:type="dxa" w:w="70"/>
              <w:right w:type="dxa" w:w="70"/>
            </w:tcMar>
          </w:tcPr>
          <w:p>
            <w:pPr>
              <w:spacing w:line="220"/>
            </w:pPr>
            <w:r>
              <w:rPr>
                <w:rFonts w:ascii="Calibri" w:cs="Calibri" w:eastAsia="Calibri" w:hAnsi="Calibri"/>
                <w:color w:val="1A1A1A"/>
                <w:sz w:val="15"/>
                <w:szCs w:val="15"/>
              </w:rPr>
              <w:t xml:space="preserve">Not stated publicly</w:t>
            </w:r>
          </w:p>
        </w:tc>
      </w:tr>
    </w:tbl>
    <w:p>
      <w:pPr>
        <w:spacing w:after="160"/>
      </w:pPr>
    </w:p>
    <w:p>
      <w:pPr>
        <w:pStyle w:val="Heading2"/>
        <w:spacing w:after="100" w:before="220"/>
      </w:pPr>
      <w:bookmarkStart w:name="bm_20_8_2_global_ats_hrms_providers" w:id="1020"/>
      <w:r>
        <w:rPr>
          <w:rFonts w:ascii="Calibri" w:cs="Calibri" w:eastAsia="Calibri" w:hAnsi="Calibri"/>
          <w:b/>
          <w:bCs/>
          <w:color w:val="404040"/>
          <w:sz w:val="24"/>
          <w:szCs w:val="24"/>
        </w:rPr>
        <w:t xml:space="preserve">8.2 Global ATS/HRMS Providers</w:t>
      </w:r>
      <w:bookmarkEnd w:id="1020"/>
    </w:p>
    <w:tbl>
      <w:tblPr>
        <w:tblW w:type="dxa" w:w="9650"/>
        <w:tblBorders>
          <w:top w:val="single" w:color="auto" w:sz="4"/>
          <w:left w:val="single" w:color="auto" w:sz="4"/>
          <w:bottom w:val="single" w:color="auto" w:sz="4"/>
          <w:right w:val="single" w:color="auto" w:sz="4"/>
          <w:insideH w:val="single" w:color="auto" w:sz="4"/>
          <w:insideV w:val="single" w:color="auto" w:sz="4"/>
        </w:tblBorders>
      </w:tblPr>
      <w:tblGrid>
        <w:gridCol w:w="2500"/>
        <w:gridCol w:w="1400"/>
        <w:gridCol w:w="1150"/>
        <w:gridCol w:w="1150"/>
        <w:gridCol w:w="1150"/>
        <w:gridCol w:w="1150"/>
        <w:gridCol w:w="1150"/>
      </w:tblGrid>
      <w:tr>
        <w:trPr>
          <w:tblHeader/>
        </w:trPr>
        <w:tc>
          <w:tcPr>
            <w:tcW w:type="dxa" w:w="2500"/>
            <w:tcBorders>
              <w:top w:val="single" w:color="CCCCCC" w:sz="2"/>
              <w:left w:val="single" w:color="CCCCCC" w:sz="2"/>
              <w:bottom w:val="single" w:color="CCCCCC" w:sz="2"/>
              <w:right w:val="single" w:color="CCCCCC" w:sz="2"/>
            </w:tcBorders>
            <w:shd w:fill="F2F2F2" w:color="auto" w:val="clear"/>
            <w:tcMar>
              <w:top w:type="dxa" w:w="70"/>
              <w:left w:type="dxa" w:w="70"/>
              <w:bottom w:type="dxa" w:w="70"/>
              <w:right w:type="dxa" w:w="70"/>
            </w:tcMar>
          </w:tcPr>
          <w:p>
            <w:pPr>
              <w:jc w:val="center"/>
            </w:pPr>
            <w:r>
              <w:rPr>
                <w:rFonts w:ascii="Calibri" w:cs="Calibri" w:eastAsia="Calibri" w:hAnsi="Calibri"/>
                <w:b/>
                <w:bCs/>
                <w:color w:val="000000"/>
                <w:sz w:val="15"/>
                <w:szCs w:val="15"/>
              </w:rPr>
              <w:t xml:space="preserve">Capability</w:t>
            </w:r>
          </w:p>
        </w:tc>
        <w:tc>
          <w:tcPr>
            <w:tcW w:type="dxa" w:w="1400"/>
            <w:tcBorders>
              <w:top w:val="single" w:color="CCCCCC" w:sz="2"/>
              <w:left w:val="single" w:color="CCCCCC" w:sz="2"/>
              <w:bottom w:val="single" w:color="CCCCCC" w:sz="2"/>
              <w:right w:val="single" w:color="CCCCCC" w:sz="2"/>
            </w:tcBorders>
            <w:shd w:fill="F2F2F2" w:color="auto" w:val="clear"/>
            <w:tcMar>
              <w:top w:type="dxa" w:w="70"/>
              <w:left w:type="dxa" w:w="70"/>
              <w:bottom w:type="dxa" w:w="70"/>
              <w:right w:type="dxa" w:w="70"/>
            </w:tcMar>
          </w:tcPr>
          <w:p>
            <w:pPr>
              <w:jc w:val="center"/>
            </w:pPr>
            <w:r>
              <w:rPr>
                <w:rFonts w:ascii="Calibri" w:cs="Calibri" w:eastAsia="Calibri" w:hAnsi="Calibri"/>
                <w:b/>
                <w:bCs/>
                <w:color w:val="000000"/>
                <w:sz w:val="15"/>
                <w:szCs w:val="15"/>
              </w:rPr>
              <w:t xml:space="preserve">Phoneme HR Suite</w:t>
            </w:r>
          </w:p>
        </w:tc>
        <w:tc>
          <w:tcPr>
            <w:tcW w:type="dxa" w:w="1150"/>
            <w:tcBorders>
              <w:top w:val="single" w:color="CCCCCC" w:sz="2"/>
              <w:left w:val="single" w:color="CCCCCC" w:sz="2"/>
              <w:bottom w:val="single" w:color="CCCCCC" w:sz="2"/>
              <w:right w:val="single" w:color="CCCCCC" w:sz="2"/>
            </w:tcBorders>
            <w:shd w:fill="F2F2F2" w:color="auto" w:val="clear"/>
            <w:tcMar>
              <w:top w:type="dxa" w:w="70"/>
              <w:left w:type="dxa" w:w="70"/>
              <w:bottom w:type="dxa" w:w="70"/>
              <w:right w:type="dxa" w:w="70"/>
            </w:tcMar>
          </w:tcPr>
          <w:p>
            <w:pPr>
              <w:jc w:val="center"/>
            </w:pPr>
            <w:r>
              <w:rPr>
                <w:rFonts w:ascii="Calibri" w:cs="Calibri" w:eastAsia="Calibri" w:hAnsi="Calibri"/>
                <w:b/>
                <w:bCs/>
                <w:color w:val="000000"/>
                <w:sz w:val="15"/>
                <w:szCs w:val="15"/>
              </w:rPr>
              <w:t xml:space="preserve">Workday Recruiting</w:t>
            </w:r>
          </w:p>
        </w:tc>
        <w:tc>
          <w:tcPr>
            <w:tcW w:type="dxa" w:w="1150"/>
            <w:tcBorders>
              <w:top w:val="single" w:color="CCCCCC" w:sz="2"/>
              <w:left w:val="single" w:color="CCCCCC" w:sz="2"/>
              <w:bottom w:val="single" w:color="CCCCCC" w:sz="2"/>
              <w:right w:val="single" w:color="CCCCCC" w:sz="2"/>
            </w:tcBorders>
            <w:shd w:fill="F2F2F2" w:color="auto" w:val="clear"/>
            <w:tcMar>
              <w:top w:type="dxa" w:w="70"/>
              <w:left w:type="dxa" w:w="70"/>
              <w:bottom w:type="dxa" w:w="70"/>
              <w:right w:type="dxa" w:w="70"/>
            </w:tcMar>
          </w:tcPr>
          <w:p>
            <w:pPr>
              <w:jc w:val="center"/>
            </w:pPr>
            <w:r>
              <w:rPr>
                <w:rFonts w:ascii="Calibri" w:cs="Calibri" w:eastAsia="Calibri" w:hAnsi="Calibri"/>
                <w:b/>
                <w:bCs/>
                <w:color w:val="000000"/>
                <w:sz w:val="15"/>
                <w:szCs w:val="15"/>
              </w:rPr>
              <w:t xml:space="preserve">BambooHR</w:t>
            </w:r>
          </w:p>
        </w:tc>
        <w:tc>
          <w:tcPr>
            <w:tcW w:type="dxa" w:w="1150"/>
            <w:tcBorders>
              <w:top w:val="single" w:color="CCCCCC" w:sz="2"/>
              <w:left w:val="single" w:color="CCCCCC" w:sz="2"/>
              <w:bottom w:val="single" w:color="CCCCCC" w:sz="2"/>
              <w:right w:val="single" w:color="CCCCCC" w:sz="2"/>
            </w:tcBorders>
            <w:shd w:fill="F2F2F2" w:color="auto" w:val="clear"/>
            <w:tcMar>
              <w:top w:type="dxa" w:w="70"/>
              <w:left w:type="dxa" w:w="70"/>
              <w:bottom w:type="dxa" w:w="70"/>
              <w:right w:type="dxa" w:w="70"/>
            </w:tcMar>
          </w:tcPr>
          <w:p>
            <w:pPr>
              <w:jc w:val="center"/>
            </w:pPr>
            <w:r>
              <w:rPr>
                <w:rFonts w:ascii="Calibri" w:cs="Calibri" w:eastAsia="Calibri" w:hAnsi="Calibri"/>
                <w:b/>
                <w:bCs/>
                <w:color w:val="000000"/>
                <w:sz w:val="15"/>
                <w:szCs w:val="15"/>
              </w:rPr>
              <w:t xml:space="preserve">Greenhouse</w:t>
            </w:r>
          </w:p>
        </w:tc>
        <w:tc>
          <w:tcPr>
            <w:tcW w:type="dxa" w:w="1150"/>
            <w:tcBorders>
              <w:top w:val="single" w:color="CCCCCC" w:sz="2"/>
              <w:left w:val="single" w:color="CCCCCC" w:sz="2"/>
              <w:bottom w:val="single" w:color="CCCCCC" w:sz="2"/>
              <w:right w:val="single" w:color="CCCCCC" w:sz="2"/>
            </w:tcBorders>
            <w:shd w:fill="F2F2F2" w:color="auto" w:val="clear"/>
            <w:tcMar>
              <w:top w:type="dxa" w:w="70"/>
              <w:left w:type="dxa" w:w="70"/>
              <w:bottom w:type="dxa" w:w="70"/>
              <w:right w:type="dxa" w:w="70"/>
            </w:tcMar>
          </w:tcPr>
          <w:p>
            <w:pPr>
              <w:jc w:val="center"/>
            </w:pPr>
            <w:r>
              <w:rPr>
                <w:rFonts w:ascii="Calibri" w:cs="Calibri" w:eastAsia="Calibri" w:hAnsi="Calibri"/>
                <w:b/>
                <w:bCs/>
                <w:color w:val="000000"/>
                <w:sz w:val="15"/>
                <w:szCs w:val="15"/>
              </w:rPr>
              <w:t xml:space="preserve">Lever</w:t>
            </w:r>
          </w:p>
        </w:tc>
        <w:tc>
          <w:tcPr>
            <w:tcW w:type="dxa" w:w="1150"/>
            <w:tcBorders>
              <w:top w:val="single" w:color="CCCCCC" w:sz="2"/>
              <w:left w:val="single" w:color="CCCCCC" w:sz="2"/>
              <w:bottom w:val="single" w:color="CCCCCC" w:sz="2"/>
              <w:right w:val="single" w:color="CCCCCC" w:sz="2"/>
            </w:tcBorders>
            <w:shd w:fill="F2F2F2" w:color="auto" w:val="clear"/>
            <w:tcMar>
              <w:top w:type="dxa" w:w="70"/>
              <w:left w:type="dxa" w:w="70"/>
              <w:bottom w:type="dxa" w:w="70"/>
              <w:right w:type="dxa" w:w="70"/>
            </w:tcMar>
          </w:tcPr>
          <w:p>
            <w:pPr>
              <w:jc w:val="center"/>
            </w:pPr>
            <w:r>
              <w:rPr>
                <w:rFonts w:ascii="Calibri" w:cs="Calibri" w:eastAsia="Calibri" w:hAnsi="Calibri"/>
                <w:b/>
                <w:bCs/>
                <w:color w:val="000000"/>
                <w:sz w:val="15"/>
                <w:szCs w:val="15"/>
              </w:rPr>
              <w:t xml:space="preserve">SmartRecruiters</w:t>
            </w:r>
          </w:p>
        </w:tc>
      </w:tr>
      <w:tr>
        <w:tc>
          <w:tcPr>
            <w:tcW w:type="dxa" w:w="2500"/>
            <w:tcBorders>
              <w:top w:val="single" w:color="CCCCCC" w:sz="2"/>
              <w:left w:val="single" w:color="CCCCCC" w:sz="2"/>
              <w:bottom w:val="single" w:color="CCCCCC" w:sz="2"/>
              <w:right w:val="single" w:color="CCCCCC" w:sz="2"/>
            </w:tcBorders>
            <w:tcMar>
              <w:top w:type="dxa" w:w="70"/>
              <w:left w:type="dxa" w:w="70"/>
              <w:bottom w:type="dxa" w:w="70"/>
              <w:right w:type="dxa" w:w="70"/>
            </w:tcMar>
          </w:tcPr>
          <w:p>
            <w:pPr>
              <w:spacing w:line="220"/>
            </w:pPr>
            <w:r>
              <w:rPr>
                <w:rFonts w:ascii="Calibri" w:cs="Calibri" w:eastAsia="Calibri" w:hAnsi="Calibri"/>
                <w:color w:val="1A1A1A"/>
                <w:sz w:val="15"/>
                <w:szCs w:val="15"/>
              </w:rPr>
              <w:t xml:space="preserve">AI-generated JD variants (multiple drafts, not just a template)</w:t>
            </w:r>
          </w:p>
        </w:tc>
        <w:tc>
          <w:tcPr>
            <w:tcW w:type="dxa" w:w="1400"/>
            <w:tcBorders>
              <w:top w:val="single" w:color="CCCCCC" w:sz="2"/>
              <w:left w:val="single" w:color="CCCCCC" w:sz="2"/>
              <w:bottom w:val="single" w:color="CCCCCC" w:sz="2"/>
              <w:right w:val="single" w:color="CCCCCC" w:sz="2"/>
            </w:tcBorders>
            <w:tcMar>
              <w:top w:type="dxa" w:w="70"/>
              <w:left w:type="dxa" w:w="70"/>
              <w:bottom w:type="dxa" w:w="70"/>
              <w:right w:type="dxa" w:w="70"/>
            </w:tcMar>
          </w:tcPr>
          <w:p>
            <w:pPr>
              <w:spacing w:line="220"/>
            </w:pPr>
            <w:r>
              <w:rPr>
                <w:rFonts w:ascii="Calibri" w:cs="Calibri" w:eastAsia="Calibri" w:hAnsi="Calibri"/>
                <w:color w:val="1A1A1A"/>
                <w:sz w:val="15"/>
                <w:szCs w:val="15"/>
              </w:rPr>
              <w:t xml:space="preserve">Yes — 2–3 AI variants per brief</w:t>
            </w:r>
          </w:p>
        </w:tc>
        <w:tc>
          <w:tcPr>
            <w:tcW w:type="dxa" w:w="1150"/>
            <w:tcBorders>
              <w:top w:val="single" w:color="CCCCCC" w:sz="2"/>
              <w:left w:val="single" w:color="CCCCCC" w:sz="2"/>
              <w:bottom w:val="single" w:color="CCCCCC" w:sz="2"/>
              <w:right w:val="single" w:color="CCCCCC" w:sz="2"/>
            </w:tcBorders>
            <w:tcMar>
              <w:top w:type="dxa" w:w="70"/>
              <w:left w:type="dxa" w:w="70"/>
              <w:bottom w:type="dxa" w:w="70"/>
              <w:right w:type="dxa" w:w="70"/>
            </w:tcMar>
          </w:tcPr>
          <w:p>
            <w:pPr>
              <w:spacing w:line="220"/>
            </w:pPr>
            <w:r>
              <w:rPr>
                <w:rFonts w:ascii="Calibri" w:cs="Calibri" w:eastAsia="Calibri" w:hAnsi="Calibri"/>
                <w:color w:val="1A1A1A"/>
                <w:sz w:val="15"/>
                <w:szCs w:val="15"/>
              </w:rPr>
              <w:t xml:space="preserve">Yes — generative AI to jumpstart JD creation</w:t>
            </w:r>
          </w:p>
        </w:tc>
        <w:tc>
          <w:tcPr>
            <w:tcW w:type="dxa" w:w="1150"/>
            <w:tcBorders>
              <w:top w:val="single" w:color="CCCCCC" w:sz="2"/>
              <w:left w:val="single" w:color="CCCCCC" w:sz="2"/>
              <w:bottom w:val="single" w:color="CCCCCC" w:sz="2"/>
              <w:right w:val="single" w:color="CCCCCC" w:sz="2"/>
            </w:tcBorders>
            <w:tcMar>
              <w:top w:type="dxa" w:w="70"/>
              <w:left w:type="dxa" w:w="70"/>
              <w:bottom w:type="dxa" w:w="70"/>
              <w:right w:type="dxa" w:w="70"/>
            </w:tcMar>
          </w:tcPr>
          <w:p>
            <w:pPr>
              <w:spacing w:line="220"/>
            </w:pPr>
            <w:r>
              <w:rPr>
                <w:rFonts w:ascii="Calibri" w:cs="Calibri" w:eastAsia="Calibri" w:hAnsi="Calibri"/>
                <w:color w:val="1A1A1A"/>
                <w:sz w:val="15"/>
                <w:szCs w:val="15"/>
              </w:rPr>
              <w:t xml:space="preserve">No — template library only</w:t>
            </w:r>
          </w:p>
        </w:tc>
        <w:tc>
          <w:tcPr>
            <w:tcW w:type="dxa" w:w="1150"/>
            <w:tcBorders>
              <w:top w:val="single" w:color="CCCCCC" w:sz="2"/>
              <w:left w:val="single" w:color="CCCCCC" w:sz="2"/>
              <w:bottom w:val="single" w:color="CCCCCC" w:sz="2"/>
              <w:right w:val="single" w:color="CCCCCC" w:sz="2"/>
            </w:tcBorders>
            <w:tcMar>
              <w:top w:type="dxa" w:w="70"/>
              <w:left w:type="dxa" w:w="70"/>
              <w:bottom w:type="dxa" w:w="70"/>
              <w:right w:type="dxa" w:w="70"/>
            </w:tcMar>
          </w:tcPr>
          <w:p>
            <w:pPr>
              <w:spacing w:line="220"/>
            </w:pPr>
            <w:r>
              <w:rPr>
                <w:rFonts w:ascii="Calibri" w:cs="Calibri" w:eastAsia="Calibri" w:hAnsi="Calibri"/>
                <w:color w:val="1A1A1A"/>
                <w:sz w:val="15"/>
                <w:szCs w:val="15"/>
              </w:rPr>
              <w:t xml:space="preserve">Yes — "Job Post Description Suggestions"</w:t>
            </w:r>
          </w:p>
        </w:tc>
        <w:tc>
          <w:tcPr>
            <w:tcW w:type="dxa" w:w="1150"/>
            <w:tcBorders>
              <w:top w:val="single" w:color="CCCCCC" w:sz="2"/>
              <w:left w:val="single" w:color="CCCCCC" w:sz="2"/>
              <w:bottom w:val="single" w:color="CCCCCC" w:sz="2"/>
              <w:right w:val="single" w:color="CCCCCC" w:sz="2"/>
            </w:tcBorders>
            <w:tcMar>
              <w:top w:type="dxa" w:w="70"/>
              <w:left w:type="dxa" w:w="70"/>
              <w:bottom w:type="dxa" w:w="70"/>
              <w:right w:type="dxa" w:w="70"/>
            </w:tcMar>
          </w:tcPr>
          <w:p>
            <w:pPr>
              <w:spacing w:line="220"/>
            </w:pPr>
            <w:r>
              <w:rPr>
                <w:rFonts w:ascii="Calibri" w:cs="Calibri" w:eastAsia="Calibri" w:hAnsi="Calibri"/>
                <w:color w:val="1A1A1A"/>
                <w:sz w:val="15"/>
                <w:szCs w:val="15"/>
              </w:rPr>
              <w:t xml:space="preserve">Unconfirmed</w:t>
            </w:r>
          </w:p>
        </w:tc>
        <w:tc>
          <w:tcPr>
            <w:tcW w:type="dxa" w:w="1150"/>
            <w:tcBorders>
              <w:top w:val="single" w:color="CCCCCC" w:sz="2"/>
              <w:left w:val="single" w:color="CCCCCC" w:sz="2"/>
              <w:bottom w:val="single" w:color="CCCCCC" w:sz="2"/>
              <w:right w:val="single" w:color="CCCCCC" w:sz="2"/>
            </w:tcBorders>
            <w:tcMar>
              <w:top w:type="dxa" w:w="70"/>
              <w:left w:type="dxa" w:w="70"/>
              <w:bottom w:type="dxa" w:w="70"/>
              <w:right w:type="dxa" w:w="70"/>
            </w:tcMar>
          </w:tcPr>
          <w:p>
            <w:pPr>
              <w:spacing w:line="220"/>
            </w:pPr>
            <w:r>
              <w:rPr>
                <w:rFonts w:ascii="Calibri" w:cs="Calibri" w:eastAsia="Calibri" w:hAnsi="Calibri"/>
                <w:color w:val="1A1A1A"/>
                <w:sz w:val="15"/>
                <w:szCs w:val="15"/>
              </w:rPr>
              <w:t xml:space="preserve">Unconfirmed</w:t>
            </w:r>
          </w:p>
        </w:tc>
      </w:tr>
      <w:tr>
        <w:tc>
          <w:tcPr>
            <w:tcW w:type="dxa" w:w="2500"/>
            <w:tcBorders>
              <w:top w:val="single" w:color="CCCCCC" w:sz="2"/>
              <w:left w:val="single" w:color="CCCCCC" w:sz="2"/>
              <w:bottom w:val="single" w:color="CCCCCC" w:sz="2"/>
              <w:right w:val="single" w:color="CCCCCC" w:sz="2"/>
            </w:tcBorders>
            <w:tcMar>
              <w:top w:type="dxa" w:w="70"/>
              <w:left w:type="dxa" w:w="70"/>
              <w:bottom w:type="dxa" w:w="70"/>
              <w:right w:type="dxa" w:w="70"/>
            </w:tcMar>
          </w:tcPr>
          <w:p>
            <w:pPr>
              <w:spacing w:line="220"/>
            </w:pPr>
            <w:r>
              <w:rPr>
                <w:rFonts w:ascii="Calibri" w:cs="Calibri" w:eastAsia="Calibri" w:hAnsi="Calibri"/>
                <w:color w:val="1A1A1A"/>
                <w:sz w:val="15"/>
                <w:szCs w:val="15"/>
              </w:rPr>
              <w:t xml:space="preserve">Structured JD schema (queryable fields, not a file attachment)</w:t>
            </w:r>
          </w:p>
        </w:tc>
        <w:tc>
          <w:tcPr>
            <w:tcW w:type="dxa" w:w="1400"/>
            <w:tcBorders>
              <w:top w:val="single" w:color="CCCCCC" w:sz="2"/>
              <w:left w:val="single" w:color="CCCCCC" w:sz="2"/>
              <w:bottom w:val="single" w:color="CCCCCC" w:sz="2"/>
              <w:right w:val="single" w:color="CCCCCC" w:sz="2"/>
            </w:tcBorders>
            <w:tcMar>
              <w:top w:type="dxa" w:w="70"/>
              <w:left w:type="dxa" w:w="70"/>
              <w:bottom w:type="dxa" w:w="70"/>
              <w:right w:type="dxa" w:w="70"/>
            </w:tcMar>
          </w:tcPr>
          <w:p>
            <w:pPr>
              <w:spacing w:line="220"/>
            </w:pPr>
            <w:r>
              <w:rPr>
                <w:rFonts w:ascii="Calibri" w:cs="Calibri" w:eastAsia="Calibri" w:hAnsi="Calibri"/>
                <w:color w:val="1A1A1A"/>
                <w:sz w:val="15"/>
                <w:szCs w:val="15"/>
              </w:rPr>
              <w:t xml:space="preserve">Yes</w:t>
            </w:r>
          </w:p>
        </w:tc>
        <w:tc>
          <w:tcPr>
            <w:tcW w:type="dxa" w:w="1150"/>
            <w:tcBorders>
              <w:top w:val="single" w:color="CCCCCC" w:sz="2"/>
              <w:left w:val="single" w:color="CCCCCC" w:sz="2"/>
              <w:bottom w:val="single" w:color="CCCCCC" w:sz="2"/>
              <w:right w:val="single" w:color="CCCCCC" w:sz="2"/>
            </w:tcBorders>
            <w:tcMar>
              <w:top w:type="dxa" w:w="70"/>
              <w:left w:type="dxa" w:w="70"/>
              <w:bottom w:type="dxa" w:w="70"/>
              <w:right w:type="dxa" w:w="70"/>
            </w:tcMar>
          </w:tcPr>
          <w:p>
            <w:pPr>
              <w:spacing w:line="220"/>
            </w:pPr>
            <w:r>
              <w:rPr>
                <w:rFonts w:ascii="Calibri" w:cs="Calibri" w:eastAsia="Calibri" w:hAnsi="Calibri"/>
                <w:color w:val="1A1A1A"/>
                <w:sz w:val="15"/>
                <w:szCs w:val="15"/>
              </w:rPr>
              <w:t xml:space="preserve">Partial</w:t>
            </w:r>
          </w:p>
        </w:tc>
        <w:tc>
          <w:tcPr>
            <w:tcW w:type="dxa" w:w="1150"/>
            <w:tcBorders>
              <w:top w:val="single" w:color="CCCCCC" w:sz="2"/>
              <w:left w:val="single" w:color="CCCCCC" w:sz="2"/>
              <w:bottom w:val="single" w:color="CCCCCC" w:sz="2"/>
              <w:right w:val="single" w:color="CCCCCC" w:sz="2"/>
            </w:tcBorders>
            <w:tcMar>
              <w:top w:type="dxa" w:w="70"/>
              <w:left w:type="dxa" w:w="70"/>
              <w:bottom w:type="dxa" w:w="70"/>
              <w:right w:type="dxa" w:w="70"/>
            </w:tcMar>
          </w:tcPr>
          <w:p>
            <w:pPr>
              <w:spacing w:line="220"/>
            </w:pPr>
            <w:r>
              <w:rPr>
                <w:rFonts w:ascii="Calibri" w:cs="Calibri" w:eastAsia="Calibri" w:hAnsi="Calibri"/>
                <w:color w:val="1A1A1A"/>
                <w:sz w:val="15"/>
                <w:szCs w:val="15"/>
              </w:rPr>
              <w:t xml:space="preserve">Partial — template library</w:t>
            </w:r>
          </w:p>
        </w:tc>
        <w:tc>
          <w:tcPr>
            <w:tcW w:type="dxa" w:w="1150"/>
            <w:tcBorders>
              <w:top w:val="single" w:color="CCCCCC" w:sz="2"/>
              <w:left w:val="single" w:color="CCCCCC" w:sz="2"/>
              <w:bottom w:val="single" w:color="CCCCCC" w:sz="2"/>
              <w:right w:val="single" w:color="CCCCCC" w:sz="2"/>
            </w:tcBorders>
            <w:tcMar>
              <w:top w:type="dxa" w:w="70"/>
              <w:left w:type="dxa" w:w="70"/>
              <w:bottom w:type="dxa" w:w="70"/>
              <w:right w:type="dxa" w:w="70"/>
            </w:tcMar>
          </w:tcPr>
          <w:p>
            <w:pPr>
              <w:spacing w:line="220"/>
            </w:pPr>
            <w:r>
              <w:rPr>
                <w:rFonts w:ascii="Calibri" w:cs="Calibri" w:eastAsia="Calibri" w:hAnsi="Calibri"/>
                <w:color w:val="1A1A1A"/>
                <w:sz w:val="15"/>
                <w:szCs w:val="15"/>
              </w:rPr>
              <w:t xml:space="preserve">Partial</w:t>
            </w:r>
          </w:p>
        </w:tc>
        <w:tc>
          <w:tcPr>
            <w:tcW w:type="dxa" w:w="1150"/>
            <w:tcBorders>
              <w:top w:val="single" w:color="CCCCCC" w:sz="2"/>
              <w:left w:val="single" w:color="CCCCCC" w:sz="2"/>
              <w:bottom w:val="single" w:color="CCCCCC" w:sz="2"/>
              <w:right w:val="single" w:color="CCCCCC" w:sz="2"/>
            </w:tcBorders>
            <w:tcMar>
              <w:top w:type="dxa" w:w="70"/>
              <w:left w:type="dxa" w:w="70"/>
              <w:bottom w:type="dxa" w:w="70"/>
              <w:right w:type="dxa" w:w="70"/>
            </w:tcMar>
          </w:tcPr>
          <w:p>
            <w:pPr>
              <w:spacing w:line="220"/>
            </w:pPr>
            <w:r>
              <w:rPr>
                <w:rFonts w:ascii="Calibri" w:cs="Calibri" w:eastAsia="Calibri" w:hAnsi="Calibri"/>
                <w:color w:val="1A1A1A"/>
                <w:sz w:val="15"/>
                <w:szCs w:val="15"/>
              </w:rPr>
              <w:t xml:space="preserve">Unconfirmed</w:t>
            </w:r>
          </w:p>
        </w:tc>
        <w:tc>
          <w:tcPr>
            <w:tcW w:type="dxa" w:w="1150"/>
            <w:tcBorders>
              <w:top w:val="single" w:color="CCCCCC" w:sz="2"/>
              <w:left w:val="single" w:color="CCCCCC" w:sz="2"/>
              <w:bottom w:val="single" w:color="CCCCCC" w:sz="2"/>
              <w:right w:val="single" w:color="CCCCCC" w:sz="2"/>
            </w:tcBorders>
            <w:tcMar>
              <w:top w:type="dxa" w:w="70"/>
              <w:left w:type="dxa" w:w="70"/>
              <w:bottom w:type="dxa" w:w="70"/>
              <w:right w:type="dxa" w:w="70"/>
            </w:tcMar>
          </w:tcPr>
          <w:p>
            <w:pPr>
              <w:spacing w:line="220"/>
            </w:pPr>
            <w:r>
              <w:rPr>
                <w:rFonts w:ascii="Calibri" w:cs="Calibri" w:eastAsia="Calibri" w:hAnsi="Calibri"/>
                <w:color w:val="1A1A1A"/>
                <w:sz w:val="15"/>
                <w:szCs w:val="15"/>
              </w:rPr>
              <w:t xml:space="preserve">Unconfirmed</w:t>
            </w:r>
          </w:p>
        </w:tc>
      </w:tr>
      <w:tr>
        <w:tc>
          <w:tcPr>
            <w:tcW w:type="dxa" w:w="2500"/>
            <w:tcBorders>
              <w:top w:val="single" w:color="CCCCCC" w:sz="2"/>
              <w:left w:val="single" w:color="CCCCCC" w:sz="2"/>
              <w:bottom w:val="single" w:color="CCCCCC" w:sz="2"/>
              <w:right w:val="single" w:color="CCCCCC" w:sz="2"/>
            </w:tcBorders>
            <w:tcMar>
              <w:top w:type="dxa" w:w="70"/>
              <w:left w:type="dxa" w:w="70"/>
              <w:bottom w:type="dxa" w:w="70"/>
              <w:right w:type="dxa" w:w="70"/>
            </w:tcMar>
          </w:tcPr>
          <w:p>
            <w:pPr>
              <w:spacing w:line="220"/>
            </w:pPr>
            <w:r>
              <w:rPr>
                <w:rFonts w:ascii="Calibri" w:cs="Calibri" w:eastAsia="Calibri" w:hAnsi="Calibri"/>
                <w:color w:val="1A1A1A"/>
                <w:sz w:val="15"/>
                <w:szCs w:val="15"/>
              </w:rPr>
              <w:t xml:space="preserve">Formal role-based JD/requisition approval workflow</w:t>
            </w:r>
          </w:p>
        </w:tc>
        <w:tc>
          <w:tcPr>
            <w:tcW w:type="dxa" w:w="1400"/>
            <w:tcBorders>
              <w:top w:val="single" w:color="CCCCCC" w:sz="2"/>
              <w:left w:val="single" w:color="CCCCCC" w:sz="2"/>
              <w:bottom w:val="single" w:color="CCCCCC" w:sz="2"/>
              <w:right w:val="single" w:color="CCCCCC" w:sz="2"/>
            </w:tcBorders>
            <w:tcMar>
              <w:top w:type="dxa" w:w="70"/>
              <w:left w:type="dxa" w:w="70"/>
              <w:bottom w:type="dxa" w:w="70"/>
              <w:right w:type="dxa" w:w="70"/>
            </w:tcMar>
          </w:tcPr>
          <w:p>
            <w:pPr>
              <w:spacing w:line="220"/>
            </w:pPr>
            <w:r>
              <w:rPr>
                <w:rFonts w:ascii="Calibri" w:cs="Calibri" w:eastAsia="Calibri" w:hAnsi="Calibri"/>
                <w:color w:val="1A1A1A"/>
                <w:sz w:val="15"/>
                <w:szCs w:val="15"/>
              </w:rPr>
              <w:t xml:space="preserve">Yes — manager review with SLA/escalation</w:t>
            </w:r>
          </w:p>
        </w:tc>
        <w:tc>
          <w:tcPr>
            <w:tcW w:type="dxa" w:w="1150"/>
            <w:tcBorders>
              <w:top w:val="single" w:color="CCCCCC" w:sz="2"/>
              <w:left w:val="single" w:color="CCCCCC" w:sz="2"/>
              <w:bottom w:val="single" w:color="CCCCCC" w:sz="2"/>
              <w:right w:val="single" w:color="CCCCCC" w:sz="2"/>
            </w:tcBorders>
            <w:tcMar>
              <w:top w:type="dxa" w:w="70"/>
              <w:left w:type="dxa" w:w="70"/>
              <w:bottom w:type="dxa" w:w="70"/>
              <w:right w:type="dxa" w:w="70"/>
            </w:tcMar>
          </w:tcPr>
          <w:p>
            <w:pPr>
              <w:spacing w:line="220"/>
            </w:pPr>
            <w:r>
              <w:rPr>
                <w:rFonts w:ascii="Calibri" w:cs="Calibri" w:eastAsia="Calibri" w:hAnsi="Calibri"/>
                <w:color w:val="1A1A1A"/>
                <w:sz w:val="15"/>
                <w:szCs w:val="15"/>
              </w:rPr>
              <w:t xml:space="preserve">Unconfirmed</w:t>
            </w:r>
          </w:p>
        </w:tc>
        <w:tc>
          <w:tcPr>
            <w:tcW w:type="dxa" w:w="1150"/>
            <w:tcBorders>
              <w:top w:val="single" w:color="CCCCCC" w:sz="2"/>
              <w:left w:val="single" w:color="CCCCCC" w:sz="2"/>
              <w:bottom w:val="single" w:color="CCCCCC" w:sz="2"/>
              <w:right w:val="single" w:color="CCCCCC" w:sz="2"/>
            </w:tcBorders>
            <w:tcMar>
              <w:top w:type="dxa" w:w="70"/>
              <w:left w:type="dxa" w:w="70"/>
              <w:bottom w:type="dxa" w:w="70"/>
              <w:right w:type="dxa" w:w="70"/>
            </w:tcMar>
          </w:tcPr>
          <w:p>
            <w:pPr>
              <w:spacing w:line="220"/>
            </w:pPr>
            <w:r>
              <w:rPr>
                <w:rFonts w:ascii="Calibri" w:cs="Calibri" w:eastAsia="Calibri" w:hAnsi="Calibri"/>
                <w:color w:val="1A1A1A"/>
                <w:sz w:val="15"/>
                <w:szCs w:val="15"/>
              </w:rPr>
              <w:t xml:space="preserve">Unconfirmed</w:t>
            </w:r>
          </w:p>
        </w:tc>
        <w:tc>
          <w:tcPr>
            <w:tcW w:type="dxa" w:w="1150"/>
            <w:tcBorders>
              <w:top w:val="single" w:color="CCCCCC" w:sz="2"/>
              <w:left w:val="single" w:color="CCCCCC" w:sz="2"/>
              <w:bottom w:val="single" w:color="CCCCCC" w:sz="2"/>
              <w:right w:val="single" w:color="CCCCCC" w:sz="2"/>
            </w:tcBorders>
            <w:tcMar>
              <w:top w:type="dxa" w:w="70"/>
              <w:left w:type="dxa" w:w="70"/>
              <w:bottom w:type="dxa" w:w="70"/>
              <w:right w:type="dxa" w:w="70"/>
            </w:tcMar>
          </w:tcPr>
          <w:p>
            <w:pPr>
              <w:spacing w:line="220"/>
            </w:pPr>
            <w:r>
              <w:rPr>
                <w:rFonts w:ascii="Calibri" w:cs="Calibri" w:eastAsia="Calibri" w:hAnsi="Calibri"/>
                <w:color w:val="1A1A1A"/>
                <w:sz w:val="15"/>
                <w:szCs w:val="15"/>
              </w:rPr>
              <w:t xml:space="preserve">Partial — Slack-integration recipe, native depth unconfirmed</w:t>
            </w:r>
          </w:p>
        </w:tc>
        <w:tc>
          <w:tcPr>
            <w:tcW w:type="dxa" w:w="1150"/>
            <w:tcBorders>
              <w:top w:val="single" w:color="CCCCCC" w:sz="2"/>
              <w:left w:val="single" w:color="CCCCCC" w:sz="2"/>
              <w:bottom w:val="single" w:color="CCCCCC" w:sz="2"/>
              <w:right w:val="single" w:color="CCCCCC" w:sz="2"/>
            </w:tcBorders>
            <w:tcMar>
              <w:top w:type="dxa" w:w="70"/>
              <w:left w:type="dxa" w:w="70"/>
              <w:bottom w:type="dxa" w:w="70"/>
              <w:right w:type="dxa" w:w="70"/>
            </w:tcMar>
          </w:tcPr>
          <w:p>
            <w:pPr>
              <w:spacing w:line="220"/>
            </w:pPr>
            <w:r>
              <w:rPr>
                <w:rFonts w:ascii="Calibri" w:cs="Calibri" w:eastAsia="Calibri" w:hAnsi="Calibri"/>
                <w:color w:val="1A1A1A"/>
                <w:sz w:val="15"/>
                <w:szCs w:val="15"/>
              </w:rPr>
              <w:t xml:space="preserve">Yes — dedicated job-posting, requisition, and proxy approval workflows (best documented)</w:t>
            </w:r>
          </w:p>
        </w:tc>
        <w:tc>
          <w:tcPr>
            <w:tcW w:type="dxa" w:w="1150"/>
            <w:tcBorders>
              <w:top w:val="single" w:color="CCCCCC" w:sz="2"/>
              <w:left w:val="single" w:color="CCCCCC" w:sz="2"/>
              <w:bottom w:val="single" w:color="CCCCCC" w:sz="2"/>
              <w:right w:val="single" w:color="CCCCCC" w:sz="2"/>
            </w:tcBorders>
            <w:tcMar>
              <w:top w:type="dxa" w:w="70"/>
              <w:left w:type="dxa" w:w="70"/>
              <w:bottom w:type="dxa" w:w="70"/>
              <w:right w:type="dxa" w:w="70"/>
            </w:tcMar>
          </w:tcPr>
          <w:p>
            <w:pPr>
              <w:spacing w:line="220"/>
            </w:pPr>
            <w:r>
              <w:rPr>
                <w:rFonts w:ascii="Calibri" w:cs="Calibri" w:eastAsia="Calibri" w:hAnsi="Calibri"/>
                <w:color w:val="1A1A1A"/>
                <w:sz w:val="15"/>
                <w:szCs w:val="15"/>
              </w:rPr>
              <w:t xml:space="preserve">Unconfirmed</w:t>
            </w:r>
          </w:p>
        </w:tc>
      </w:tr>
      <w:tr>
        <w:tc>
          <w:tcPr>
            <w:tcW w:type="dxa" w:w="2500"/>
            <w:tcBorders>
              <w:top w:val="single" w:color="CCCCCC" w:sz="2"/>
              <w:left w:val="single" w:color="CCCCCC" w:sz="2"/>
              <w:bottom w:val="single" w:color="CCCCCC" w:sz="2"/>
              <w:right w:val="single" w:color="CCCCCC" w:sz="2"/>
            </w:tcBorders>
            <w:tcMar>
              <w:top w:type="dxa" w:w="70"/>
              <w:left w:type="dxa" w:w="70"/>
              <w:bottom w:type="dxa" w:w="70"/>
              <w:right w:type="dxa" w:w="70"/>
            </w:tcMar>
          </w:tcPr>
          <w:p>
            <w:pPr>
              <w:spacing w:line="220"/>
            </w:pPr>
            <w:r>
              <w:rPr>
                <w:rFonts w:ascii="Calibri" w:cs="Calibri" w:eastAsia="Calibri" w:hAnsi="Calibri"/>
                <w:color w:val="1A1A1A"/>
                <w:sz w:val="15"/>
                <w:szCs w:val="15"/>
              </w:rPr>
              <w:t xml:space="preserve">Hard, immutable JD-freeze state (version-locked)</w:t>
            </w:r>
          </w:p>
        </w:tc>
        <w:tc>
          <w:tcPr>
            <w:tcW w:type="dxa" w:w="1400"/>
            <w:tcBorders>
              <w:top w:val="single" w:color="CCCCCC" w:sz="2"/>
              <w:left w:val="single" w:color="CCCCCC" w:sz="2"/>
              <w:bottom w:val="single" w:color="CCCCCC" w:sz="2"/>
              <w:right w:val="single" w:color="CCCCCC" w:sz="2"/>
            </w:tcBorders>
            <w:tcMar>
              <w:top w:type="dxa" w:w="70"/>
              <w:left w:type="dxa" w:w="70"/>
              <w:bottom w:type="dxa" w:w="70"/>
              <w:right w:type="dxa" w:w="70"/>
            </w:tcMar>
          </w:tcPr>
          <w:p>
            <w:pPr>
              <w:spacing w:line="220"/>
            </w:pPr>
            <w:r>
              <w:rPr>
                <w:rFonts w:ascii="Calibri" w:cs="Calibri" w:eastAsia="Calibri" w:hAnsi="Calibri"/>
                <w:color w:val="1A1A1A"/>
                <w:sz w:val="15"/>
                <w:szCs w:val="15"/>
              </w:rPr>
              <w:t xml:space="preserve">Yes — DB-trigger-enforced immutability on freeze (unique)</w:t>
            </w:r>
          </w:p>
        </w:tc>
        <w:tc>
          <w:tcPr>
            <w:tcW w:type="dxa" w:w="1150"/>
            <w:tcBorders>
              <w:top w:val="single" w:color="CCCCCC" w:sz="2"/>
              <w:left w:val="single" w:color="CCCCCC" w:sz="2"/>
              <w:bottom w:val="single" w:color="CCCCCC" w:sz="2"/>
              <w:right w:val="single" w:color="CCCCCC" w:sz="2"/>
            </w:tcBorders>
            <w:tcMar>
              <w:top w:type="dxa" w:w="70"/>
              <w:left w:type="dxa" w:w="70"/>
              <w:bottom w:type="dxa" w:w="70"/>
              <w:right w:type="dxa" w:w="70"/>
            </w:tcMar>
          </w:tcPr>
          <w:p>
            <w:pPr>
              <w:spacing w:line="220"/>
            </w:pPr>
            <w:r>
              <w:rPr>
                <w:rFonts w:ascii="Calibri" w:cs="Calibri" w:eastAsia="Calibri" w:hAnsi="Calibri"/>
                <w:color w:val="1A1A1A"/>
                <w:sz w:val="15"/>
                <w:szCs w:val="15"/>
              </w:rPr>
              <w:t xml:space="preserve">Not found</w:t>
            </w:r>
          </w:p>
        </w:tc>
        <w:tc>
          <w:tcPr>
            <w:tcW w:type="dxa" w:w="1150"/>
            <w:tcBorders>
              <w:top w:val="single" w:color="CCCCCC" w:sz="2"/>
              <w:left w:val="single" w:color="CCCCCC" w:sz="2"/>
              <w:bottom w:val="single" w:color="CCCCCC" w:sz="2"/>
              <w:right w:val="single" w:color="CCCCCC" w:sz="2"/>
            </w:tcBorders>
            <w:tcMar>
              <w:top w:type="dxa" w:w="70"/>
              <w:left w:type="dxa" w:w="70"/>
              <w:bottom w:type="dxa" w:w="70"/>
              <w:right w:type="dxa" w:w="70"/>
            </w:tcMar>
          </w:tcPr>
          <w:p>
            <w:pPr>
              <w:spacing w:line="220"/>
            </w:pPr>
            <w:r>
              <w:rPr>
                <w:rFonts w:ascii="Calibri" w:cs="Calibri" w:eastAsia="Calibri" w:hAnsi="Calibri"/>
                <w:color w:val="1A1A1A"/>
                <w:sz w:val="15"/>
                <w:szCs w:val="15"/>
              </w:rPr>
              <w:t xml:space="preserve">Not found</w:t>
            </w:r>
          </w:p>
        </w:tc>
        <w:tc>
          <w:tcPr>
            <w:tcW w:type="dxa" w:w="1150"/>
            <w:tcBorders>
              <w:top w:val="single" w:color="CCCCCC" w:sz="2"/>
              <w:left w:val="single" w:color="CCCCCC" w:sz="2"/>
              <w:bottom w:val="single" w:color="CCCCCC" w:sz="2"/>
              <w:right w:val="single" w:color="CCCCCC" w:sz="2"/>
            </w:tcBorders>
            <w:tcMar>
              <w:top w:type="dxa" w:w="70"/>
              <w:left w:type="dxa" w:w="70"/>
              <w:bottom w:type="dxa" w:w="70"/>
              <w:right w:type="dxa" w:w="70"/>
            </w:tcMar>
          </w:tcPr>
          <w:p>
            <w:pPr>
              <w:spacing w:line="220"/>
            </w:pPr>
            <w:r>
              <w:rPr>
                <w:rFonts w:ascii="Calibri" w:cs="Calibri" w:eastAsia="Calibri" w:hAnsi="Calibri"/>
                <w:color w:val="1A1A1A"/>
                <w:sz w:val="15"/>
                <w:szCs w:val="15"/>
              </w:rPr>
              <w:t xml:space="preserve">Not found</w:t>
            </w:r>
          </w:p>
        </w:tc>
        <w:tc>
          <w:tcPr>
            <w:tcW w:type="dxa" w:w="1150"/>
            <w:tcBorders>
              <w:top w:val="single" w:color="CCCCCC" w:sz="2"/>
              <w:left w:val="single" w:color="CCCCCC" w:sz="2"/>
              <w:bottom w:val="single" w:color="CCCCCC" w:sz="2"/>
              <w:right w:val="single" w:color="CCCCCC" w:sz="2"/>
            </w:tcBorders>
            <w:tcMar>
              <w:top w:type="dxa" w:w="70"/>
              <w:left w:type="dxa" w:w="70"/>
              <w:bottom w:type="dxa" w:w="70"/>
              <w:right w:type="dxa" w:w="70"/>
            </w:tcMar>
          </w:tcPr>
          <w:p>
            <w:pPr>
              <w:spacing w:line="220"/>
            </w:pPr>
            <w:r>
              <w:rPr>
                <w:rFonts w:ascii="Calibri" w:cs="Calibri" w:eastAsia="Calibri" w:hAnsi="Calibri"/>
                <w:color w:val="1A1A1A"/>
                <w:sz w:val="15"/>
                <w:szCs w:val="15"/>
              </w:rPr>
              <w:t xml:space="preserve">Not found</w:t>
            </w:r>
          </w:p>
        </w:tc>
        <w:tc>
          <w:tcPr>
            <w:tcW w:type="dxa" w:w="1150"/>
            <w:tcBorders>
              <w:top w:val="single" w:color="CCCCCC" w:sz="2"/>
              <w:left w:val="single" w:color="CCCCCC" w:sz="2"/>
              <w:bottom w:val="single" w:color="CCCCCC" w:sz="2"/>
              <w:right w:val="single" w:color="CCCCCC" w:sz="2"/>
            </w:tcBorders>
            <w:tcMar>
              <w:top w:type="dxa" w:w="70"/>
              <w:left w:type="dxa" w:w="70"/>
              <w:bottom w:type="dxa" w:w="70"/>
              <w:right w:type="dxa" w:w="70"/>
            </w:tcMar>
          </w:tcPr>
          <w:p>
            <w:pPr>
              <w:spacing w:line="220"/>
            </w:pPr>
            <w:r>
              <w:rPr>
                <w:rFonts w:ascii="Calibri" w:cs="Calibri" w:eastAsia="Calibri" w:hAnsi="Calibri"/>
                <w:color w:val="1A1A1A"/>
                <w:sz w:val="15"/>
                <w:szCs w:val="15"/>
              </w:rPr>
              <w:t xml:space="preserve">Not found</w:t>
            </w:r>
          </w:p>
        </w:tc>
      </w:tr>
      <w:tr>
        <w:tc>
          <w:tcPr>
            <w:tcW w:type="dxa" w:w="2500"/>
            <w:tcBorders>
              <w:top w:val="single" w:color="CCCCCC" w:sz="2"/>
              <w:left w:val="single" w:color="CCCCCC" w:sz="2"/>
              <w:bottom w:val="single" w:color="CCCCCC" w:sz="2"/>
              <w:right w:val="single" w:color="CCCCCC" w:sz="2"/>
            </w:tcBorders>
            <w:tcMar>
              <w:top w:type="dxa" w:w="70"/>
              <w:left w:type="dxa" w:w="70"/>
              <w:bottom w:type="dxa" w:w="70"/>
              <w:right w:type="dxa" w:w="70"/>
            </w:tcMar>
          </w:tcPr>
          <w:p>
            <w:pPr>
              <w:spacing w:line="220"/>
            </w:pPr>
            <w:r>
              <w:rPr>
                <w:rFonts w:ascii="Calibri" w:cs="Calibri" w:eastAsia="Calibri" w:hAnsi="Calibri"/>
                <w:color w:val="1A1A1A"/>
                <w:sz w:val="15"/>
                <w:szCs w:val="15"/>
              </w:rPr>
              <w:t xml:space="preserve">Manager approval via native email-reply NLP parsing</w:t>
            </w:r>
          </w:p>
        </w:tc>
        <w:tc>
          <w:tcPr>
            <w:tcW w:type="dxa" w:w="1400"/>
            <w:tcBorders>
              <w:top w:val="single" w:color="CCCCCC" w:sz="2"/>
              <w:left w:val="single" w:color="CCCCCC" w:sz="2"/>
              <w:bottom w:val="single" w:color="CCCCCC" w:sz="2"/>
              <w:right w:val="single" w:color="CCCCCC" w:sz="2"/>
            </w:tcBorders>
            <w:tcMar>
              <w:top w:type="dxa" w:w="70"/>
              <w:left w:type="dxa" w:w="70"/>
              <w:bottom w:type="dxa" w:w="70"/>
              <w:right w:type="dxa" w:w="70"/>
            </w:tcMar>
          </w:tcPr>
          <w:p>
            <w:pPr>
              <w:spacing w:line="220"/>
            </w:pPr>
            <w:r>
              <w:rPr>
                <w:rFonts w:ascii="Calibri" w:cs="Calibri" w:eastAsia="Calibri" w:hAnsi="Calibri"/>
                <w:color w:val="1A1A1A"/>
                <w:sz w:val="15"/>
                <w:szCs w:val="15"/>
              </w:rPr>
              <w:t xml:space="preserve">Yes — no portal login required (unique)</w:t>
            </w:r>
          </w:p>
        </w:tc>
        <w:tc>
          <w:tcPr>
            <w:tcW w:type="dxa" w:w="1150"/>
            <w:tcBorders>
              <w:top w:val="single" w:color="CCCCCC" w:sz="2"/>
              <w:left w:val="single" w:color="CCCCCC" w:sz="2"/>
              <w:bottom w:val="single" w:color="CCCCCC" w:sz="2"/>
              <w:right w:val="single" w:color="CCCCCC" w:sz="2"/>
            </w:tcBorders>
            <w:tcMar>
              <w:top w:type="dxa" w:w="70"/>
              <w:left w:type="dxa" w:w="70"/>
              <w:bottom w:type="dxa" w:w="70"/>
              <w:right w:type="dxa" w:w="70"/>
            </w:tcMar>
          </w:tcPr>
          <w:p>
            <w:pPr>
              <w:spacing w:line="220"/>
            </w:pPr>
            <w:r>
              <w:rPr>
                <w:rFonts w:ascii="Calibri" w:cs="Calibri" w:eastAsia="Calibri" w:hAnsi="Calibri"/>
                <w:color w:val="1A1A1A"/>
                <w:sz w:val="15"/>
                <w:szCs w:val="15"/>
              </w:rPr>
              <w:t xml:space="preserve">Not found</w:t>
            </w:r>
          </w:p>
        </w:tc>
        <w:tc>
          <w:tcPr>
            <w:tcW w:type="dxa" w:w="1150"/>
            <w:tcBorders>
              <w:top w:val="single" w:color="CCCCCC" w:sz="2"/>
              <w:left w:val="single" w:color="CCCCCC" w:sz="2"/>
              <w:bottom w:val="single" w:color="CCCCCC" w:sz="2"/>
              <w:right w:val="single" w:color="CCCCCC" w:sz="2"/>
            </w:tcBorders>
            <w:tcMar>
              <w:top w:type="dxa" w:w="70"/>
              <w:left w:type="dxa" w:w="70"/>
              <w:bottom w:type="dxa" w:w="70"/>
              <w:right w:type="dxa" w:w="70"/>
            </w:tcMar>
          </w:tcPr>
          <w:p>
            <w:pPr>
              <w:spacing w:line="220"/>
            </w:pPr>
            <w:r>
              <w:rPr>
                <w:rFonts w:ascii="Calibri" w:cs="Calibri" w:eastAsia="Calibri" w:hAnsi="Calibri"/>
                <w:color w:val="1A1A1A"/>
                <w:sz w:val="15"/>
                <w:szCs w:val="15"/>
              </w:rPr>
              <w:t xml:space="preserve">Not found</w:t>
            </w:r>
          </w:p>
        </w:tc>
        <w:tc>
          <w:tcPr>
            <w:tcW w:type="dxa" w:w="1150"/>
            <w:tcBorders>
              <w:top w:val="single" w:color="CCCCCC" w:sz="2"/>
              <w:left w:val="single" w:color="CCCCCC" w:sz="2"/>
              <w:bottom w:val="single" w:color="CCCCCC" w:sz="2"/>
              <w:right w:val="single" w:color="CCCCCC" w:sz="2"/>
            </w:tcBorders>
            <w:tcMar>
              <w:top w:type="dxa" w:w="70"/>
              <w:left w:type="dxa" w:w="70"/>
              <w:bottom w:type="dxa" w:w="70"/>
              <w:right w:type="dxa" w:w="70"/>
            </w:tcMar>
          </w:tcPr>
          <w:p>
            <w:pPr>
              <w:spacing w:line="220"/>
            </w:pPr>
            <w:r>
              <w:rPr>
                <w:rFonts w:ascii="Calibri" w:cs="Calibri" w:eastAsia="Calibri" w:hAnsi="Calibri"/>
                <w:color w:val="1A1A1A"/>
                <w:sz w:val="15"/>
                <w:szCs w:val="15"/>
              </w:rPr>
              <w:t xml:space="preserve">Not found</w:t>
            </w:r>
          </w:p>
        </w:tc>
        <w:tc>
          <w:tcPr>
            <w:tcW w:type="dxa" w:w="1150"/>
            <w:tcBorders>
              <w:top w:val="single" w:color="CCCCCC" w:sz="2"/>
              <w:left w:val="single" w:color="CCCCCC" w:sz="2"/>
              <w:bottom w:val="single" w:color="CCCCCC" w:sz="2"/>
              <w:right w:val="single" w:color="CCCCCC" w:sz="2"/>
            </w:tcBorders>
            <w:tcMar>
              <w:top w:type="dxa" w:w="70"/>
              <w:left w:type="dxa" w:w="70"/>
              <w:bottom w:type="dxa" w:w="70"/>
              <w:right w:type="dxa" w:w="70"/>
            </w:tcMar>
          </w:tcPr>
          <w:p>
            <w:pPr>
              <w:spacing w:line="220"/>
            </w:pPr>
            <w:r>
              <w:rPr>
                <w:rFonts w:ascii="Calibri" w:cs="Calibri" w:eastAsia="Calibri" w:hAnsi="Calibri"/>
                <w:color w:val="1A1A1A"/>
                <w:sz w:val="15"/>
                <w:szCs w:val="15"/>
              </w:rPr>
              <w:t xml:space="preserve">Not found</w:t>
            </w:r>
          </w:p>
        </w:tc>
        <w:tc>
          <w:tcPr>
            <w:tcW w:type="dxa" w:w="1150"/>
            <w:tcBorders>
              <w:top w:val="single" w:color="CCCCCC" w:sz="2"/>
              <w:left w:val="single" w:color="CCCCCC" w:sz="2"/>
              <w:bottom w:val="single" w:color="CCCCCC" w:sz="2"/>
              <w:right w:val="single" w:color="CCCCCC" w:sz="2"/>
            </w:tcBorders>
            <w:tcMar>
              <w:top w:type="dxa" w:w="70"/>
              <w:left w:type="dxa" w:w="70"/>
              <w:bottom w:type="dxa" w:w="70"/>
              <w:right w:type="dxa" w:w="70"/>
            </w:tcMar>
          </w:tcPr>
          <w:p>
            <w:pPr>
              <w:spacing w:line="220"/>
            </w:pPr>
            <w:r>
              <w:rPr>
                <w:rFonts w:ascii="Calibri" w:cs="Calibri" w:eastAsia="Calibri" w:hAnsi="Calibri"/>
                <w:color w:val="1A1A1A"/>
                <w:sz w:val="15"/>
                <w:szCs w:val="15"/>
              </w:rPr>
              <w:t xml:space="preserve">Not found</w:t>
            </w:r>
          </w:p>
        </w:tc>
      </w:tr>
      <w:tr>
        <w:tc>
          <w:tcPr>
            <w:tcW w:type="dxa" w:w="2500"/>
            <w:tcBorders>
              <w:top w:val="single" w:color="CCCCCC" w:sz="2"/>
              <w:left w:val="single" w:color="CCCCCC" w:sz="2"/>
              <w:bottom w:val="single" w:color="CCCCCC" w:sz="2"/>
              <w:right w:val="single" w:color="CCCCCC" w:sz="2"/>
            </w:tcBorders>
            <w:tcMar>
              <w:top w:type="dxa" w:w="70"/>
              <w:left w:type="dxa" w:w="70"/>
              <w:bottom w:type="dxa" w:w="70"/>
              <w:right w:type="dxa" w:w="70"/>
            </w:tcMar>
          </w:tcPr>
          <w:p>
            <w:pPr>
              <w:spacing w:line="220"/>
            </w:pPr>
            <w:r>
              <w:rPr>
                <w:rFonts w:ascii="Calibri" w:cs="Calibri" w:eastAsia="Calibri" w:hAnsi="Calibri"/>
                <w:color w:val="1A1A1A"/>
                <w:sz w:val="15"/>
                <w:szCs w:val="15"/>
              </w:rPr>
              <w:t xml:space="preserve">Unified, deduplicated multi-channel resume inbox</w:t>
            </w:r>
          </w:p>
        </w:tc>
        <w:tc>
          <w:tcPr>
            <w:tcW w:type="dxa" w:w="1400"/>
            <w:tcBorders>
              <w:top w:val="single" w:color="CCCCCC" w:sz="2"/>
              <w:left w:val="single" w:color="CCCCCC" w:sz="2"/>
              <w:bottom w:val="single" w:color="CCCCCC" w:sz="2"/>
              <w:right w:val="single" w:color="CCCCCC" w:sz="2"/>
            </w:tcBorders>
            <w:tcMar>
              <w:top w:type="dxa" w:w="70"/>
              <w:left w:type="dxa" w:w="70"/>
              <w:bottom w:type="dxa" w:w="70"/>
              <w:right w:type="dxa" w:w="70"/>
            </w:tcMar>
          </w:tcPr>
          <w:p>
            <w:pPr>
              <w:spacing w:line="220"/>
            </w:pPr>
            <w:r>
              <w:rPr>
                <w:rFonts w:ascii="Calibri" w:cs="Calibri" w:eastAsia="Calibri" w:hAnsi="Calibri"/>
                <w:color w:val="1A1A1A"/>
                <w:sz w:val="15"/>
                <w:szCs w:val="15"/>
              </w:rPr>
              <w:t xml:space="preserve">Yes</w:t>
            </w:r>
          </w:p>
        </w:tc>
        <w:tc>
          <w:tcPr>
            <w:tcW w:type="dxa" w:w="1150"/>
            <w:tcBorders>
              <w:top w:val="single" w:color="CCCCCC" w:sz="2"/>
              <w:left w:val="single" w:color="CCCCCC" w:sz="2"/>
              <w:bottom w:val="single" w:color="CCCCCC" w:sz="2"/>
              <w:right w:val="single" w:color="CCCCCC" w:sz="2"/>
            </w:tcBorders>
            <w:tcMar>
              <w:top w:type="dxa" w:w="70"/>
              <w:left w:type="dxa" w:w="70"/>
              <w:bottom w:type="dxa" w:w="70"/>
              <w:right w:type="dxa" w:w="70"/>
            </w:tcMar>
          </w:tcPr>
          <w:p>
            <w:pPr>
              <w:spacing w:line="220"/>
            </w:pPr>
            <w:r>
              <w:rPr>
                <w:rFonts w:ascii="Calibri" w:cs="Calibri" w:eastAsia="Calibri" w:hAnsi="Calibri"/>
                <w:color w:val="1A1A1A"/>
                <w:sz w:val="15"/>
                <w:szCs w:val="15"/>
              </w:rPr>
              <w:t xml:space="preserve">Unconfirmed</w:t>
            </w:r>
          </w:p>
        </w:tc>
        <w:tc>
          <w:tcPr>
            <w:tcW w:type="dxa" w:w="1150"/>
            <w:tcBorders>
              <w:top w:val="single" w:color="CCCCCC" w:sz="2"/>
              <w:left w:val="single" w:color="CCCCCC" w:sz="2"/>
              <w:bottom w:val="single" w:color="CCCCCC" w:sz="2"/>
              <w:right w:val="single" w:color="CCCCCC" w:sz="2"/>
            </w:tcBorders>
            <w:tcMar>
              <w:top w:type="dxa" w:w="70"/>
              <w:left w:type="dxa" w:w="70"/>
              <w:bottom w:type="dxa" w:w="70"/>
              <w:right w:type="dxa" w:w="70"/>
            </w:tcMar>
          </w:tcPr>
          <w:p>
            <w:pPr>
              <w:spacing w:line="220"/>
            </w:pPr>
            <w:r>
              <w:rPr>
                <w:rFonts w:ascii="Calibri" w:cs="Calibri" w:eastAsia="Calibri" w:hAnsi="Calibri"/>
                <w:color w:val="1A1A1A"/>
                <w:sz w:val="15"/>
                <w:szCs w:val="15"/>
              </w:rPr>
              <w:t xml:space="preserve">Unconfirmed</w:t>
            </w:r>
          </w:p>
        </w:tc>
        <w:tc>
          <w:tcPr>
            <w:tcW w:type="dxa" w:w="1150"/>
            <w:tcBorders>
              <w:top w:val="single" w:color="CCCCCC" w:sz="2"/>
              <w:left w:val="single" w:color="CCCCCC" w:sz="2"/>
              <w:bottom w:val="single" w:color="CCCCCC" w:sz="2"/>
              <w:right w:val="single" w:color="CCCCCC" w:sz="2"/>
            </w:tcBorders>
            <w:tcMar>
              <w:top w:type="dxa" w:w="70"/>
              <w:left w:type="dxa" w:w="70"/>
              <w:bottom w:type="dxa" w:w="70"/>
              <w:right w:type="dxa" w:w="70"/>
            </w:tcMar>
          </w:tcPr>
          <w:p>
            <w:pPr>
              <w:spacing w:line="220"/>
            </w:pPr>
            <w:r>
              <w:rPr>
                <w:rFonts w:ascii="Calibri" w:cs="Calibri" w:eastAsia="Calibri" w:hAnsi="Calibri"/>
                <w:color w:val="1A1A1A"/>
                <w:sz w:val="15"/>
                <w:szCs w:val="15"/>
              </w:rPr>
              <w:t xml:space="preserve">Partial — LinkedIn RSC+ gives a unified applicant view</w:t>
            </w:r>
          </w:p>
        </w:tc>
        <w:tc>
          <w:tcPr>
            <w:tcW w:type="dxa" w:w="1150"/>
            <w:tcBorders>
              <w:top w:val="single" w:color="CCCCCC" w:sz="2"/>
              <w:left w:val="single" w:color="CCCCCC" w:sz="2"/>
              <w:bottom w:val="single" w:color="CCCCCC" w:sz="2"/>
              <w:right w:val="single" w:color="CCCCCC" w:sz="2"/>
            </w:tcBorders>
            <w:tcMar>
              <w:top w:type="dxa" w:w="70"/>
              <w:left w:type="dxa" w:w="70"/>
              <w:bottom w:type="dxa" w:w="70"/>
              <w:right w:type="dxa" w:w="70"/>
            </w:tcMar>
          </w:tcPr>
          <w:p>
            <w:pPr>
              <w:spacing w:line="220"/>
            </w:pPr>
            <w:r>
              <w:rPr>
                <w:rFonts w:ascii="Calibri" w:cs="Calibri" w:eastAsia="Calibri" w:hAnsi="Calibri"/>
                <w:color w:val="1A1A1A"/>
                <w:sz w:val="15"/>
                <w:szCs w:val="15"/>
              </w:rPr>
              <w:t xml:space="preserve">Unconfirmed</w:t>
            </w:r>
          </w:p>
        </w:tc>
        <w:tc>
          <w:tcPr>
            <w:tcW w:type="dxa" w:w="1150"/>
            <w:tcBorders>
              <w:top w:val="single" w:color="CCCCCC" w:sz="2"/>
              <w:left w:val="single" w:color="CCCCCC" w:sz="2"/>
              <w:bottom w:val="single" w:color="CCCCCC" w:sz="2"/>
              <w:right w:val="single" w:color="CCCCCC" w:sz="2"/>
            </w:tcBorders>
            <w:tcMar>
              <w:top w:type="dxa" w:w="70"/>
              <w:left w:type="dxa" w:w="70"/>
              <w:bottom w:type="dxa" w:w="70"/>
              <w:right w:type="dxa" w:w="70"/>
            </w:tcMar>
          </w:tcPr>
          <w:p>
            <w:pPr>
              <w:spacing w:line="220"/>
            </w:pPr>
            <w:r>
              <w:rPr>
                <w:rFonts w:ascii="Calibri" w:cs="Calibri" w:eastAsia="Calibri" w:hAnsi="Calibri"/>
                <w:color w:val="1A1A1A"/>
                <w:sz w:val="15"/>
                <w:szCs w:val="15"/>
              </w:rPr>
              <w:t xml:space="preserve">Partial — matches across internal and external databases</w:t>
            </w:r>
          </w:p>
        </w:tc>
      </w:tr>
      <w:tr>
        <w:tc>
          <w:tcPr>
            <w:tcW w:type="dxa" w:w="2500"/>
            <w:tcBorders>
              <w:top w:val="single" w:color="CCCCCC" w:sz="2"/>
              <w:left w:val="single" w:color="CCCCCC" w:sz="2"/>
              <w:bottom w:val="single" w:color="CCCCCC" w:sz="2"/>
              <w:right w:val="single" w:color="CCCCCC" w:sz="2"/>
            </w:tcBorders>
            <w:tcMar>
              <w:top w:type="dxa" w:w="70"/>
              <w:left w:type="dxa" w:w="70"/>
              <w:bottom w:type="dxa" w:w="70"/>
              <w:right w:type="dxa" w:w="70"/>
            </w:tcMar>
          </w:tcPr>
          <w:p>
            <w:pPr>
              <w:spacing w:line="220"/>
            </w:pPr>
            <w:r>
              <w:rPr>
                <w:rFonts w:ascii="Calibri" w:cs="Calibri" w:eastAsia="Calibri" w:hAnsi="Calibri"/>
                <w:color w:val="1A1A1A"/>
                <w:sz w:val="15"/>
                <w:szCs w:val="15"/>
              </w:rPr>
              <w:t xml:space="preserve">Native resume parsing (no third-party add-on)</w:t>
            </w:r>
          </w:p>
        </w:tc>
        <w:tc>
          <w:tcPr>
            <w:tcW w:type="dxa" w:w="1400"/>
            <w:tcBorders>
              <w:top w:val="single" w:color="CCCCCC" w:sz="2"/>
              <w:left w:val="single" w:color="CCCCCC" w:sz="2"/>
              <w:bottom w:val="single" w:color="CCCCCC" w:sz="2"/>
              <w:right w:val="single" w:color="CCCCCC" w:sz="2"/>
            </w:tcBorders>
            <w:tcMar>
              <w:top w:type="dxa" w:w="70"/>
              <w:left w:type="dxa" w:w="70"/>
              <w:bottom w:type="dxa" w:w="70"/>
              <w:right w:type="dxa" w:w="70"/>
            </w:tcMar>
          </w:tcPr>
          <w:p>
            <w:pPr>
              <w:spacing w:line="220"/>
            </w:pPr>
            <w:r>
              <w:rPr>
                <w:rFonts w:ascii="Calibri" w:cs="Calibri" w:eastAsia="Calibri" w:hAnsi="Calibri"/>
                <w:color w:val="1A1A1A"/>
                <w:sz w:val="15"/>
                <w:szCs w:val="15"/>
              </w:rPr>
              <w:t xml:space="preserve">Yes</w:t>
            </w:r>
          </w:p>
        </w:tc>
        <w:tc>
          <w:tcPr>
            <w:tcW w:type="dxa" w:w="1150"/>
            <w:tcBorders>
              <w:top w:val="single" w:color="CCCCCC" w:sz="2"/>
              <w:left w:val="single" w:color="CCCCCC" w:sz="2"/>
              <w:bottom w:val="single" w:color="CCCCCC" w:sz="2"/>
              <w:right w:val="single" w:color="CCCCCC" w:sz="2"/>
            </w:tcBorders>
            <w:tcMar>
              <w:top w:type="dxa" w:w="70"/>
              <w:left w:type="dxa" w:w="70"/>
              <w:bottom w:type="dxa" w:w="70"/>
              <w:right w:type="dxa" w:w="70"/>
            </w:tcMar>
          </w:tcPr>
          <w:p>
            <w:pPr>
              <w:spacing w:line="220"/>
            </w:pPr>
            <w:r>
              <w:rPr>
                <w:rFonts w:ascii="Calibri" w:cs="Calibri" w:eastAsia="Calibri" w:hAnsi="Calibri"/>
                <w:color w:val="1A1A1A"/>
                <w:sz w:val="15"/>
                <w:szCs w:val="15"/>
              </w:rPr>
              <w:t xml:space="preserve">Yes — AI reads resumes for latent skills</w:t>
            </w:r>
          </w:p>
        </w:tc>
        <w:tc>
          <w:tcPr>
            <w:tcW w:type="dxa" w:w="1150"/>
            <w:tcBorders>
              <w:top w:val="single" w:color="CCCCCC" w:sz="2"/>
              <w:left w:val="single" w:color="CCCCCC" w:sz="2"/>
              <w:bottom w:val="single" w:color="CCCCCC" w:sz="2"/>
              <w:right w:val="single" w:color="CCCCCC" w:sz="2"/>
            </w:tcBorders>
            <w:tcMar>
              <w:top w:type="dxa" w:w="70"/>
              <w:left w:type="dxa" w:w="70"/>
              <w:bottom w:type="dxa" w:w="70"/>
              <w:right w:type="dxa" w:w="70"/>
            </w:tcMar>
          </w:tcPr>
          <w:p>
            <w:pPr>
              <w:spacing w:line="220"/>
            </w:pPr>
            <w:r>
              <w:rPr>
                <w:rFonts w:ascii="Calibri" w:cs="Calibri" w:eastAsia="Calibri" w:hAnsi="Calibri"/>
                <w:color w:val="1A1A1A"/>
                <w:sz w:val="15"/>
                <w:szCs w:val="15"/>
              </w:rPr>
              <w:t xml:space="preserve">Unconfirmed</w:t>
            </w:r>
          </w:p>
        </w:tc>
        <w:tc>
          <w:tcPr>
            <w:tcW w:type="dxa" w:w="1150"/>
            <w:tcBorders>
              <w:top w:val="single" w:color="CCCCCC" w:sz="2"/>
              <w:left w:val="single" w:color="CCCCCC" w:sz="2"/>
              <w:bottom w:val="single" w:color="CCCCCC" w:sz="2"/>
              <w:right w:val="single" w:color="CCCCCC" w:sz="2"/>
            </w:tcBorders>
            <w:tcMar>
              <w:top w:type="dxa" w:w="70"/>
              <w:left w:type="dxa" w:w="70"/>
              <w:bottom w:type="dxa" w:w="70"/>
              <w:right w:type="dxa" w:w="70"/>
            </w:tcMar>
          </w:tcPr>
          <w:p>
            <w:pPr>
              <w:spacing w:line="220"/>
            </w:pPr>
            <w:r>
              <w:rPr>
                <w:rFonts w:ascii="Calibri" w:cs="Calibri" w:eastAsia="Calibri" w:hAnsi="Calibri"/>
                <w:color w:val="1A1A1A"/>
                <w:sz w:val="15"/>
                <w:szCs w:val="15"/>
              </w:rPr>
              <w:t xml:space="preserve">Yes — Talent Matching</w:t>
            </w:r>
          </w:p>
        </w:tc>
        <w:tc>
          <w:tcPr>
            <w:tcW w:type="dxa" w:w="1150"/>
            <w:tcBorders>
              <w:top w:val="single" w:color="CCCCCC" w:sz="2"/>
              <w:left w:val="single" w:color="CCCCCC" w:sz="2"/>
              <w:bottom w:val="single" w:color="CCCCCC" w:sz="2"/>
              <w:right w:val="single" w:color="CCCCCC" w:sz="2"/>
            </w:tcBorders>
            <w:tcMar>
              <w:top w:type="dxa" w:w="70"/>
              <w:left w:type="dxa" w:w="70"/>
              <w:bottom w:type="dxa" w:w="70"/>
              <w:right w:type="dxa" w:w="70"/>
            </w:tcMar>
          </w:tcPr>
          <w:p>
            <w:pPr>
              <w:spacing w:line="220"/>
            </w:pPr>
            <w:r>
              <w:rPr>
                <w:rFonts w:ascii="Calibri" w:cs="Calibri" w:eastAsia="Calibri" w:hAnsi="Calibri"/>
                <w:color w:val="1A1A1A"/>
                <w:sz w:val="15"/>
                <w:szCs w:val="15"/>
              </w:rPr>
              <w:t xml:space="preserve">Unconfirmed</w:t>
            </w:r>
          </w:p>
        </w:tc>
        <w:tc>
          <w:tcPr>
            <w:tcW w:type="dxa" w:w="1150"/>
            <w:tcBorders>
              <w:top w:val="single" w:color="CCCCCC" w:sz="2"/>
              <w:left w:val="single" w:color="CCCCCC" w:sz="2"/>
              <w:bottom w:val="single" w:color="CCCCCC" w:sz="2"/>
              <w:right w:val="single" w:color="CCCCCC" w:sz="2"/>
            </w:tcBorders>
            <w:tcMar>
              <w:top w:type="dxa" w:w="70"/>
              <w:left w:type="dxa" w:w="70"/>
              <w:bottom w:type="dxa" w:w="70"/>
              <w:right w:type="dxa" w:w="70"/>
            </w:tcMar>
          </w:tcPr>
          <w:p>
            <w:pPr>
              <w:spacing w:line="220"/>
            </w:pPr>
            <w:r>
              <w:rPr>
                <w:rFonts w:ascii="Calibri" w:cs="Calibri" w:eastAsia="Calibri" w:hAnsi="Calibri"/>
                <w:color w:val="1A1A1A"/>
                <w:sz w:val="15"/>
                <w:szCs w:val="15"/>
              </w:rPr>
              <w:t xml:space="preserve">Yes — SmartAssistant matching</w:t>
            </w:r>
          </w:p>
        </w:tc>
      </w:tr>
      <w:tr>
        <w:tc>
          <w:tcPr>
            <w:tcW w:type="dxa" w:w="2500"/>
            <w:tcBorders>
              <w:top w:val="single" w:color="CCCCCC" w:sz="2"/>
              <w:left w:val="single" w:color="CCCCCC" w:sz="2"/>
              <w:bottom w:val="single" w:color="CCCCCC" w:sz="2"/>
              <w:right w:val="single" w:color="CCCCCC" w:sz="2"/>
            </w:tcBorders>
            <w:tcMar>
              <w:top w:type="dxa" w:w="70"/>
              <w:left w:type="dxa" w:w="70"/>
              <w:bottom w:type="dxa" w:w="70"/>
              <w:right w:type="dxa" w:w="70"/>
            </w:tcMar>
          </w:tcPr>
          <w:p>
            <w:pPr>
              <w:spacing w:line="220"/>
            </w:pPr>
            <w:r>
              <w:rPr>
                <w:rFonts w:ascii="Calibri" w:cs="Calibri" w:eastAsia="Calibri" w:hAnsi="Calibri"/>
                <w:color w:val="1A1A1A"/>
                <w:sz w:val="15"/>
                <w:szCs w:val="15"/>
              </w:rPr>
              <w:t xml:space="preserve">Cross-channel duplicate-candidate detection with audit trail</w:t>
            </w:r>
          </w:p>
        </w:tc>
        <w:tc>
          <w:tcPr>
            <w:tcW w:type="dxa" w:w="1400"/>
            <w:tcBorders>
              <w:top w:val="single" w:color="CCCCCC" w:sz="2"/>
              <w:left w:val="single" w:color="CCCCCC" w:sz="2"/>
              <w:bottom w:val="single" w:color="CCCCCC" w:sz="2"/>
              <w:right w:val="single" w:color="CCCCCC" w:sz="2"/>
            </w:tcBorders>
            <w:tcMar>
              <w:top w:type="dxa" w:w="70"/>
              <w:left w:type="dxa" w:w="70"/>
              <w:bottom w:type="dxa" w:w="70"/>
              <w:right w:type="dxa" w:w="70"/>
            </w:tcMar>
          </w:tcPr>
          <w:p>
            <w:pPr>
              <w:spacing w:line="220"/>
            </w:pPr>
            <w:r>
              <w:rPr>
                <w:rFonts w:ascii="Calibri" w:cs="Calibri" w:eastAsia="Calibri" w:hAnsi="Calibri"/>
                <w:color w:val="1A1A1A"/>
                <w:sz w:val="15"/>
                <w:szCs w:val="15"/>
              </w:rPr>
              <w:t xml:space="preserve">Yes — append-only reversal model (unique)</w:t>
            </w:r>
          </w:p>
        </w:tc>
        <w:tc>
          <w:tcPr>
            <w:tcW w:type="dxa" w:w="1150"/>
            <w:tcBorders>
              <w:top w:val="single" w:color="CCCCCC" w:sz="2"/>
              <w:left w:val="single" w:color="CCCCCC" w:sz="2"/>
              <w:bottom w:val="single" w:color="CCCCCC" w:sz="2"/>
              <w:right w:val="single" w:color="CCCCCC" w:sz="2"/>
            </w:tcBorders>
            <w:tcMar>
              <w:top w:type="dxa" w:w="70"/>
              <w:left w:type="dxa" w:w="70"/>
              <w:bottom w:type="dxa" w:w="70"/>
              <w:right w:type="dxa" w:w="70"/>
            </w:tcMar>
          </w:tcPr>
          <w:p>
            <w:pPr>
              <w:spacing w:line="220"/>
            </w:pPr>
            <w:r>
              <w:rPr>
                <w:rFonts w:ascii="Calibri" w:cs="Calibri" w:eastAsia="Calibri" w:hAnsi="Calibri"/>
                <w:color w:val="1A1A1A"/>
                <w:sz w:val="15"/>
                <w:szCs w:val="15"/>
              </w:rPr>
              <w:t xml:space="preserve">Not confirmed by any provider researched</w:t>
            </w:r>
          </w:p>
        </w:tc>
        <w:tc>
          <w:tcPr>
            <w:tcW w:type="dxa" w:w="1150"/>
            <w:tcBorders>
              <w:top w:val="single" w:color="CCCCCC" w:sz="2"/>
              <w:left w:val="single" w:color="CCCCCC" w:sz="2"/>
              <w:bottom w:val="single" w:color="CCCCCC" w:sz="2"/>
              <w:right w:val="single" w:color="CCCCCC" w:sz="2"/>
            </w:tcBorders>
            <w:tcMar>
              <w:top w:type="dxa" w:w="70"/>
              <w:left w:type="dxa" w:w="70"/>
              <w:bottom w:type="dxa" w:w="70"/>
              <w:right w:type="dxa" w:w="70"/>
            </w:tcMar>
          </w:tcPr>
          <w:p>
            <w:pPr>
              <w:spacing w:line="220"/>
            </w:pPr>
            <w:r>
              <w:rPr>
                <w:rFonts w:ascii="Calibri" w:cs="Calibri" w:eastAsia="Calibri" w:hAnsi="Calibri"/>
                <w:color w:val="1A1A1A"/>
                <w:sz w:val="15"/>
                <w:szCs w:val="15"/>
              </w:rPr>
              <w:t xml:space="preserve">—</w:t>
            </w:r>
          </w:p>
        </w:tc>
        <w:tc>
          <w:tcPr>
            <w:tcW w:type="dxa" w:w="1150"/>
            <w:tcBorders>
              <w:top w:val="single" w:color="CCCCCC" w:sz="2"/>
              <w:left w:val="single" w:color="CCCCCC" w:sz="2"/>
              <w:bottom w:val="single" w:color="CCCCCC" w:sz="2"/>
              <w:right w:val="single" w:color="CCCCCC" w:sz="2"/>
            </w:tcBorders>
            <w:tcMar>
              <w:top w:type="dxa" w:w="70"/>
              <w:left w:type="dxa" w:w="70"/>
              <w:bottom w:type="dxa" w:w="70"/>
              <w:right w:type="dxa" w:w="70"/>
            </w:tcMar>
          </w:tcPr>
          <w:p>
            <w:pPr>
              <w:spacing w:line="220"/>
            </w:pPr>
            <w:r>
              <w:rPr>
                <w:rFonts w:ascii="Calibri" w:cs="Calibri" w:eastAsia="Calibri" w:hAnsi="Calibri"/>
                <w:color w:val="1A1A1A"/>
                <w:sz w:val="15"/>
                <w:szCs w:val="15"/>
              </w:rPr>
              <w:t xml:space="preserve">—</w:t>
            </w:r>
          </w:p>
        </w:tc>
        <w:tc>
          <w:tcPr>
            <w:tcW w:type="dxa" w:w="1150"/>
            <w:tcBorders>
              <w:top w:val="single" w:color="CCCCCC" w:sz="2"/>
              <w:left w:val="single" w:color="CCCCCC" w:sz="2"/>
              <w:bottom w:val="single" w:color="CCCCCC" w:sz="2"/>
              <w:right w:val="single" w:color="CCCCCC" w:sz="2"/>
            </w:tcBorders>
            <w:tcMar>
              <w:top w:type="dxa" w:w="70"/>
              <w:left w:type="dxa" w:w="70"/>
              <w:bottom w:type="dxa" w:w="70"/>
              <w:right w:type="dxa" w:w="70"/>
            </w:tcMar>
          </w:tcPr>
          <w:p>
            <w:pPr>
              <w:spacing w:line="220"/>
            </w:pPr>
            <w:r>
              <w:rPr>
                <w:rFonts w:ascii="Calibri" w:cs="Calibri" w:eastAsia="Calibri" w:hAnsi="Calibri"/>
                <w:color w:val="1A1A1A"/>
                <w:sz w:val="15"/>
                <w:szCs w:val="15"/>
              </w:rPr>
              <w:t xml:space="preserve">—</w:t>
            </w:r>
          </w:p>
        </w:tc>
        <w:tc>
          <w:tcPr>
            <w:tcW w:type="dxa" w:w="1150"/>
            <w:tcBorders>
              <w:top w:val="single" w:color="CCCCCC" w:sz="2"/>
              <w:left w:val="single" w:color="CCCCCC" w:sz="2"/>
              <w:bottom w:val="single" w:color="CCCCCC" w:sz="2"/>
              <w:right w:val="single" w:color="CCCCCC" w:sz="2"/>
            </w:tcBorders>
            <w:tcMar>
              <w:top w:type="dxa" w:w="70"/>
              <w:left w:type="dxa" w:w="70"/>
              <w:bottom w:type="dxa" w:w="70"/>
              <w:right w:type="dxa" w:w="70"/>
            </w:tcMar>
          </w:tcPr>
          <w:p>
            <w:pPr>
              <w:spacing w:line="220"/>
            </w:pPr>
            <w:r>
              <w:rPr>
                <w:rFonts w:ascii="Calibri" w:cs="Calibri" w:eastAsia="Calibri" w:hAnsi="Calibri"/>
                <w:color w:val="1A1A1A"/>
                <w:sz w:val="15"/>
                <w:szCs w:val="15"/>
              </w:rPr>
              <w:t xml:space="preserve">—</w:t>
            </w:r>
          </w:p>
        </w:tc>
      </w:tr>
      <w:tr>
        <w:tc>
          <w:tcPr>
            <w:tcW w:type="dxa" w:w="2500"/>
            <w:tcBorders>
              <w:top w:val="single" w:color="CCCCCC" w:sz="2"/>
              <w:left w:val="single" w:color="CCCCCC" w:sz="2"/>
              <w:bottom w:val="single" w:color="CCCCCC" w:sz="2"/>
              <w:right w:val="single" w:color="CCCCCC" w:sz="2"/>
            </w:tcBorders>
            <w:tcMar>
              <w:top w:type="dxa" w:w="70"/>
              <w:left w:type="dxa" w:w="70"/>
              <w:bottom w:type="dxa" w:w="70"/>
              <w:right w:type="dxa" w:w="70"/>
            </w:tcMar>
          </w:tcPr>
          <w:p>
            <w:pPr>
              <w:spacing w:line="220"/>
            </w:pPr>
            <w:r>
              <w:rPr>
                <w:rFonts w:ascii="Calibri" w:cs="Calibri" w:eastAsia="Calibri" w:hAnsi="Calibri"/>
                <w:color w:val="1A1A1A"/>
                <w:sz w:val="15"/>
                <w:szCs w:val="15"/>
              </w:rPr>
              <w:t xml:space="preserve">Multi-tenant + multi-client (agency) isolation architecture</w:t>
            </w:r>
          </w:p>
        </w:tc>
        <w:tc>
          <w:tcPr>
            <w:tcW w:type="dxa" w:w="1400"/>
            <w:tcBorders>
              <w:top w:val="single" w:color="CCCCCC" w:sz="2"/>
              <w:left w:val="single" w:color="CCCCCC" w:sz="2"/>
              <w:bottom w:val="single" w:color="CCCCCC" w:sz="2"/>
              <w:right w:val="single" w:color="CCCCCC" w:sz="2"/>
            </w:tcBorders>
            <w:tcMar>
              <w:top w:type="dxa" w:w="70"/>
              <w:left w:type="dxa" w:w="70"/>
              <w:bottom w:type="dxa" w:w="70"/>
              <w:right w:type="dxa" w:w="70"/>
            </w:tcMar>
          </w:tcPr>
          <w:p>
            <w:pPr>
              <w:spacing w:line="220"/>
            </w:pPr>
            <w:r>
              <w:rPr>
                <w:rFonts w:ascii="Calibri" w:cs="Calibri" w:eastAsia="Calibri" w:hAnsi="Calibri"/>
                <w:color w:val="1A1A1A"/>
                <w:sz w:val="15"/>
                <w:szCs w:val="15"/>
              </w:rPr>
              <w:t xml:space="preserve">Yes — 5-layer enforcement (TDD Section 5.3)</w:t>
            </w:r>
          </w:p>
        </w:tc>
        <w:tc>
          <w:tcPr>
            <w:tcW w:type="dxa" w:w="1150"/>
            <w:tcBorders>
              <w:top w:val="single" w:color="CCCCCC" w:sz="2"/>
              <w:left w:val="single" w:color="CCCCCC" w:sz="2"/>
              <w:bottom w:val="single" w:color="CCCCCC" w:sz="2"/>
              <w:right w:val="single" w:color="CCCCCC" w:sz="2"/>
            </w:tcBorders>
            <w:tcMar>
              <w:top w:type="dxa" w:w="70"/>
              <w:left w:type="dxa" w:w="70"/>
              <w:bottom w:type="dxa" w:w="70"/>
              <w:right w:type="dxa" w:w="70"/>
            </w:tcMar>
          </w:tcPr>
          <w:p>
            <w:pPr>
              <w:spacing w:line="220"/>
            </w:pPr>
            <w:r>
              <w:rPr>
                <w:rFonts w:ascii="Calibri" w:cs="Calibri" w:eastAsia="Calibri" w:hAnsi="Calibri"/>
                <w:color w:val="1A1A1A"/>
                <w:sz w:val="15"/>
                <w:szCs w:val="15"/>
              </w:rPr>
              <w:t xml:space="preserve">No</w:t>
            </w:r>
          </w:p>
        </w:tc>
        <w:tc>
          <w:tcPr>
            <w:tcW w:type="dxa" w:w="1150"/>
            <w:tcBorders>
              <w:top w:val="single" w:color="CCCCCC" w:sz="2"/>
              <w:left w:val="single" w:color="CCCCCC" w:sz="2"/>
              <w:bottom w:val="single" w:color="CCCCCC" w:sz="2"/>
              <w:right w:val="single" w:color="CCCCCC" w:sz="2"/>
            </w:tcBorders>
            <w:tcMar>
              <w:top w:type="dxa" w:w="70"/>
              <w:left w:type="dxa" w:w="70"/>
              <w:bottom w:type="dxa" w:w="70"/>
              <w:right w:type="dxa" w:w="70"/>
            </w:tcMar>
          </w:tcPr>
          <w:p>
            <w:pPr>
              <w:spacing w:line="220"/>
            </w:pPr>
            <w:r>
              <w:rPr>
                <w:rFonts w:ascii="Calibri" w:cs="Calibri" w:eastAsia="Calibri" w:hAnsi="Calibri"/>
                <w:color w:val="1A1A1A"/>
                <w:sz w:val="15"/>
                <w:szCs w:val="15"/>
              </w:rPr>
              <w:t xml:space="preserve">No</w:t>
            </w:r>
          </w:p>
        </w:tc>
        <w:tc>
          <w:tcPr>
            <w:tcW w:type="dxa" w:w="1150"/>
            <w:tcBorders>
              <w:top w:val="single" w:color="CCCCCC" w:sz="2"/>
              <w:left w:val="single" w:color="CCCCCC" w:sz="2"/>
              <w:bottom w:val="single" w:color="CCCCCC" w:sz="2"/>
              <w:right w:val="single" w:color="CCCCCC" w:sz="2"/>
            </w:tcBorders>
            <w:tcMar>
              <w:top w:type="dxa" w:w="70"/>
              <w:left w:type="dxa" w:w="70"/>
              <w:bottom w:type="dxa" w:w="70"/>
              <w:right w:type="dxa" w:w="70"/>
            </w:tcMar>
          </w:tcPr>
          <w:p>
            <w:pPr>
              <w:spacing w:line="220"/>
            </w:pPr>
            <w:r>
              <w:rPr>
                <w:rFonts w:ascii="Calibri" w:cs="Calibri" w:eastAsia="Calibri" w:hAnsi="Calibri"/>
                <w:color w:val="1A1A1A"/>
                <w:sz w:val="15"/>
                <w:szCs w:val="15"/>
              </w:rPr>
              <w:t xml:space="preserve">No — multi-brand job boards only, single company</w:t>
            </w:r>
          </w:p>
        </w:tc>
        <w:tc>
          <w:tcPr>
            <w:tcW w:type="dxa" w:w="1150"/>
            <w:tcBorders>
              <w:top w:val="single" w:color="CCCCCC" w:sz="2"/>
              <w:left w:val="single" w:color="CCCCCC" w:sz="2"/>
              <w:bottom w:val="single" w:color="CCCCCC" w:sz="2"/>
              <w:right w:val="single" w:color="CCCCCC" w:sz="2"/>
            </w:tcBorders>
            <w:tcMar>
              <w:top w:type="dxa" w:w="70"/>
              <w:left w:type="dxa" w:w="70"/>
              <w:bottom w:type="dxa" w:w="70"/>
              <w:right w:type="dxa" w:w="70"/>
            </w:tcMar>
          </w:tcPr>
          <w:p>
            <w:pPr>
              <w:spacing w:line="220"/>
            </w:pPr>
            <w:r>
              <w:rPr>
                <w:rFonts w:ascii="Calibri" w:cs="Calibri" w:eastAsia="Calibri" w:hAnsi="Calibri"/>
                <w:color w:val="1A1A1A"/>
                <w:sz w:val="15"/>
                <w:szCs w:val="15"/>
              </w:rPr>
              <w:t xml:space="preserve">No</w:t>
            </w:r>
          </w:p>
        </w:tc>
        <w:tc>
          <w:tcPr>
            <w:tcW w:type="dxa" w:w="1150"/>
            <w:tcBorders>
              <w:top w:val="single" w:color="CCCCCC" w:sz="2"/>
              <w:left w:val="single" w:color="CCCCCC" w:sz="2"/>
              <w:bottom w:val="single" w:color="CCCCCC" w:sz="2"/>
              <w:right w:val="single" w:color="CCCCCC" w:sz="2"/>
            </w:tcBorders>
            <w:tcMar>
              <w:top w:type="dxa" w:w="70"/>
              <w:left w:type="dxa" w:w="70"/>
              <w:bottom w:type="dxa" w:w="70"/>
              <w:right w:type="dxa" w:w="70"/>
            </w:tcMar>
          </w:tcPr>
          <w:p>
            <w:pPr>
              <w:spacing w:line="220"/>
            </w:pPr>
            <w:r>
              <w:rPr>
                <w:rFonts w:ascii="Calibri" w:cs="Calibri" w:eastAsia="Calibri" w:hAnsi="Calibri"/>
                <w:color w:val="1A1A1A"/>
                <w:sz w:val="15"/>
                <w:szCs w:val="15"/>
              </w:rPr>
              <w:t xml:space="preserve">No</w:t>
            </w:r>
          </w:p>
        </w:tc>
      </w:tr>
      <w:tr>
        <w:tc>
          <w:tcPr>
            <w:tcW w:type="dxa" w:w="2500"/>
            <w:tcBorders>
              <w:top w:val="single" w:color="CCCCCC" w:sz="2"/>
              <w:left w:val="single" w:color="CCCCCC" w:sz="2"/>
              <w:bottom w:val="single" w:color="CCCCCC" w:sz="2"/>
              <w:right w:val="single" w:color="CCCCCC" w:sz="2"/>
            </w:tcBorders>
            <w:tcMar>
              <w:top w:type="dxa" w:w="70"/>
              <w:left w:type="dxa" w:w="70"/>
              <w:bottom w:type="dxa" w:w="70"/>
              <w:right w:type="dxa" w:w="70"/>
            </w:tcMar>
          </w:tcPr>
          <w:p>
            <w:pPr>
              <w:spacing w:line="220"/>
            </w:pPr>
            <w:r>
              <w:rPr>
                <w:rFonts w:ascii="Calibri" w:cs="Calibri" w:eastAsia="Calibri" w:hAnsi="Calibri"/>
                <w:color w:val="1A1A1A"/>
                <w:sz w:val="15"/>
                <w:szCs w:val="15"/>
              </w:rPr>
              <w:t xml:space="preserve">Public, transparent per-seat pricing</w:t>
            </w:r>
          </w:p>
        </w:tc>
        <w:tc>
          <w:tcPr>
            <w:tcW w:type="dxa" w:w="1400"/>
            <w:tcBorders>
              <w:top w:val="single" w:color="CCCCCC" w:sz="2"/>
              <w:left w:val="single" w:color="CCCCCC" w:sz="2"/>
              <w:bottom w:val="single" w:color="CCCCCC" w:sz="2"/>
              <w:right w:val="single" w:color="CCCCCC" w:sz="2"/>
            </w:tcBorders>
            <w:tcMar>
              <w:top w:type="dxa" w:w="70"/>
              <w:left w:type="dxa" w:w="70"/>
              <w:bottom w:type="dxa" w:w="70"/>
              <w:right w:type="dxa" w:w="70"/>
            </w:tcMar>
          </w:tcPr>
          <w:p>
            <w:pPr>
              <w:spacing w:line="220"/>
            </w:pPr>
            <w:r>
              <w:rPr>
                <w:rFonts w:ascii="Calibri" w:cs="Calibri" w:eastAsia="Calibri" w:hAnsi="Calibri"/>
                <w:color w:val="1A1A1A"/>
                <w:sz w:val="15"/>
                <w:szCs w:val="15"/>
              </w:rPr>
              <w:t xml:space="preserve">To be finalized (Section 6 dependency)</w:t>
            </w:r>
          </w:p>
        </w:tc>
        <w:tc>
          <w:tcPr>
            <w:tcW w:type="dxa" w:w="1150"/>
            <w:tcBorders>
              <w:top w:val="single" w:color="CCCCCC" w:sz="2"/>
              <w:left w:val="single" w:color="CCCCCC" w:sz="2"/>
              <w:bottom w:val="single" w:color="CCCCCC" w:sz="2"/>
              <w:right w:val="single" w:color="CCCCCC" w:sz="2"/>
            </w:tcBorders>
            <w:tcMar>
              <w:top w:type="dxa" w:w="70"/>
              <w:left w:type="dxa" w:w="70"/>
              <w:bottom w:type="dxa" w:w="70"/>
              <w:right w:type="dxa" w:w="70"/>
            </w:tcMar>
          </w:tcPr>
          <w:p>
            <w:pPr>
              <w:spacing w:line="220"/>
            </w:pPr>
            <w:r>
              <w:rPr>
                <w:rFonts w:ascii="Calibri" w:cs="Calibri" w:eastAsia="Calibri" w:hAnsi="Calibri"/>
                <w:color w:val="1A1A1A"/>
                <w:sz w:val="15"/>
                <w:szCs w:val="15"/>
              </w:rPr>
              <w:t xml:space="preserve">No — custom enterprise quotes</w:t>
            </w:r>
          </w:p>
        </w:tc>
        <w:tc>
          <w:tcPr>
            <w:tcW w:type="dxa" w:w="1150"/>
            <w:tcBorders>
              <w:top w:val="single" w:color="CCCCCC" w:sz="2"/>
              <w:left w:val="single" w:color="CCCCCC" w:sz="2"/>
              <w:bottom w:val="single" w:color="CCCCCC" w:sz="2"/>
              <w:right w:val="single" w:color="CCCCCC" w:sz="2"/>
            </w:tcBorders>
            <w:tcMar>
              <w:top w:type="dxa" w:w="70"/>
              <w:left w:type="dxa" w:w="70"/>
              <w:bottom w:type="dxa" w:w="70"/>
              <w:right w:type="dxa" w:w="70"/>
            </w:tcMar>
          </w:tcPr>
          <w:p>
            <w:pPr>
              <w:spacing w:line="220"/>
            </w:pPr>
            <w:r>
              <w:rPr>
                <w:rFonts w:ascii="Calibri" w:cs="Calibri" w:eastAsia="Calibri" w:hAnsi="Calibri"/>
                <w:color w:val="1A1A1A"/>
                <w:sz w:val="15"/>
                <w:szCs w:val="15"/>
              </w:rPr>
              <w:t xml:space="preserve">Yes — $10/$17/$25 per employee/month</w:t>
            </w:r>
          </w:p>
        </w:tc>
        <w:tc>
          <w:tcPr>
            <w:tcW w:type="dxa" w:w="1150"/>
            <w:tcBorders>
              <w:top w:val="single" w:color="CCCCCC" w:sz="2"/>
              <w:left w:val="single" w:color="CCCCCC" w:sz="2"/>
              <w:bottom w:val="single" w:color="CCCCCC" w:sz="2"/>
              <w:right w:val="single" w:color="CCCCCC" w:sz="2"/>
            </w:tcBorders>
            <w:tcMar>
              <w:top w:type="dxa" w:w="70"/>
              <w:left w:type="dxa" w:w="70"/>
              <w:bottom w:type="dxa" w:w="70"/>
              <w:right w:type="dxa" w:w="70"/>
            </w:tcMar>
          </w:tcPr>
          <w:p>
            <w:pPr>
              <w:spacing w:line="220"/>
            </w:pPr>
            <w:r>
              <w:rPr>
                <w:rFonts w:ascii="Calibri" w:cs="Calibri" w:eastAsia="Calibri" w:hAnsi="Calibri"/>
                <w:color w:val="1A1A1A"/>
                <w:sz w:val="15"/>
                <w:szCs w:val="15"/>
              </w:rPr>
              <w:t xml:space="preserve">No — custom quotes</w:t>
            </w:r>
          </w:p>
        </w:tc>
        <w:tc>
          <w:tcPr>
            <w:tcW w:type="dxa" w:w="1150"/>
            <w:tcBorders>
              <w:top w:val="single" w:color="CCCCCC" w:sz="2"/>
              <w:left w:val="single" w:color="CCCCCC" w:sz="2"/>
              <w:bottom w:val="single" w:color="CCCCCC" w:sz="2"/>
              <w:right w:val="single" w:color="CCCCCC" w:sz="2"/>
            </w:tcBorders>
            <w:tcMar>
              <w:top w:type="dxa" w:w="70"/>
              <w:left w:type="dxa" w:w="70"/>
              <w:bottom w:type="dxa" w:w="70"/>
              <w:right w:type="dxa" w:w="70"/>
            </w:tcMar>
          </w:tcPr>
          <w:p>
            <w:pPr>
              <w:spacing w:line="220"/>
            </w:pPr>
            <w:r>
              <w:rPr>
                <w:rFonts w:ascii="Calibri" w:cs="Calibri" w:eastAsia="Calibri" w:hAnsi="Calibri"/>
                <w:color w:val="1A1A1A"/>
                <w:sz w:val="15"/>
                <w:szCs w:val="15"/>
              </w:rPr>
              <w:t xml:space="preserve">No — custom quotes</w:t>
            </w:r>
          </w:p>
        </w:tc>
        <w:tc>
          <w:tcPr>
            <w:tcW w:type="dxa" w:w="1150"/>
            <w:tcBorders>
              <w:top w:val="single" w:color="CCCCCC" w:sz="2"/>
              <w:left w:val="single" w:color="CCCCCC" w:sz="2"/>
              <w:bottom w:val="single" w:color="CCCCCC" w:sz="2"/>
              <w:right w:val="single" w:color="CCCCCC" w:sz="2"/>
            </w:tcBorders>
            <w:tcMar>
              <w:top w:type="dxa" w:w="70"/>
              <w:left w:type="dxa" w:w="70"/>
              <w:bottom w:type="dxa" w:w="70"/>
              <w:right w:type="dxa" w:w="70"/>
            </w:tcMar>
          </w:tcPr>
          <w:p>
            <w:pPr>
              <w:spacing w:line="220"/>
            </w:pPr>
            <w:r>
              <w:rPr>
                <w:rFonts w:ascii="Calibri" w:cs="Calibri" w:eastAsia="Calibri" w:hAnsi="Calibri"/>
                <w:color w:val="1A1A1A"/>
                <w:sz w:val="15"/>
                <w:szCs w:val="15"/>
              </w:rPr>
              <w:t xml:space="preserve">No — custom quotes</w:t>
            </w:r>
          </w:p>
        </w:tc>
      </w:tr>
    </w:tbl>
    <w:p>
      <w:pPr>
        <w:spacing w:after="200"/>
      </w:pPr>
    </w:p>
    <w:p>
      <w:pPr>
        <w:pStyle w:val="Heading2"/>
        <w:spacing w:after="100" w:before="220"/>
      </w:pPr>
      <w:bookmarkStart w:name="bm_21_8_3_resulting_usps_for_phoneme" w:id="1021"/>
      <w:r>
        <w:rPr>
          <w:rFonts w:ascii="Calibri" w:cs="Calibri" w:eastAsia="Calibri" w:hAnsi="Calibri"/>
          <w:b/>
          <w:bCs/>
          <w:color w:val="404040"/>
          <w:sz w:val="24"/>
          <w:szCs w:val="24"/>
        </w:rPr>
        <w:t xml:space="preserve">8.3 Resulting USPs for Phoneme HR Suite</w:t>
      </w:r>
      <w:bookmarkEnd w:id="1021"/>
    </w:p>
    <w:p>
      <w:pPr>
        <w:spacing w:after="160" w:line="300"/>
        <w:jc w:val="both"/>
      </w:pPr>
      <w:r>
        <w:rPr>
          <w:rFonts w:ascii="Calibri" w:cs="Calibri" w:eastAsia="Calibri" w:hAnsi="Calibri"/>
          <w:color w:val="1A1A1A"/>
          <w:sz w:val="22"/>
          <w:szCs w:val="22"/>
        </w:rPr>
        <w:t xml:space="preserve">Six differentiators recur across both benchmarks — each a Module 1/2 decision already locked in this document (Section 4.1/4.2), not an aspirational claim:</w:t>
      </w:r>
    </w:p>
    <w:p>
      <w:pPr>
        <w:pStyle w:val="ListParagraph"/>
        <w:numPr>
          <w:ilvl w:val="0"/>
          <w:numId w:val="6"/>
        </w:numPr>
        <w:spacing w:after="80" w:line="280"/>
      </w:pPr>
      <w:r>
        <w:rPr>
          <w:rFonts w:ascii="Calibri" w:cs="Calibri" w:eastAsia="Calibri" w:hAnsi="Calibri"/>
          <w:color w:val="1A1A1A"/>
          <w:sz w:val="22"/>
          <w:szCs w:val="22"/>
        </w:rPr>
        <w:t xml:space="preserve">Hard, immutable JD-freeze state: the JDVersion state machine locks content at the database-trigger level the instant a version is Approved. No provider researched, Indian or global, publicly documents an equivalent formal version-lock — most treat the JD as a mutable field or a plain file attachment (Keka confirmed attachment-only).</w:t>
      </w:r>
    </w:p>
    <w:p>
      <w:pPr>
        <w:pStyle w:val="ListParagraph"/>
        <w:numPr>
          <w:ilvl w:val="0"/>
          <w:numId w:val="6"/>
        </w:numPr>
        <w:spacing w:after="80" w:line="280"/>
      </w:pPr>
      <w:r>
        <w:rPr>
          <w:rFonts w:ascii="Calibri" w:cs="Calibri" w:eastAsia="Calibri" w:hAnsi="Calibri"/>
          <w:color w:val="1A1A1A"/>
          <w:sz w:val="22"/>
          <w:szCs w:val="22"/>
        </w:rPr>
        <w:t xml:space="preserve">Manager approval by native email-reply NLP parsing, with no portal login required — not found in any of the eleven providers' public documentation, all of which assume in-portal approval.</w:t>
      </w:r>
    </w:p>
    <w:p>
      <w:pPr>
        <w:pStyle w:val="ListParagraph"/>
        <w:numPr>
          <w:ilvl w:val="0"/>
          <w:numId w:val="6"/>
        </w:numPr>
        <w:spacing w:after="80" w:line="280"/>
      </w:pPr>
      <w:r>
        <w:rPr>
          <w:rFonts w:ascii="Calibri" w:cs="Calibri" w:eastAsia="Calibri" w:hAnsi="Calibri"/>
          <w:color w:val="1A1A1A"/>
          <w:sz w:val="22"/>
          <w:szCs w:val="22"/>
        </w:rPr>
        <w:t xml:space="preserve">An explicit, ToS-safe sourcing architecture — official job-board APIs/RMS integrations plus email intake and manual upload only, with no scraping — combined with a single deduplicated resume inbox. No competitor publicly states an equivalent no-scraping guarantee; the closest partial matches (Zoho Recruit's Resume Inbox, greytHR's undetailed "centralized inbox") do not document the dedup layer.</w:t>
      </w:r>
    </w:p>
    <w:p>
      <w:pPr>
        <w:pStyle w:val="ListParagraph"/>
        <w:numPr>
          <w:ilvl w:val="0"/>
          <w:numId w:val="6"/>
        </w:numPr>
        <w:spacing w:after="80" w:line="280"/>
      </w:pPr>
      <w:r>
        <w:rPr>
          <w:rFonts w:ascii="Calibri" w:cs="Calibri" w:eastAsia="Calibri" w:hAnsi="Calibri"/>
          <w:color w:val="1A1A1A"/>
          <w:sz w:val="22"/>
          <w:szCs w:val="22"/>
        </w:rPr>
        <w:t xml:space="preserve">Cross-channel duplicate-candidate detection with an append-only reversal audit trail (HR-M2-FR-006). Zero of the eleven providers researched had this publicly confirmed — the single cleanest gap found across the entire competitive set.</w:t>
      </w:r>
    </w:p>
    <w:p>
      <w:pPr>
        <w:pStyle w:val="ListParagraph"/>
        <w:numPr>
          <w:ilvl w:val="0"/>
          <w:numId w:val="6"/>
        </w:numPr>
        <w:spacing w:after="80" w:line="280"/>
      </w:pPr>
      <w:r>
        <w:rPr>
          <w:rFonts w:ascii="Calibri" w:cs="Calibri" w:eastAsia="Calibri" w:hAnsi="Calibri"/>
          <w:color w:val="1A1A1A"/>
          <w:sz w:val="22"/>
          <w:szCs w:val="22"/>
        </w:rPr>
        <w:t xml:space="preserve">True multi-tenant plus multi-client (agency) isolation enforced independently at five layers — database, message queue, search index, object storage, and webhooks (TDD Section 5.3). Only Zoho Recruit's Staffing Edition (Client Portal + Vendor Portal) offers a comparable agency-facing model among the eleven, and its isolation depth is not publicly documented to this level.</w:t>
      </w:r>
    </w:p>
    <w:p>
      <w:pPr>
        <w:pStyle w:val="ListParagraph"/>
        <w:numPr>
          <w:ilvl w:val="0"/>
          <w:numId w:val="6"/>
        </w:numPr>
        <w:spacing w:after="80" w:line="280"/>
      </w:pPr>
      <w:r>
        <w:rPr>
          <w:rFonts w:ascii="Calibri" w:cs="Calibri" w:eastAsia="Calibri" w:hAnsi="Calibri"/>
          <w:color w:val="1A1A1A"/>
          <w:sz w:val="22"/>
          <w:szCs w:val="22"/>
        </w:rPr>
        <w:t xml:space="preserve">A weighted scoring matrix auto-generated from the frozen JD, with a hard validation rule that weights must sum to exactly 100% before freeze (HR-M1-FR-006) — not found in any provider researched.</w:t>
      </w:r>
    </w:p>
    <w:p>
      <w:pPr>
        <w:spacing w:after="200"/>
      </w:pPr>
    </w:p>
    <w:p>
      <w:pPr>
        <w:pStyle w:val="Heading1"/>
        <w:spacing w:after="140" w:before="320"/>
      </w:pPr>
      <w:bookmarkStart w:name="bm_22_9_road_ahead_sdlc_sequence" w:id="1022"/>
      <w:r>
        <w:rPr>
          <w:rFonts w:ascii="Calibri" w:cs="Calibri" w:eastAsia="Calibri" w:hAnsi="Calibri"/>
          <w:b/>
          <w:bCs/>
          <w:color w:val="D34817"/>
          <w:sz w:val="30"/>
          <w:szCs w:val="30"/>
        </w:rPr>
        <w:t xml:space="preserve">9. Road Ahead — SDLC Sequence</w:t>
      </w:r>
      <w:bookmarkEnd w:id="1022"/>
    </w:p>
    <w:p>
      <w:pPr>
        <w:spacing w:after="160" w:line="300"/>
        <w:jc w:val="both"/>
      </w:pPr>
      <w:r>
        <w:rPr>
          <w:rFonts w:ascii="Calibri" w:cs="Calibri" w:eastAsia="Calibri" w:hAnsi="Calibri"/>
          <w:color w:val="1A1A1A"/>
          <w:sz w:val="22"/>
          <w:szCs w:val="22"/>
        </w:rPr>
        <w:t xml:space="preserve">This BRD/PRD is the first of a set of documents produced per module as the SDLC proceeds. The sequence for each module is: (1) BRD/PRD — this document, requirements only; (2) Technical Design — data schema, API contracts, and integration specs, produced once a module's requirements reach Approved Baseline; (3) UX/screen specification, where a module has a significant user-facing surface; (4) Test/acceptance plan, developed alongside the Technical Design rather than only after it. Once every module has cleared all applicable stages, a single consolidated Proposal document — carrying pricing, commercial terms, and delivery plan — is generated from this material for presentation to B2B customers. A Requirement Traceability Register (Section 5) is maintained as a living companion document from this baseline onward, linking each requirement ID through design, build, and test evidence.</w:t>
      </w:r>
    </w:p>
    <w:p>
      <w:pPr>
        <w:pStyle w:val="ListParagraph"/>
        <w:numPr>
          <w:ilvl w:val="0"/>
          <w:numId w:val="2"/>
        </w:numPr>
        <w:spacing w:after="80" w:line="280"/>
      </w:pPr>
      <w:r>
        <w:rPr>
          <w:rFonts w:ascii="Calibri" w:cs="Calibri" w:eastAsia="Calibri" w:hAnsi="Calibri"/>
          <w:color w:val="1A1A1A"/>
          <w:sz w:val="22"/>
          <w:szCs w:val="22"/>
        </w:rPr>
        <w:t xml:space="preserve">Modules 1 &amp; 2: Draft v2.1, build-ready in content and pending formal Reviewed/Approved sign-off (this document) — Technical Design v2.1, same status, in progress alongside (see the companion Technical Design Document); Release 1 build scope.</w:t>
      </w:r>
    </w:p>
    <w:p>
      <w:pPr>
        <w:pStyle w:val="ListParagraph"/>
        <w:numPr>
          <w:ilvl w:val="0"/>
          <w:numId w:val="2"/>
        </w:numPr>
        <w:spacing w:after="80" w:line="280"/>
      </w:pPr>
      <w:r>
        <w:rPr>
          <w:rFonts w:ascii="Calibri" w:cs="Calibri" w:eastAsia="Calibri" w:hAnsi="Calibri"/>
          <w:color w:val="1A1A1A"/>
          <w:sz w:val="22"/>
          <w:szCs w:val="22"/>
        </w:rPr>
        <w:t xml:space="preserve">Module 3 onward: requirements to reach Approved Baseline in sequence, following the same process demonstrated for Modules 1 &amp; 2, as they are brought into a future release.</w:t>
      </w:r>
    </w:p>
    <w:p>
      <w:pPr>
        <w:pStyle w:val="ListParagraph"/>
        <w:numPr>
          <w:ilvl w:val="0"/>
          <w:numId w:val="2"/>
        </w:numPr>
        <w:spacing w:after="80" w:line="280"/>
      </w:pPr>
      <w:r>
        <w:rPr>
          <w:rFonts w:ascii="Calibri" w:cs="Calibri" w:eastAsia="Calibri" w:hAnsi="Calibri"/>
          <w:color w:val="1A1A1A"/>
          <w:sz w:val="22"/>
          <w:szCs w:val="22"/>
        </w:rPr>
        <w:t xml:space="preserve">Final Proposal document: generated only once all module-level documents across all applicable stages are frozen, incorporating the pricing and commercial-terms decisions from Section 6.</w:t>
      </w:r>
    </w:p>
    <w:sectPr>
      <w:headerReference w:type="default" r:id="rId7"/>
      <w:footerReference w:type="default" r:id="rId8"/>
      <w:pgSz w:w="12240" w:h="15840" w:orient="portrait"/>
      <w:pgMar w:top="1440" w:right="1300" w:bottom="1440" w:left="1300" w:header="708" w:footer="708" w:gutter="0"/>
      <w:pgBorders w:display="allPages" w:offsetFrom="page" w:zOrder="front">
        <w:top w:val="single" w:color="404040" w:sz="10" w:space="24"/>
        <w:left w:val="single" w:color="404040" w:sz="10" w:space="24"/>
        <w:bottom w:val="single" w:color="404040" w:sz="10" w:space="24"/>
        <w:right w:val="single" w:color="404040" w:sz="10" w:space="24"/>
      </w:pgBorders>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6E6E6E"/>
        <w:sz w:val="16"/>
        <w:szCs w:val="16"/>
      </w:rPr>
      <w:t xml:space="preserve">Confidential | Phoneme HR Suite | Page </w:t>
    </w:r>
    <w:r>
      <w:rPr>
        <w:rFonts w:ascii="Calibri" w:cs="Calibri" w:eastAsia="Calibri" w:hAnsi="Calibri"/>
        <w:color w:val="6E6E6E"/>
        <w:sz w:val="16"/>
        <w:szCs w:val="16"/>
      </w:rPr>
      <w:fldChar w:fldCharType="begin"/>
      <w:instrText xml:space="preserve">PAGE</w:instrText>
      <w:fldChar w:fldCharType="separate"/>
      <w:fldChar w:fldCharType="end"/>
    </w:r>
    <w:r>
      <w:rPr>
        <w:rFonts w:ascii="Calibri" w:cs="Calibri" w:eastAsia="Calibri" w:hAnsi="Calibri"/>
        <w:color w:val="6E6E6E"/>
        <w:sz w:val="16"/>
        <w:szCs w:val="16"/>
      </w:rPr>
      <w:t xml:space="preserve"> of </w:t>
    </w:r>
    <w:r>
      <w:rPr>
        <w:rFonts w:ascii="Calibri" w:cs="Calibri" w:eastAsia="Calibri" w:hAnsi="Calibri"/>
        <w:color w:val="6E6E6E"/>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9000"/>
      <w:tblBorders>
        <w:top w:val="none" w:color="FFFFFF" w:sz="0"/>
        <w:left w:val="none" w:color="FFFFFF" w:sz="0"/>
        <w:bottom w:val="none" w:color="FFFFFF" w:sz="0"/>
        <w:right w:val="none" w:color="FFFFFF" w:sz="0"/>
        <w:insideH w:val="single" w:color="auto" w:sz="4"/>
        <w:insideV w:val="single" w:color="auto" w:sz="4"/>
      </w:tblBorders>
    </w:tblPr>
    <w:tblGrid>
      <w:gridCol w:w="4500"/>
      <w:gridCol w:w="4500"/>
    </w:tblGrid>
    <w:tr>
      <w:tc>
        <w:tcPr>
          <w:tcW w:type="dxa" w:w="4500"/>
          <w:tcBorders>
            <w:top w:val="none" w:color="FFFFFF" w:sz="0"/>
            <w:left w:val="none" w:color="FFFFFF" w:sz="0"/>
            <w:bottom w:val="none" w:color="FFFFFF" w:sz="0"/>
            <w:right w:val="none" w:color="FFFFFF" w:sz="0"/>
          </w:tcBorders>
        </w:tcPr>
        <w:p>
          <w:r>
            <w:drawing>
              <wp:inline distT="0" distB="0" distL="0" distR="0">
                <wp:extent cx="1123950" cy="2476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1123950" cy="247650"/>
                        </a:xfrm>
                        <a:prstGeom prst="rect">
                          <a:avLst/>
                        </a:prstGeom>
                      </pic:spPr>
                    </pic:pic>
                  </a:graphicData>
                </a:graphic>
              </wp:inline>
            </w:drawing>
          </w:r>
        </w:p>
      </w:tc>
      <w:tc>
        <w:tcPr>
          <w:tcW w:type="dxa" w:w="4500"/>
          <w:tcBorders>
            <w:top w:val="none" w:color="FFFFFF" w:sz="0"/>
            <w:left w:val="none" w:color="FFFFFF" w:sz="0"/>
            <w:bottom w:val="none" w:color="FFFFFF" w:sz="0"/>
            <w:right w:val="none" w:color="FFFFFF" w:sz="0"/>
          </w:tcBorders>
        </w:tcPr>
        <w:p>
          <w:pPr>
            <w:jc w:val="right"/>
          </w:pPr>
          <w:r>
            <w:rPr>
              <w:rFonts w:ascii="Calibri" w:cs="Calibri" w:eastAsia="Calibri" w:hAnsi="Calibri"/>
              <w:color w:val="6E6E6E"/>
              <w:sz w:val="16"/>
              <w:szCs w:val="16"/>
            </w:rPr>
            <w:t xml:space="preserve">BRD / PRD</w:t>
          </w:r>
        </w:p>
      </w:tc>
    </w:tr>
  </w:tbl>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lvl>
  </w:abstractNum>
  <w:abstractNum w:abstractNumId="3" w15:restartNumberingAfterBreak="0">
    <w:multiLevelType w:val="hybridMultilevel"/>
    <w:lvl w:ilvl="0" w15:tentative="1">
      <w:start w:val="1"/>
      <w:numFmt w:val="decimal"/>
      <w:lvlText w:val="%1."/>
      <w:lvlJc w:val="left"/>
      <w:pPr>
        <w:ind w:left="460" w:hanging="260"/>
      </w:pPr>
    </w:lvl>
  </w:abstractNum>
  <w:abstractNum w:abstractNumId="4" w15:restartNumberingAfterBreak="0">
    <w:multiLevelType w:val="hybridMultilevel"/>
    <w:lvl w:ilvl="0" w15:tentative="1">
      <w:start w:val="1"/>
      <w:numFmt w:val="decimal"/>
      <w:lvlText w:val="%1."/>
      <w:lvlJc w:val="left"/>
      <w:pPr>
        <w:ind w:left="460" w:hanging="260"/>
      </w:pPr>
    </w:lvl>
  </w:abstractNum>
  <w:abstractNum w:abstractNumId="5" w15:restartNumberingAfterBreak="0">
    <w:multiLevelType w:val="hybridMultilevel"/>
    <w:lvl w:ilvl="0" w15:tentative="1">
      <w:start w:val="1"/>
      <w:numFmt w:val="decimal"/>
      <w:lvlText w:val="%1."/>
      <w:lvlJc w:val="left"/>
      <w:pPr>
        <w:ind w:left="460" w:hanging="260"/>
      </w:pPr>
    </w:lvl>
  </w:abstractNum>
  <w:abstractNum w:abstractNumId="6" w15:restartNumberingAfterBreak="0">
    <w:multiLevelType w:val="hybridMultilevel"/>
    <w:lvl w:ilvl="0" w15:tentative="1">
      <w:start w:val="1"/>
      <w:numFmt w:val="decimal"/>
      <w:lvlText w:val="%1."/>
      <w:lvlJc w:val="left"/>
      <w:pPr>
        <w:ind w:left="460" w:hanging="2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1edd248455318f3da3f5928023b32e5fc6c76574.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Relationship Id="rId0" Type="http://schemas.openxmlformats.org/officeDocument/2006/relationships/image" Target="media/1edd248455318f3da3f5928023b32e5fc6c76574.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2026-09-15T12:59:14.746Z</dcterms:created>
  <dcterms:modified xsi:type="dcterms:W3CDTF">2026-09-15T12:59:14.746Z</dcterms:modified>
</cp:coreProperties>
</file>

<file path=docProps/custom.xml><?xml version="1.0" encoding="utf-8"?>
<Properties xmlns="http://schemas.openxmlformats.org/officeDocument/2006/custom-properties" xmlns:vt="http://schemas.openxmlformats.org/officeDocument/2006/docPropsVTypes"/>
</file>