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40"/>
              <w:jc w:val="center"/>
            </w:pPr>
            <w:r>
              <w:rPr>
                <w:rFonts w:ascii="Calibri" w:cs="Calibri" w:eastAsia="Calibri" w:hAnsi="Calibri"/>
                <w:b/>
                <w:bCs/>
                <w:color w:val="FFFFFF"/>
                <w:sz w:val="40"/>
                <w:szCs w:val="40"/>
              </w:rPr>
              <w:t xml:space="preserve">Teamora</w:t>
            </w:r>
          </w:p>
          <w:p>
            <w:pPr>
              <w:spacing w:after="120"/>
              <w:jc w:val="center"/>
            </w:pPr>
            <w:r>
              <w:rPr>
                <w:rFonts w:ascii="Calibri" w:cs="Calibri" w:eastAsia="Calibri" w:hAnsi="Calibri"/>
                <w:i/>
                <w:iCs/>
                <w:color w:val="FFFFFF"/>
                <w:sz w:val="20"/>
                <w:szCs w:val="20"/>
              </w:rPr>
              <w:t xml:space="preserve">People. Potential. Progress.</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Teamora: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2.4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1, 3, 4, 5, 6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critical/high review findings: replaced "locked" language with a formal Draft/Reviewed/Approved Baseline/Superseded status lifecycle (Section 1.2); stated the Release 1 boundary as Modules 1-2 only, with Modules 3-10 marked as roadmap (Section 1.3, 3, 4.3); added the staffing-agency/multi-client tenant model as an in-scope Release 1 requirement and resolved the corresponding open dependency; excluded soft-skill/behavioral signals entirely from the screening-stage scoring matrix per business decision, removing the prior contradiction with the locked no-numeric-soft-skill-scoring rule (Section 4.1); reworked the JD-freeze process flow to reflect a draft-then-freeze scoring matrix rather than a matrix generated only at the freeze moment; added requirement IDs (HR-M1-FR-xxx / HR-M2-FR-xxx) and an Acceptance Scenarios table to both Module 1 and Module 2 (Section 4.1, 4.2); corrected the resume-format claim to PDF/DOCX only, matching the Technical Design (Section 4.2); added measurable, testable acceptance thresholds and a traceability-register requirement (Section 5); updated Naukri RMS/LinkedIn Talent Solutions references to reflect their proposed-adapter-contract status pending vendor confirmation</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1.2, 3, 4.1, 4.2, 5, 6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second-pass review findings: relabeled module and document status from "Approved Baseline" to "Draft, pending Reviewed/Approved sign-off" throughout, since no actual approver/date was recorded — status now requires an actual Authorization-table entry, not just build-ready content (Section 1.2, 3, 4.1, 4.2, 5); fixed the HR-M1-FR-007 inconsistency with the Technical Design by stating a direct-employer requisition with a client selected is rejected (422), not silently ignored, and added the corresponding scenario; extended Acceptance Scenarios coverage from 8 to all 16 requirement IDs across both modules; added concrete (provisional, pending Product/Engineering sign-off) measurable targets for duplicate-detection precision, resume-parsing accuracy/time, search latency/volume, upload limits, and availability/RPO/RTO (Section 5); added dependencies for sign-off on those provisional targets and for scheduling the formal document review/approval itself (Section 6); aligned the Client Stakeholder dependency wording with the Technical Design's explicit Release 1 deferral rather than leaving it open-ended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1.2, 8, 9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Added new Section 8, Competitive Landscape &amp; USP Analysis: a feature cross-matrix benchmarking Module 1/2 capabilities against six Indian (Darwinbox, Keka, greytHR, Zoho Recruit, PeopleStrong, Turbohire) and five global (Workday Recruiting, BambooHR, Greenhouse, Lever, SmartRecruiters) ATS/HRMS providers, drawn from each provider's public product/help/pricing pages (Sep 2026), plus the resulting six USPs; renumbered the former Section 8 (Road Ahead) to Section 9 and updated its cross-references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17-Sep-2026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1.1, 2, 6, 8</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Product/brand name confirmed and applied throughout: renamed from the working name "Phoneme HR Suite" to "Teamora" (by Phoneme, tagline "One place for your people.") on the cover page, running footer, Document Control, and every in-body reference (Section 1.1, 2.2, 8); removed the now-resolved brand-name-confirmation item from Section 6 Dependencies. Phoneme Solutions Pvt. Ltd. remains the submitting company; "Teamora" is the product/customer-facing name only.</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2.4</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18-Sep-2026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1.1, Document Control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Brand finalization: dropped the "by Phoneme" line from the product lockup (cover, running footer, Document Description) — Phoneme remains the submitting company via the Authorization/cover fields only, not as part of the product name; replaced the working tagline "One place for your people." with the finalized tagline "People. Potential. Progress." everywhere it appears. No requirement content changed.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Status: Draft v2.1, pending Reviewed/Approved sign-off (supersedes v1.0)</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Status: Draft v2.1, pending Reviewed/Approved sign-off (supersedes v1.0)</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(Draft, roadmap — not part of Release 1)</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Competitive Landscape &amp; USP Analysis</w:t>
      </w:r>
      <w:r>
        <w:rPr>
          <w:rFonts w:ascii="Calibri" w:cs="Calibri" w:eastAsia="Calibri" w:hAnsi="Calibri"/>
          <w:sz w:val="19"/>
          <w:szCs w:val="19"/>
        </w:rPr>
        <w:t xml:space="preserve">	</w:t>
      </w:r>
      <w:r>
        <w:fldChar w:fldCharType="begin" w:dirty="true"/>
        <w:instrText xml:space="preserve">PAGEREF bm_18_8_competitive_landscape_usp_an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8.1 Indian HRMS/ATS Providers</w:t>
      </w:r>
      <w:r>
        <w:rPr>
          <w:rFonts w:ascii="Calibri" w:cs="Calibri" w:eastAsia="Calibri" w:hAnsi="Calibri"/>
          <w:sz w:val="19"/>
          <w:szCs w:val="19"/>
        </w:rPr>
        <w:t xml:space="preserve">	</w:t>
      </w:r>
      <w:r>
        <w:fldChar w:fldCharType="begin" w:dirty="true"/>
        <w:instrText xml:space="preserve">PAGEREF bm_19_8_1_indian_hrms_ats_providers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8.2 Global ATS/HRMS Providers</w:t>
      </w:r>
      <w:r>
        <w:rPr>
          <w:rFonts w:ascii="Calibri" w:cs="Calibri" w:eastAsia="Calibri" w:hAnsi="Calibri"/>
          <w:sz w:val="19"/>
          <w:szCs w:val="19"/>
        </w:rPr>
        <w:t xml:space="preserve">	</w:t>
      </w:r>
      <w:r>
        <w:fldChar w:fldCharType="begin" w:dirty="true"/>
        <w:instrText xml:space="preserve">PAGEREF bm_20_8_2_global_ats_hrms_providers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8.3 Resulting USPs for Teamora</w:t>
      </w:r>
      <w:r>
        <w:rPr>
          <w:rFonts w:ascii="Calibri" w:cs="Calibri" w:eastAsia="Calibri" w:hAnsi="Calibri"/>
          <w:sz w:val="19"/>
          <w:szCs w:val="19"/>
        </w:rPr>
        <w:t xml:space="preserve">	</w:t>
      </w:r>
      <w:r>
        <w:fldChar w:fldCharType="begin" w:dirty="true"/>
        <w:instrText xml:space="preserve">PAGEREF bm_21_8_3_resulting_usps_for_teamora</w:instrText>
        <w:fldChar w:fldCharType="end"/>
      </w:r>
    </w:p>
    <w:p>
      <w:pPr>
        <w:tabs>
          <w:tab w:val="right" w:pos="9350" w:leader="dot"/>
        </w:tabs>
        <w:spacing w:after="60" w:line="240"/>
      </w:pPr>
      <w:r>
        <w:rPr>
          <w:rFonts w:ascii="Calibri" w:cs="Calibri" w:eastAsia="Calibri" w:hAnsi="Calibri"/>
          <w:b/>
          <w:bCs/>
          <w:color w:val="000000"/>
          <w:sz w:val="21"/>
          <w:szCs w:val="21"/>
        </w:rPr>
        <w:t xml:space="preserve">9. Road Ahead — SDLC Sequence</w:t>
      </w:r>
      <w:r>
        <w:rPr>
          <w:rFonts w:ascii="Calibri" w:cs="Calibri" w:eastAsia="Calibri" w:hAnsi="Calibri"/>
          <w:sz w:val="19"/>
          <w:szCs w:val="19"/>
        </w:rPr>
        <w:t xml:space="preserve">	</w:t>
      </w:r>
      <w:r>
        <w:fldChar w:fldCharType="begin" w:dirty="true"/>
        <w:instrText xml:space="preserve">PAGEREF bm_22_9_road_ahead_sdlc_sequence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Teamora — "People. Potential. Progress." —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Teamora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9). Each module's requirement set moves through a formal status lifecycle — Draft → Reviewed → Approved Baseline → (on later revision) Superseded — rather than a single informal "locked" label; a status of Approved Baseline is recorded only once an actual Reviewed-by/Approved-by name and date appear in this document's own Authorization table, never inferred from requirement detail alone. Two of the ten process modules — JD Intake &amp; Freezing, and Candidate Sourcing &amp; Resume Aggregation — carry Draft v2.1 requirement detail in Section 4, build-ready in content but pending that formal review/approval step; the remaining eight are scoped at requirement level (Draft) and will follow the same path in sequence.</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Release 1 boundary: the build-ready scope of this document, and of the companion Technical Design Document, is Module 1 (JD Intake &amp; Freezing) and Module 2 (Sourcing &amp; Resume Aggregation) only. Modules 3–10 remain requirement-level roadmap content (Section 4.3) and are explicitly out of scope for Release 1 build work — they are not implied to ship alongside Modules 1–2. Release 1 also includes, as an in-scope (not deferred) requirement, the staffing-agency / multi-client tenant model: a tenant may operate as a direct employer or as a staffing agency managing requisitions and candidates on behalf of multiple end-client companies, and this distinction is reflected throughout the Module 1 and Module 2 requirements below.</w:t>
      </w:r>
    </w:p>
    <w:p>
      <w:pPr>
        <w:spacing w:after="160" w:line="300"/>
        <w:jc w:val="both"/>
      </w:pPr>
      <w:r>
        <w:rPr>
          <w:rFonts w:ascii="Calibri" w:cs="Calibri" w:eastAsia="Calibri" w:hAnsi="Calibri"/>
          <w:color w:val="1A1A1A"/>
          <w:sz w:val="22"/>
          <w:szCs w:val="22"/>
        </w:rPr>
        <w:t xml:space="preserve">In scope for requirements across the full ten-module roadmap: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Talent Solutions, and equivalent official job-board employer integrations — the sourcing-channel standard adopted in Section 4.2, pending vendor/product-tier confirmation (Section 6).</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Teamora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 Modules 1 and 2 are the Release 1 build scope (Section 1.3); Modules 3–10 are roadmap content, not part of Release 1.</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Draft v2.1, pending approval, Release 1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Draft v2.1, pending approval, Release 1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roadmap;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roadmap;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roadmap;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roadmap;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roadmap;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roadmap;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roadmap;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roadmap;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built out to build-ready depth to date, followed by the current requirement-level (Draft)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Status: Draft v2.1, pending Reviewed/Approved sign-off (supersedes v1.0)</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alongside an editable draft weighted scoring matrix, routes them for manager review and sign-off, and — at freeze — approves the JD version and its then-current matrix together, becoming the baseline every downstream module scores against. Release 1 includes the staffing-agency / multi-client tenant model: for an agency tenant, every requisition is raised against one of its end-client companies (Section 1.3); for a direct-employer tenant, no client selection applies.</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reviews and, once satisfied, adjusts the auto-generated draft scoring matrix (weights per category) directly in the portal — the draft matrix is generated alongside the JD variants in step 3 and remains editable through every review round, not only at the final moment.</w:t>
      </w:r>
    </w:p>
    <w:p>
      <w:pPr>
        <w:pStyle w:val="ListParagraph"/>
        <w:numPr>
          <w:ilvl w:val="0"/>
          <w:numId w:val="4"/>
        </w:numPr>
        <w:spacing w:after="80" w:line="280"/>
      </w:pPr>
      <w:r>
        <w:rPr>
          <w:rFonts w:ascii="Calibri" w:cs="Calibri" w:eastAsia="Calibri" w:hAnsi="Calibri"/>
          <w:color w:val="1A1A1A"/>
          <w:sz w:val="22"/>
          <w:szCs w:val="22"/>
        </w:rPr>
        <w:t xml:space="preserve">Manager freezes: the currently Pending-Approval JD version and its bound draft matrix are approved together in one action. The newly Approved version becomes JobRequisition's current version; if an earlier version was previously Approved, it is marked Superseded (its content retained, never deleted or overwritten) rather than replaced in place.</w:t>
      </w:r>
    </w:p>
    <w:p>
      <w:pPr>
        <w:pStyle w:val="ListParagraph"/>
        <w:numPr>
          <w:ilvl w:val="0"/>
          <w:numId w:val="4"/>
        </w:numPr>
        <w:spacing w:after="80" w:line="280"/>
      </w:pPr>
      <w:r>
        <w:rPr>
          <w:rFonts w:ascii="Calibri" w:cs="Calibri" w:eastAsia="Calibri" w:hAnsi="Calibri"/>
          <w:color w:val="1A1A1A"/>
          <w:sz w:val="22"/>
          <w:szCs w:val="22"/>
        </w:rPr>
        <w:t xml:space="preserve">A JD may be revised after an initial freeze (e.g. a role's requirements change): the same review/adjustment/freeze loop (steps 5–8) runs again and produces a new Approved version, superseding the one before it — this is a normal, supported path, not an exception.</w:t>
      </w:r>
    </w:p>
    <w:p>
      <w:pPr>
        <w:pStyle w:val="Heading3"/>
        <w:spacing w:after="80" w:before="160"/>
      </w:pPr>
      <w:r>
        <w:rPr>
          <w:rFonts w:ascii="Calibri" w:cs="Calibri" w:eastAsia="Calibri" w:hAnsi="Calibri"/>
          <w:b/>
          <w:bCs/>
          <w:color w:val="000000"/>
          <w:sz w:val="22"/>
          <w:szCs w:val="22"/>
        </w:rPr>
        <w:t xml:space="preserve">Scoring Matrix — Default Weight Bands</w:t>
      </w:r>
    </w:p>
    <w:p>
      <w:pPr>
        <w:spacing w:after="160" w:line="300"/>
        <w:jc w:val="both"/>
      </w:pPr>
      <w:r>
        <w:rPr>
          <w:rFonts w:ascii="Calibri" w:cs="Calibri" w:eastAsia="Calibri" w:hAnsi="Calibri"/>
          <w:color w:val="1A1A1A"/>
          <w:sz w:val="22"/>
          <w:szCs w:val="22"/>
        </w:rPr>
        <w:t xml:space="preserve">Business decision (Release 1): soft-skill / behavioral signals are excluded entirely from the scoring matrix at JD-freeze and screening stage — no numeric weight, band, or proxy score is generated for them at this stage. They are captured as free text on the JD brief where relevant, and are assessed only qualitatively, by a human interviewer, at the structured interview stage (Module 5). The weight bands below cover only the categories that are numerically scored at screening; a matrix's weights must sum to exactly 100% before it can be approved.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35–55%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25–40%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15–30%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an Approved version is immutable and only ever superseded, never overwritten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Draft-then-freeze weighted scoring matrix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generated as an editable draft alongside the JD variants (not only at freeze), weights adjustable by the manager through every review round, approved atomically with the JD version at freeze; weights must sum to exactly 100% to approve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Staffing-agency / multi-client requisitions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requisition is raised against a specific end-client company; a direct-employer tenant has no client selection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an Approved JD + matrix as a reusable template for recurring roles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An Approved JD version and its matrix are immutable; any further change creates a new version through the same review/approval loop and, on its own approval, supersedes the prior Approved version rather than overwriting it.</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The scoring matrix is generated as an editable draft alongside the JD variants and remains editable by the manager through every review round; freezing approves the JD version and its then-current draft matrix together in one action — no matrix goes live without a human setting eyes on the weights, and the weights must sum to exactly 100%.</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only and are excluded entirely from the numeric screening-stage scoring matrix; they are assessed solely through qualitative human judgment at the structured interview stage (Module 5).</w:t>
      </w:r>
    </w:p>
    <w:p>
      <w:pPr>
        <w:pStyle w:val="ListParagraph"/>
        <w:numPr>
          <w:ilvl w:val="0"/>
          <w:numId w:val="2"/>
        </w:numPr>
        <w:spacing w:after="80" w:line="280"/>
      </w:pPr>
      <w:r>
        <w:rPr>
          <w:rFonts w:ascii="Calibri" w:cs="Calibri" w:eastAsia="Calibri" w:hAnsi="Calibri"/>
          <w:color w:val="1A1A1A"/>
          <w:sz w:val="22"/>
          <w:szCs w:val="22"/>
        </w:rPr>
        <w:t xml:space="preserve">Release 1 includes the staffing-agency / multi-client tenant model: an agency tenant's requisition must specify an end-client company; a direct-employer tenant's does not.</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succeeds; new JD version and matrix set to Approved; prior Approved version (if any) set to Superseded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do not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request rejected with the offending total returned; no state change to the requisition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managers attempt to freeze the same requisition simultaneously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Exactly one freeze succeeds atomically; the second is rejected against the now-current state, not silently overwritten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edits a JD after it has already been Approved (frozen)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edit to the Approved version is rejected; the edit instead opens a new Draft/Revising version through the standard review loop</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repeats an identical freeze request already applied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Second request is a no-op against the same Approved version — no duplicate version or duplicate matrix is created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manager submits a brief without selecting a 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a client selection is required before the brief is accepted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direct-employer-tenant manager submits a brief with a client selected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 a direct-employer tenant has no client to select, and the field must be left unset rather than populated; consistent with agency-without-client-selected being rejected the same way, not silently ignored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a brief with a field the NLP extraction cannot confidently identify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Field is flagged low-confidence and manager_confirmed is forced false; the field cannot feed an Approved JD until the manager explicitly confirms or corrects it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Structured brief data is complete enough to generate variants</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System produces all three JD variants (formal, candidate-friendly, condensed); none is silently skipped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replies to the review email with a low-confidence or ambiguous instruction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Reply is not auto-applied; routed to a portal confirmation step for the manager to confirm the intended change before it is applied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does not respond within the configured SLA window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reminder fires at the configured threshold, followed by an HR escalation if still unresolved; both fire on a scheduled check, not only when the manager next opens a request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saves an Approved JD + matrix as a template and later reuses it for a new requisition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New requisition pre-populates from the template; the template itself is unaffected by later edits to the requisition created from it</w:t>
            </w:r>
          </w:p>
        </w:tc>
      </w:tr>
    </w:tbl>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Status: Draft v2.1, pending Reviewed/Approved sign-off (supersedes v1.0)</w:t>
      </w:r>
      <w:bookmarkEnd w:id="1013"/>
    </w:p>
    <w:p>
      <w:pPr>
        <w:spacing w:after="160" w:line="300"/>
        <w:jc w:val="both"/>
      </w:pPr>
      <w:r>
        <w:rPr>
          <w:rFonts w:ascii="Calibri" w:cs="Calibri" w:eastAsia="Calibri" w:hAnsi="Calibri"/>
          <w:color w:val="1A1A1A"/>
          <w:sz w:val="22"/>
          <w:szCs w:val="22"/>
        </w:rPr>
        <w:t xml:space="preserve">Once a JD is frozen (Approved), it is published to sourcing channels and resumes begin flowing into the system — via job-board integration, direct email, or manual upload — into one unified, deduplicated candidate pool scoped to the owning tenant and, for an agency tenant, its specific end-client.</w:t>
      </w:r>
    </w:p>
    <w:p>
      <w:pPr>
        <w:spacing w:after="140" w:line="280"/>
        <w:jc w:val="both"/>
      </w:pPr>
      <w:r>
        <w:rPr>
          <w:rFonts w:ascii="Calibri" w:cs="Calibri" w:eastAsia="Calibri" w:hAnsi="Calibri"/>
          <w:b/>
          <w:bCs/>
          <w:color w:val="000000"/>
          <w:sz w:val="22"/>
          <w:szCs w:val="22"/>
        </w:rPr>
        <w:t xml:space="preserve">Approved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Talent Solutions,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 Naukri RMS and LinkedIn Talent Solutions are, as of this baseline, proposed adapter contracts pending vendor/product-tier confirmation (Section 6) — not yet confirmed vendor capabilities.</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(Approved)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 — pending vendor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Talent Solutions API integration — exact product pending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an Approved requisition to the careers page and contracted job-board integrations from one action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Talent Solutions / equivalent official integrations only</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per-(tenant, client) inbox auto-parses incoming resumes/attachments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PDF and DOCX resumes, Release 1's supported formats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scoped to (tenant, client), instead of separate per-source screens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 with conflict handling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 conflicting evidence routes to a recruiter for manual review rather than an automatic decision, and every resolution (linked, rejected, or later reversed) is retained for audit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caller's (tenant, client)-scoped candidate pool</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scoped to its owning (tenant, client) and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 scoped within (tenant, client) — the same person applying through two different agency clients is not treated as a duplicate, by design.</w:t>
      </w:r>
    </w:p>
    <w:p>
      <w:pPr>
        <w:pStyle w:val="ListParagraph"/>
        <w:numPr>
          <w:ilvl w:val="0"/>
          <w:numId w:val="2"/>
        </w:numPr>
        <w:spacing w:after="80" w:line="280"/>
      </w:pPr>
      <w:r>
        <w:rPr>
          <w:rFonts w:ascii="Calibri" w:cs="Calibri" w:eastAsia="Calibri" w:hAnsi="Calibri"/>
          <w:color w:val="1A1A1A"/>
          <w:sz w:val="22"/>
          <w:szCs w:val="22"/>
        </w:rPr>
        <w:t xml:space="preserve">Release 1 supports PDF and DOCX resumes only; other formats (.doc, .rtf, .pages, scanned images) are rejected at intake with an explicit unsupported-format error and routed to a manual structured-entry fallback rather than silently dropped or misparsed — this corrects an earlier, broader "any resume format" claim.</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vendor confirms the exact contracted integration product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Section 6 open dependency closes; Naukri RMS / LinkedIn Talent Solutions status in this document is updated from proposed to confirmed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uploads a scanned (image-only) or password-protected PDF</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is detected as unparseable rather than silently producing an empty or garbled parse; routed to the manual structured-entry fallback</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resumes match on email but disagree on candidate name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Routed to a recruiter review queue as a conflict, not auto-linked and not auto-rejected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finds an auto-link was incorrect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can reverse the link; the original decision is retained for audit and the two candidate records are split back apart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 recruiter searches the unified inbox</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Results are limited to the recruiter's authorized (tenant, client) scope; client is resolved from the recruiter's session, never accepted as a caller-supplied filter</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requisition is published for an agency's end-client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The requisition's channel adapters use that end-client's own configured vendor credentials, not the agency's default or another client's</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email arrives at the intake address with no attachment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Body is retained for audit but not treated as a resume; no Candidate/Application record is created from a bodiless or attachment-less email</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recruiter filters candidate search by a requisition the caller is not authorized to view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Filter is rejected or returns no results rather than exposing candidates for a requisition outside the caller's authorized scope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referred candidate applies via the referral link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Application is tagged with the referring employee's attribution at intake, retained through the full candidate record, not only shown at the point of submission</w:t>
            </w:r>
          </w:p>
        </w:tc>
      </w:tr>
    </w:tbl>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(Draft, roadmap — not part of Release 1)</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Approved Baseline detail, following the same process demonstrated for Modules 1–2, as they are brought into a future release.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p>
      <w:pPr>
        <w:spacing w:after="160" w:line="300"/>
        <w:jc w:val="both"/>
      </w:pPr>
      <w:r>
        <w:rPr>
          <w:rFonts w:ascii="Calibri" w:cs="Calibri" w:eastAsia="Calibri" w:hAnsi="Calibri"/>
          <w:color w:val="1A1A1A"/>
          <w:sz w:val="22"/>
          <w:szCs w:val="22"/>
        </w:rPr>
        <w:t xml:space="preserve">Measurable, testable targets — a qualitative statement such as "search should be fast" is not acceptance-testable on its own and is avoided below in favor of a stated threshold.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(tenant)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 across the database, message-queue, search-index, object-storage, and webhook layers (TDD Section 5.3)</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(agency client)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For an agency tenant, no cross-client data access within the same tenant under the same automated isolation testing — a Client Stakeholder or agency recruiter scoped to one client never sees another client's requisitions or candidates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baseline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Scoring-matrix integrity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matrix cannot reach Approved status with weights that do not sum to exactly 100%; 100% of freeze attempts with an invalid total are rejected, not silently normalized (HR-M1-FR-006)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Duplicate-detection precision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false-positive auto-link rate ≤ 1% on exact-key (email/phone) matches, measured against a labeled sample of resolved DuplicateMatch decisions each quarter — provisional target pending Product/Engineering sign-off (Section 6); any conflicting-evidence case routes to manual review rather than auto-linking regardless (HR-M2-FR-006)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100% of PDF/DOCX uploads either parse successfully or are routed to the manual fallback — none silently dropped or left in an unknown state. Target: ≥ 90% of successfully-routed PDF/DOCX uploads parse with all required fields (name, contact, one work-history entry) at ≥ 0.75 confidence, within 30 seconds of upload — provisional target pending Product/Engineering sign-off (Section 6) (HR-M2-FR-004)</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search performance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p95 query latency ≤ 2 seconds at a reference load of 100,000 candidates and 50,000 applications per tenant, 20 concurrent searching users per tenant — provisional target pending Product/Engineering sign-off (Section 6) (HR-M2-FR-007)</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upload limits</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single-file upload accepted up to 10 MB; bulk upload up to 200 files or 200 MB per batch, whichever is reached first — provisional target pending Product/Engineering sign-off (Section 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Availability &amp; recovery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99.5% monthly availability for Module 1 and Module 2 read/write paths; Recovery Point Objective (RPO) ≤ 15 minutes and Recovery Time Objective (RTO) ≤ 4 hours for the primary datastore — provisional targets pending Product/Engineering sign-off (Section 6); full operational/DR detail is a Section 9 roadmap deliverable, not restated here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reach Approved Baseline only once (a) its Feature List, Approved Decisions, and Acceptance Scenarios (Section 4.1/4.2) are unambiguous enough for the Technical Design stage to begin without open questions, AND (b) an actual Reviewed-by/Approved-by name and date are recorded in this document's Authorization table — content readiness alone does not constitute approval</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Traceability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requirement ID in Section 4.1/4.2 has a corresponding row in the Requirement Traceability Register (a companion living document), linking it to its Technical Design reference(s) and test coverage before the module is considered build-ready</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reach Approved Baseline. The staffing-agency multi-client priority question from the prior baseline is resolved — it is in scope for Release 1 (Section 1.3) — and is removed from this list.</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Release 1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9)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Naukri RMS contracted-plan confirmation (push vs. poll availability) and LinkedIn Talent Solutions product-tier confirmation (Recruiter System Connect, Apply Connect, or another) — both integrations are proposed adapter contracts pending this vendor-feasibility gate (Section 4.2).</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for agency end-clients is explicitly deferred out of Release 1 (Section 4.2) — what such a role would see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Sign-off on the provisional measurable acceptance targets in Section 5 (duplicate-detection precision, resume-parsing accuracy/time, search latency/volume, upload limits, availability/RPO/RTO) with the actual Product and Engineering owners — these are placeholder-but-explicit values pending that review, not yet committed targets.</w:t>
      </w:r>
    </w:p>
    <w:p>
      <w:pPr>
        <w:pStyle w:val="ListParagraph"/>
        <w:numPr>
          <w:ilvl w:val="0"/>
          <w:numId w:val="5"/>
        </w:numPr>
        <w:spacing w:after="80" w:line="280"/>
      </w:pPr>
      <w:r>
        <w:rPr>
          <w:rFonts w:ascii="Calibri" w:cs="Calibri" w:eastAsia="Calibri" w:hAnsi="Calibri"/>
          <w:color w:val="1A1A1A"/>
          <w:sz w:val="22"/>
          <w:szCs w:val="22"/>
        </w:rPr>
        <w:t xml:space="preserve">Formal Reviewed-by/Approved-by sign-off on this BRD/PRD and the companion Technical Design Document — both currently carry Draft v2.1 status with build-ready content but no recorded approver; scheduling this review is itself a stakeholder-side dependency before Module 1/2 development can proceed on an Approved Baseline.</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competitive_landscape_usp_an" w:id="1018"/>
      <w:r>
        <w:rPr>
          <w:rFonts w:ascii="Calibri" w:cs="Calibri" w:eastAsia="Calibri" w:hAnsi="Calibri"/>
          <w:b/>
          <w:bCs/>
          <w:color w:val="D34817"/>
          <w:sz w:val="30"/>
          <w:szCs w:val="30"/>
        </w:rPr>
        <w:t xml:space="preserve">8. Competitive Landscape &amp; USP Analysis</w:t>
      </w:r>
      <w:bookmarkEnd w:id="1018"/>
    </w:p>
    <w:p>
      <w:pPr>
        <w:spacing w:after="160" w:line="300"/>
        <w:jc w:val="both"/>
      </w:pPr>
      <w:r>
        <w:rPr>
          <w:rFonts w:ascii="Calibri" w:cs="Calibri" w:eastAsia="Calibri" w:hAnsi="Calibri"/>
          <w:color w:val="1A1A1A"/>
          <w:sz w:val="22"/>
          <w:szCs w:val="22"/>
        </w:rPr>
        <w:t xml:space="preserve">This section benchmarks Teamora's Module 1 (JD Intake &amp; Freezing) and Module 2 (Sourcing &amp; Resume Aggregation) feature set against eleven Indian and global ATS/HRMS providers, and draws out the resulting Unique Selling Propositions (USPs). Methodology: findings are drawn from each provider's own public product pages, help-center documentation, and pricing pages as of September 2026 — not from live demos or trials. "Yes"/"Partial"/"No" reflect what is publicly confirmed; "Unconfirmed" means the capability could not be verified either way from public sources and should not be read as "absent" — a materially different competitive position could emerge from a live demo. This matrix should be re-validated before use in external sales collateral.</w:t>
      </w:r>
    </w:p>
    <w:p>
      <w:pPr>
        <w:pStyle w:val="Heading2"/>
        <w:spacing w:after="100" w:before="220"/>
      </w:pPr>
      <w:bookmarkStart w:name="bm_19_8_1_indian_hrms_ats_providers" w:id="1019"/>
      <w:r>
        <w:rPr>
          <w:rFonts w:ascii="Calibri" w:cs="Calibri" w:eastAsia="Calibri" w:hAnsi="Calibri"/>
          <w:b/>
          <w:bCs/>
          <w:color w:val="404040"/>
          <w:sz w:val="24"/>
          <w:szCs w:val="24"/>
        </w:rPr>
        <w:t xml:space="preserve">8.1 Indian HRMS/ATS Providers</w:t>
      </w:r>
      <w:bookmarkEnd w:id="101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950"/>
        <w:gridCol w:w="950"/>
        <w:gridCol w:w="950"/>
        <w:gridCol w:w="950"/>
        <w:gridCol w:w="1000"/>
        <w:gridCol w:w="100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3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Teamora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Darwinbox</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Keka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greytHR</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Zoho Recruit</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PeopleStrong</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Turbohire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 (HR-M1-FR-002)</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JD is an uploaded attachment or external link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skillset fields only, not full JD text</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 recommendations only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universal or rule-based approval chain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general workflow/blueprint automation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approval hierarchies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Approver role in workflow</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(HR-M2-FR-003)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undetailed "centralized inbox" claim</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Inbox</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marketplace add-on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Extractor/Formatted Resume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(HR-M2-FR-006,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Client Portal + Vendor Portal (Staffing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multi-stakeholder interfaces, no explicit agency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Sourcing restricted to official APIs/RMS + email + manual upload (no job-board scraping)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explicit locked decision (legal/ToS risk avoidance)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r>
    </w:tbl>
    <w:p>
      <w:pPr>
        <w:spacing w:after="160"/>
      </w:pPr>
    </w:p>
    <w:p>
      <w:pPr>
        <w:pStyle w:val="Heading2"/>
        <w:spacing w:after="100" w:before="220"/>
      </w:pPr>
      <w:bookmarkStart w:name="bm_20_8_2_global_ats_hrms_providers" w:id="1020"/>
      <w:r>
        <w:rPr>
          <w:rFonts w:ascii="Calibri" w:cs="Calibri" w:eastAsia="Calibri" w:hAnsi="Calibri"/>
          <w:b/>
          <w:bCs/>
          <w:color w:val="404040"/>
          <w:sz w:val="24"/>
          <w:szCs w:val="24"/>
        </w:rPr>
        <w:t xml:space="preserve">8.2 Global ATS/HRMS Providers</w:t>
      </w:r>
      <w:bookmarkEnd w:id="1020"/>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50"/>
        <w:gridCol w:w="1150"/>
        <w:gridCol w:w="1150"/>
        <w:gridCol w:w="1150"/>
        <w:gridCol w:w="115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4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Teamora</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Workday Recruiting</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BambooHR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Greenhouse</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Lever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SmartRecruiters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generative AI to jumpstart JD creation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template library only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"Job Post Description Suggestions"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template library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Slack-integration recipe, native depth 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dedicated job-posting, requisition, and proxy approval workflows (best documented)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LinkedIn RSC+ gives a unified applicant view</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matches across internal and external databases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AI reads resumes for latent skills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Talent Matching</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SmartAssistant matching</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multi-brand job boards only, single company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Public, transparent per-seat pricing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To be finalized (Section 6 dependency)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enterprise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$10/$17/$25 per employee/month</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r>
    </w:tbl>
    <w:p>
      <w:pPr>
        <w:spacing w:after="200"/>
      </w:pPr>
    </w:p>
    <w:p>
      <w:pPr>
        <w:pStyle w:val="Heading2"/>
        <w:spacing w:after="100" w:before="220"/>
      </w:pPr>
      <w:bookmarkStart w:name="bm_21_8_3_resulting_usps_for_teamora" w:id="1021"/>
      <w:r>
        <w:rPr>
          <w:rFonts w:ascii="Calibri" w:cs="Calibri" w:eastAsia="Calibri" w:hAnsi="Calibri"/>
          <w:b/>
          <w:bCs/>
          <w:color w:val="404040"/>
          <w:sz w:val="24"/>
          <w:szCs w:val="24"/>
        </w:rPr>
        <w:t xml:space="preserve">8.3 Resulting USPs for Teamora</w:t>
      </w:r>
      <w:bookmarkEnd w:id="1021"/>
    </w:p>
    <w:p>
      <w:pPr>
        <w:spacing w:after="160" w:line="300"/>
        <w:jc w:val="both"/>
      </w:pPr>
      <w:r>
        <w:rPr>
          <w:rFonts w:ascii="Calibri" w:cs="Calibri" w:eastAsia="Calibri" w:hAnsi="Calibri"/>
          <w:color w:val="1A1A1A"/>
          <w:sz w:val="22"/>
          <w:szCs w:val="22"/>
        </w:rPr>
        <w:t xml:space="preserve">Six differentiators recur across both benchmarks — each a Module 1/2 decision already locked in this document (Section 4.1/4.2), not an aspirational claim:</w:t>
      </w:r>
    </w:p>
    <w:p>
      <w:pPr>
        <w:pStyle w:val="ListParagraph"/>
        <w:numPr>
          <w:ilvl w:val="0"/>
          <w:numId w:val="6"/>
        </w:numPr>
        <w:spacing w:after="80" w:line="280"/>
      </w:pPr>
      <w:r>
        <w:rPr>
          <w:rFonts w:ascii="Calibri" w:cs="Calibri" w:eastAsia="Calibri" w:hAnsi="Calibri"/>
          <w:color w:val="1A1A1A"/>
          <w:sz w:val="22"/>
          <w:szCs w:val="22"/>
        </w:rPr>
        <w:t xml:space="preserve">Hard, immutable JD-freeze state: the JDVersion state machine locks content at the database-trigger level the instant a version is Approved. No provider researched, Indian or global, publicly documents an equivalent formal version-lock — most treat the JD as a mutable field or a plain file attachment (Keka confirmed attachment-only).</w:t>
      </w:r>
    </w:p>
    <w:p>
      <w:pPr>
        <w:pStyle w:val="ListParagraph"/>
        <w:numPr>
          <w:ilvl w:val="0"/>
          <w:numId w:val="6"/>
        </w:numPr>
        <w:spacing w:after="80" w:line="280"/>
      </w:pPr>
      <w:r>
        <w:rPr>
          <w:rFonts w:ascii="Calibri" w:cs="Calibri" w:eastAsia="Calibri" w:hAnsi="Calibri"/>
          <w:color w:val="1A1A1A"/>
          <w:sz w:val="22"/>
          <w:szCs w:val="22"/>
        </w:rPr>
        <w:t xml:space="preserve">Manager approval by native email-reply NLP parsing, with no portal login required — not found in any of the eleven providers' public documentation, all of which assume in-portal approval.</w:t>
      </w:r>
    </w:p>
    <w:p>
      <w:pPr>
        <w:pStyle w:val="ListParagraph"/>
        <w:numPr>
          <w:ilvl w:val="0"/>
          <w:numId w:val="6"/>
        </w:numPr>
        <w:spacing w:after="80" w:line="280"/>
      </w:pPr>
      <w:r>
        <w:rPr>
          <w:rFonts w:ascii="Calibri" w:cs="Calibri" w:eastAsia="Calibri" w:hAnsi="Calibri"/>
          <w:color w:val="1A1A1A"/>
          <w:sz w:val="22"/>
          <w:szCs w:val="22"/>
        </w:rPr>
        <w:t xml:space="preserve">An explicit, ToS-safe sourcing architecture — official job-board APIs/RMS integrations plus email intake and manual upload only, with no scraping — combined with a single deduplicated resume inbox. No competitor publicly states an equivalent no-scraping guarantee; the closest partial matches (Zoho Recruit's Resume Inbox, greytHR's undetailed "centralized inbox") do not document the dedup layer.</w:t>
      </w:r>
    </w:p>
    <w:p>
      <w:pPr>
        <w:pStyle w:val="ListParagraph"/>
        <w:numPr>
          <w:ilvl w:val="0"/>
          <w:numId w:val="6"/>
        </w:numPr>
        <w:spacing w:after="80" w:line="280"/>
      </w:pPr>
      <w:r>
        <w:rPr>
          <w:rFonts w:ascii="Calibri" w:cs="Calibri" w:eastAsia="Calibri" w:hAnsi="Calibri"/>
          <w:color w:val="1A1A1A"/>
          <w:sz w:val="22"/>
          <w:szCs w:val="22"/>
        </w:rPr>
        <w:t xml:space="preserve">Cross-channel duplicate-candidate detection with an append-only reversal audit trail (HR-M2-FR-006). Zero of the eleven providers researched had this publicly confirmed — the single cleanest gap found across the entire competitive set.</w:t>
      </w:r>
    </w:p>
    <w:p>
      <w:pPr>
        <w:pStyle w:val="ListParagraph"/>
        <w:numPr>
          <w:ilvl w:val="0"/>
          <w:numId w:val="6"/>
        </w:numPr>
        <w:spacing w:after="80" w:line="280"/>
      </w:pPr>
      <w:r>
        <w:rPr>
          <w:rFonts w:ascii="Calibri" w:cs="Calibri" w:eastAsia="Calibri" w:hAnsi="Calibri"/>
          <w:color w:val="1A1A1A"/>
          <w:sz w:val="22"/>
          <w:szCs w:val="22"/>
        </w:rPr>
        <w:t xml:space="preserve">True multi-tenant plus multi-client (agency) isolation enforced independently at five layers — database, message queue, search index, object storage, and webhooks (TDD Section 5.3). Only Zoho Recruit's Staffing Edition (Client Portal + Vendor Portal) offers a comparable agency-facing model among the eleven, and its isolation depth is not publicly documented to this level.</w:t>
      </w:r>
    </w:p>
    <w:p>
      <w:pPr>
        <w:pStyle w:val="ListParagraph"/>
        <w:numPr>
          <w:ilvl w:val="0"/>
          <w:numId w:val="6"/>
        </w:numPr>
        <w:spacing w:after="80" w:line="280"/>
      </w:pPr>
      <w:r>
        <w:rPr>
          <w:rFonts w:ascii="Calibri" w:cs="Calibri" w:eastAsia="Calibri" w:hAnsi="Calibri"/>
          <w:color w:val="1A1A1A"/>
          <w:sz w:val="22"/>
          <w:szCs w:val="22"/>
        </w:rPr>
        <w:t xml:space="preserve">A weighted scoring matrix auto-generated from the frozen JD, with a hard validation rule that weights must sum to exactly 100% before freeze (HR-M1-FR-006) — not found in any provider researched.</w:t>
      </w:r>
    </w:p>
    <w:p>
      <w:pPr>
        <w:spacing w:after="200"/>
      </w:pPr>
    </w:p>
    <w:p>
      <w:pPr>
        <w:pStyle w:val="Heading1"/>
        <w:spacing w:after="140" w:before="320"/>
      </w:pPr>
      <w:bookmarkStart w:name="bm_22_9_road_ahead_sdlc_sequence" w:id="1022"/>
      <w:r>
        <w:rPr>
          <w:rFonts w:ascii="Calibri" w:cs="Calibri" w:eastAsia="Calibri" w:hAnsi="Calibri"/>
          <w:b/>
          <w:bCs/>
          <w:color w:val="D34817"/>
          <w:sz w:val="30"/>
          <w:szCs w:val="30"/>
        </w:rPr>
        <w:t xml:space="preserve">9. Road Ahead — SDLC Sequence</w:t>
      </w:r>
      <w:bookmarkEnd w:id="1022"/>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reach Approved Baseline; (3) UX/screen specification, where a module has a significant user-facing surface; (4) Test/acceptance plan, developed alongside the Technical Design rather than only after it. Once every module has cleared all applicable stages, a single consolidated Proposal document — carrying pricing, commercial terms, and delivery plan — is generated from this material for presentation to B2B customers. A Requirement Traceability Register (Section 5) is maintained as a living companion document from this baseline onward, linking each requirement ID through design, build, and test evidence.</w:t>
      </w:r>
    </w:p>
    <w:p>
      <w:pPr>
        <w:pStyle w:val="ListParagraph"/>
        <w:numPr>
          <w:ilvl w:val="0"/>
          <w:numId w:val="2"/>
        </w:numPr>
        <w:spacing w:after="80" w:line="280"/>
      </w:pPr>
      <w:r>
        <w:rPr>
          <w:rFonts w:ascii="Calibri" w:cs="Calibri" w:eastAsia="Calibri" w:hAnsi="Calibri"/>
          <w:color w:val="1A1A1A"/>
          <w:sz w:val="22"/>
          <w:szCs w:val="22"/>
        </w:rPr>
        <w:t xml:space="preserve">Modules 1 &amp; 2: Draft v2.1, build-ready in content and pending formal Reviewed/Approved sign-off (this document) — Technical Design v2.1, same status, in progress alongside (see the companion Technical Design Document); Release 1 build scope.</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reach Approved Baseline in sequence, following the same process demonstrated for Modules 1 &amp; 2, as they are brought into a future release.</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Teamora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2026-09-17T06:31:43.525Z</dcterms:created>
  <dcterms:modified xsi:type="dcterms:W3CDTF">2026-09-17T06:31:43.538Z</dcterms:modified>
</cp:coreProperties>
</file>

<file path=docProps/custom.xml><?xml version="1.0" encoding="utf-8"?>
<Properties xmlns="http://schemas.openxmlformats.org/officeDocument/2006/custom-properties" xmlns:vt="http://schemas.openxmlformats.org/officeDocument/2006/docPropsVTypes"/>
</file>