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1_document_control" w:id="1021"/>
      <w:r>
        <w:rPr>
          <w:rFonts w:ascii="Calibri" w:cs="Calibri" w:eastAsia="Calibri" w:hAnsi="Calibri"/>
          <w:b/>
          <w:bCs/>
          <w:color w:val="D34817"/>
          <w:sz w:val="30"/>
          <w:szCs w:val="30"/>
        </w:rPr>
        <w:t xml:space="preserve">Document Control</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2.0</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2_authorization" w:id="1022"/>
      <w:r>
        <w:rPr>
          <w:rFonts w:ascii="Calibri" w:cs="Calibri" w:eastAsia="Calibri" w:hAnsi="Calibri"/>
          <w:b/>
          <w:bCs/>
          <w:color w:val="D34817"/>
          <w:sz w:val="30"/>
          <w:szCs w:val="30"/>
        </w:rPr>
        <w:t xml:space="preserve">Authorization</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3_change_log" w:id="1023"/>
      <w:r>
        <w:rPr>
          <w:rFonts w:ascii="Calibri" w:cs="Calibri" w:eastAsia="Calibri" w:hAnsi="Calibri"/>
          <w:b/>
          <w:bCs/>
          <w:color w:val="D34817"/>
          <w:sz w:val="30"/>
          <w:szCs w:val="30"/>
        </w:rPr>
        <w:t xml:space="preserve">Change Log</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4_client_sign_off" w:id="1024"/>
      <w:r>
        <w:rPr>
          <w:rFonts w:ascii="Calibri" w:cs="Calibri" w:eastAsia="Calibri" w:hAnsi="Calibri"/>
          <w:b/>
          <w:bCs/>
          <w:color w:val="D34817"/>
          <w:sz w:val="30"/>
          <w:szCs w:val="30"/>
        </w:rPr>
        <w:t xml:space="preserve">Client Sign Off</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0_table_of_contents" w:id="1020"/>
      <w:r>
        <w:rPr>
          <w:rFonts w:ascii="Calibri" w:cs="Calibri" w:eastAsia="Calibri" w:hAnsi="Calibri"/>
          <w:b/>
          <w:bCs/>
          <w:color w:val="D34817"/>
          <w:sz w:val="30"/>
          <w:szCs w:val="30"/>
        </w:rPr>
        <w:t xml:space="preserve">Table of Contents</w:t>
      </w:r>
      <w:bookmarkEnd w:id="1020"/>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locked in the companion BRD/PRD (PHN-HR-2026-01-BRDPRD): Module 1 — Job Description (JD) Intake &amp; Freezing, and Module 2 — Candidate Sourcing &amp; Resume Aggregation. It is the engineering handoff artifact for these two modules; it does not restate business rationale, which lives in the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are locked.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locked feature lists and locked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57775"/>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52900"/>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per the cloud KMS provider's own distinction between key rotation and data re-encryption: (1) KMS master-key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master-key rotation: the cloud KMS rotates the master key on its default schedule (typically annual) or on-demand; because envelope encryption wraps each DEK rather than data directly, master-key rotation re-wraps DEKs only and requires no re-encryption of tenant data.</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 locked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forbidden/null for direct_employer tenants). A direct-employer tenant is modeled as the degenerate case of an agency with exactly zero clients — this keeps a single code path rather than branching application logic by org_type.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by a mandatory query-builder middleware, never by convention in hand-written queries; a query missing both keys fails to compile rather than silently returning cross-tenant rows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and client_id; consumers reject and dead-letter any message missing either</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bucket/IAM policy denies cross-prefix reads even if an application-layer bug leaked another tenant's file reference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null and disallowed for direct_employer tenants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 frozen JD</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Approved | Superseded | Rejected. Approved and Superseded rows are immutable — enforced by a DB-level trigger, not just application logic</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only when the new version is approved does the transaction (a) set the new version's status to Approved, (b) set the previous Approved version's status to Superseded and its superseded_by,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(locked decision)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Reversal: unlinking an earlier incorrect match never deletes or edits the original DuplicateMatch row — it writes a new row with resolution = reversed, referencing the same candidate pair, so the audit trail shows both the original decision and its correction.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and 6 into a single schema view, showing primary/foreign-key relationships across the two modules — including how a frozen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238750"/>
                    </a:xfrm>
                    <a:prstGeom prst="rect">
                      <a:avLst/>
                    </a:prstGeom>
                  </pic:spPr>
                </pic:pic>
              </a:graphicData>
            </a:graphic>
          </wp:inline>
        </w:drawing>
      </w:r>
    </w:p>
    <w:p>
      <w:pPr>
        <w:keepLines/>
        <w:spacing w:after="200"/>
        <w:jc w:val="center"/>
      </w:pPr>
      <w:r>
        <w:rPr>
          <w:i/>
          <w:iCs/>
          <w:color w:val="6E6E6E"/>
          <w:sz w:val="18"/>
          <w:szCs w:val="18"/>
        </w:rPr>
        <w:t xml:space="preserve">Figure 6.1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/api/v1/requisitions/{id}/scoring-matrix/draft</w:t>
      </w:r>
    </w:p>
    <w:p>
      <w:pPr>
        <w:spacing w:after="160" w:line="300"/>
        <w:jc w:val="both"/>
      </w:pPr>
      <w:r>
        <w:rPr>
          <w:rFonts w:ascii="Calibri" w:cs="Calibri" w:eastAsia="Calibri" w:hAnsi="Calibri"/>
          <w:color w:val="1A1A1A"/>
          <w:sz w:val="22"/>
          <w:szCs w:val="22"/>
        </w:rPr>
        <w:t xml:space="preserve">Returns the in-progress draft ScoringCriterion set generated alongside the current PendingApproval JD version, for the manager to review before freezing. A draft matrix need not sum to 100 percent — it can be incomplete while under active editing.</w:t>
      </w:r>
    </w:p>
    <w:p>
      <w:pPr>
        <w:pStyle w:val="Heading3"/>
        <w:spacing w:after="80" w:before="160"/>
      </w:pPr>
      <w:r>
        <w:rPr>
          <w:rFonts w:ascii="Calibri" w:cs="Calibri" w:eastAsia="Calibri" w:hAnsi="Calibri"/>
          <w:b/>
          <w:bCs/>
          <w:color w:val="000000"/>
          <w:sz w:val="22"/>
          <w:szCs w:val="22"/>
        </w:rPr>
        <w:t xml:space="preserve">PATCH /api/v1/requisitions/{id}/scoring-matrix/draft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w:t>
      </w:r>
    </w:p>
    <w:p>
      <w:pPr>
        <w:shd w:fill="F7F7F7" w:color="auto" w:val="clear"/>
        <w:spacing w:after="100" w:line="260"/>
      </w:pPr>
      <w:r>
        <w:rPr>
          <w:rFonts w:ascii="Consolas" w:cs="Consolas" w:eastAsia="Consolas" w:hAnsi="Consolas"/>
          <w:color w:val="1A1A1A"/>
          <w:sz w:val="19"/>
          <w:szCs w:val="19"/>
        </w:rPr>
        <w:t xml:space="preserve">Request:  { "criteria": [ { "criterion_id": "uuid", "weight_percent": number }, ... ] }
Response: 200 { "status": "Draft", "current_total_percent": number }</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JD version and its draft scoring matrix in a single atomic transaction — the locked decision that freezing is a hard, immutable state change.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hd w:fill="F7F7F7" w:color="auto" w:val="clear"/>
        <w:spacing w:after="100" w:line="260"/>
      </w:pPr>
      <w:r>
        <w:rPr>
          <w:rFonts w:ascii="Consolas" w:cs="Consolas" w:eastAsia="Consolas" w:hAnsi="Consolas"/>
          <w:color w:val="1A1A1A"/>
          <w:sz w:val="19"/>
          <w:szCs w:val="19"/>
        </w:rPr>
        <w:t xml:space="preserve">Request:  { "approved_version_id": "uuid" }
Response: 200 { "status": "Frozen_Open", "active_version_id": "uuid", "scoring_matrix_id": "uuid", "superseded_version_id": "uuid|null" }
Errors:   409 if the draft matrix's criteria do not sum to exactly 100; 409 if approved_version_id is not in PendingApproval status</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876925"/>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reversed with resolution_notes; the reversal is non-destructive (original link record retained for audit) and the two Candidate records are split back apart per the model in Section 7.1</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scope of what an agency's end-client contact may view (requisition status, candidate pipeline) is undefined; needs a decision before the agency model reaches implementation.</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7013123c3ced0b0bc9d4e7a2ec60e6814bbfae64.png"/><Relationship Id="rId11" Type="http://schemas.openxmlformats.org/officeDocument/2006/relationships/image" Target="media/1b653dc0182b6d50227bdcbd5d607ff611e7047a.png"/><Relationship Id="rId12" Type="http://schemas.openxmlformats.org/officeDocument/2006/relationships/image" Target="media/db6fd2497f86093cba65a6eeb7ed97e6e8ebba83.png"/><Relationship Id="rId13" Type="http://schemas.openxmlformats.org/officeDocument/2006/relationships/image" Target="media/71d593da33d08f285b077e533b4894784130af59.png"/><Relationship Id="rId14" Type="http://schemas.openxmlformats.org/officeDocument/2006/relationships/image" Target="media/4520d4b0ca411737db30b39067936c1f5079c3af.png"/><Relationship Id="rId15" Type="http://schemas.openxmlformats.org/officeDocument/2006/relationships/image" Target="media/8f475cfacf88488399bab524560248228b85356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2026-09-15T06:38:05.401Z</dcterms:created>
  <dcterms:modified xsi:type="dcterms:W3CDTF">2026-09-15T06:38:05.401Z</dcterms:modified>
</cp:coreProperties>
</file>

<file path=docProps/custom.xml><?xml version="1.0" encoding="utf-8"?>
<Properties xmlns="http://schemas.openxmlformats.org/officeDocument/2006/custom-properties" xmlns:vt="http://schemas.openxmlformats.org/officeDocument/2006/docPropsVTypes"/>
</file>