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120"/>
              <w:jc w:val="center"/>
            </w:pPr>
            <w:r>
              <w:rPr>
                <w:rFonts w:ascii="Calibri" w:cs="Calibri" w:eastAsia="Calibri" w:hAnsi="Calibri"/>
                <w:b/>
                <w:bCs/>
                <w:color w:val="FFFFFF"/>
                <w:sz w:val="40"/>
                <w:szCs w:val="40"/>
              </w:rPr>
              <w:t xml:space="preserve">Phoneme HR Suite</w:t>
            </w:r>
          </w:p>
          <w:p>
            <w:pPr>
              <w:jc w:val="center"/>
            </w:pPr>
            <w:r>
              <w:rPr>
                <w:rFonts w:ascii="Calibri" w:cs="Calibri" w:eastAsia="Calibri" w:hAnsi="Calibri"/>
                <w:color w:val="FFFFFF"/>
                <w:sz w:val="26"/>
                <w:szCs w:val="26"/>
              </w:rPr>
              <w:t xml:space="preserve">Module 1 &amp; 2 — Technical Design Document</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TECHNICAL DESIGN (HLD/LLD)</w:t>
      </w:r>
    </w:p>
    <w:p>
      <w:pPr>
        <w:spacing w:after="2200"/>
      </w:pPr>
    </w:p>
    <w:p>
      <w:pPr>
        <w:spacing w:after="60"/>
        <w:jc w:val="center"/>
      </w:pPr>
      <w:r>
        <w:rPr>
          <w:rFonts w:ascii="Calibri" w:cs="Calibri" w:eastAsia="Calibri" w:hAnsi="Calibri"/>
          <w:b/>
          <w:bCs/>
          <w:color w:val="D34817"/>
          <w:sz w:val="20"/>
          <w:szCs w:val="20"/>
        </w:rPr>
        <w:t xml:space="preserve">PROJECT CODE: PHN-HR-2026-01-TDD-M1M2</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1_document_control" w:id="1021"/>
      <w:r>
        <w:rPr>
          <w:rFonts w:ascii="Calibri" w:cs="Calibri" w:eastAsia="Calibri" w:hAnsi="Calibri"/>
          <w:b/>
          <w:bCs/>
          <w:color w:val="D34817"/>
          <w:sz w:val="30"/>
          <w:szCs w:val="30"/>
        </w:rPr>
        <w:t xml:space="preserve">Document Control</w:t>
      </w:r>
      <w:bookmarkEnd w:id="102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 (HLD/LLD) — Phoneme HR Suite, Module 1 (JD Intake &amp; Freezing) and Module 2 (Sourcing &amp; Resume Aggregation)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PHN-HR-2026-01-TDD-M1M2, Version 2.3 (Draft — pending Reviewed/Approved sign-off, see Authorization below)</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HR Management project workspace</w:t>
            </w:r>
          </w:p>
        </w:tc>
      </w:tr>
    </w:tbl>
    <w:p>
      <w:pPr>
        <w:spacing w:after="160"/>
      </w:pPr>
    </w:p>
    <w:p>
      <w:pPr>
        <w:pStyle w:val="Heading1"/>
        <w:spacing w:after="140" w:before="320"/>
      </w:pPr>
      <w:bookmarkStart w:name="bm_22_authorization" w:id="1022"/>
      <w:r>
        <w:rPr>
          <w:rFonts w:ascii="Calibri" w:cs="Calibri" w:eastAsia="Calibri" w:hAnsi="Calibri"/>
          <w:b/>
          <w:bCs/>
          <w:color w:val="D34817"/>
          <w:sz w:val="30"/>
          <w:szCs w:val="30"/>
        </w:rPr>
        <w:t xml:space="preserve">Authorization</w:t>
      </w:r>
      <w:bookmarkEnd w:id="1022"/>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3_change_log" w:id="1023"/>
      <w:r>
        <w:rPr>
          <w:rFonts w:ascii="Calibri" w:cs="Calibri" w:eastAsia="Calibri" w:hAnsi="Calibri"/>
          <w:b/>
          <w:bCs/>
          <w:color w:val="D34817"/>
          <w:sz w:val="30"/>
          <w:szCs w:val="30"/>
        </w:rPr>
        <w:t xml:space="preserve">Change Log</w:t>
      </w:r>
      <w:bookmarkEnd w:id="1023"/>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Technical Design for Module 1 and Module 2, following requirements lock in the BRD/PRD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3, 4, 6.2, 10, 12</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AAA/Session Management, Key Management, consolidated Data Schema (ER diagram), Data Flow Diagram, and Object Flow Diagram (JobRequisition state machine)</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 4.2, 5–16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 critical/high review findings: replaced JDVersion.is_frozen with a full status/supersede lifecycle keyed to a new active_version_id pointer; rekeyed ScoringMatrix to jd_version_id and added draft-matrix generate/edit/freeze API sequence (Section 8); removed behavioral_proxy from screening-stage scoring per business decision (soft skills excluded entirely at screening); added Tenant &amp; Organization Model (Section 5) with an explicit isolation enforcement matrix, reflecting the Release 1 in-scope staffing-agency/multi-client model; replaced DuplicateMatch.resolved boolean with a resolution/conflict_flag/reversal model (Section 7.1); separated KMS master-key rotation, DEK rotation, and re-encryption (Section 4.2); corrected resume-format scope to PDF/DOCX only (Section 10.4); labeled Naukri RMS and LinkedIn Talent Solutions integrations as proposed adapter contracts pending vendor confirmation (Section 10, 16); stated the Release 1 module boundary (Section 1.2); renumbered Sections 12–16 to resolve a duplicate section number and added new error-handling and open-decision entries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1, 4.2, 5, 6, 7, 8, 15, 16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 second-pass review findings: relabeled document status from Approved Baseline to Draft pending actual sign-off (Section 1.2); added an authoritative JobRequisition-vs-JDVersion state table and restored the missing Revising value to the JDVersion status enum (Section 6.0); precisely scoped the Approved-row immutability exception to permit only the status/superseded_by supersession write (Section 6); corrected the KMS master-key-rotation description — rotation does not auto re-wrap existing DEKs — in both prose and the key-management diagram (Section 4.2); keyed JDField to jd_version_id instead of requisition_id to stop historical drift (Section 6); added an explicit tenant_id column to Application and documented the parent-chain inheritance model for JDBrief/JDField/JDVersion/ScoringMatrix/ScoringCriterion (Section 7.1); resolved the DuplicateMatch reversal contradiction onto one append-only model with a previous_decision_id chain, updating Section 7.1 and the Section 15 error-handling row to agree; distinguished explicit-null from absent client_id and added PostgreSQL Row-Level Security plus storage-credential IAM scoping to the isolation matrix (Section 5.2–5.3); split the draft-matrix endpoints to identify an exact jd_version_id with optimistic-concurrency revision checking, and redefined the freeze endpoint's idempotency so an exact-repeat freeze is a no-op while a conflicting concurrent freeze is rejected (Section 8); explicitly deferred the Client Stakeholder portal role out of Release 1 rather than leaving it open-ended (Section 1.2, 16); fixed the Section 7.2 diagram caption/section references and regenerated the ER and key-management diagrams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2, 4.2, 6, 7.2, 7.3, 10</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Visual-only pass, no content or architectural change: restyled all embedded Mermaid diagrams (architecture, DFD, key management, object/state flow, AAA session sequence) with role-based icon prefixes and semantic classDef colour-coding (client/gateway blue-grey, Module 1 orange, Module 2 dark-red, cross-cutting platform purple, data layer teal, external amber), and regenerated the corresponding PNGs at updated pixel dimensions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2.3</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5.3, 6.0</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two new infographic-style diagrams, no prose change: Figure 5.1 visualizes the Section 5.3 isolation enforcement matrix as a five-layer fan-out/fan-in diagram (database, message queue, search index, object storage, webhooks); Figure 6.1 visualizes the Section 6.0 JDVersion.status state table as a state-machine diagram (Draft/Revising/PendingApproval/Approved/Superseded/Rejected), styled consistent with the Section 13 object-flow diagram</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4_client_sign_off" w:id="1024"/>
      <w:r>
        <w:rPr>
          <w:rFonts w:ascii="Calibri" w:cs="Calibri" w:eastAsia="Calibri" w:hAnsi="Calibri"/>
          <w:b/>
          <w:bCs/>
          <w:color w:val="D34817"/>
          <w:sz w:val="30"/>
          <w:szCs w:val="30"/>
        </w:rPr>
        <w:t xml:space="preserve">Client Sign Off</w:t>
      </w:r>
      <w:bookmarkEnd w:id="102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pStyle w:val="Heading1"/>
        <w:pageBreakBefore/>
        <w:spacing w:after="140" w:before="320"/>
      </w:pPr>
      <w:bookmarkStart w:name="bm_20_table_of_contents" w:id="1020"/>
      <w:r>
        <w:rPr>
          <w:rFonts w:ascii="Calibri" w:cs="Calibri" w:eastAsia="Calibri" w:hAnsi="Calibri"/>
          <w:b/>
          <w:bCs/>
          <w:color w:val="D34817"/>
          <w:sz w:val="30"/>
          <w:szCs w:val="30"/>
        </w:rPr>
        <w:t xml:space="preserve">Table of Contents</w:t>
      </w:r>
      <w:bookmarkEnd w:id="1020"/>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Purpose</w:t>
      </w:r>
      <w:r>
        <w:rPr>
          <w:rFonts w:ascii="Calibri" w:cs="Calibri" w:eastAsia="Calibri" w:hAnsi="Calibri"/>
          <w:sz w:val="19"/>
          <w:szCs w:val="19"/>
        </w:rPr>
        <w:t xml:space="preserve">	</w:t>
      </w:r>
      <w:r>
        <w:fldChar w:fldCharType="begin" w:dirty="true"/>
        <w:instrText xml:space="preserve">PAGEREF bm_1_1_1_purpose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Scope</w:t>
      </w:r>
      <w:r>
        <w:rPr>
          <w:rFonts w:ascii="Calibri" w:cs="Calibri" w:eastAsia="Calibri" w:hAnsi="Calibri"/>
          <w:sz w:val="19"/>
          <w:szCs w:val="19"/>
        </w:rPr>
        <w:t xml:space="preserve">	</w:t>
      </w:r>
      <w:r>
        <w:fldChar w:fldCharType="begin" w:dirty="true"/>
        <w:instrText xml:space="preserve">PAGEREF bm_2_1_2_scope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References</w:t>
      </w:r>
      <w:r>
        <w:rPr>
          <w:rFonts w:ascii="Calibri" w:cs="Calibri" w:eastAsia="Calibri" w:hAnsi="Calibri"/>
          <w:sz w:val="19"/>
          <w:szCs w:val="19"/>
        </w:rPr>
        <w:t xml:space="preserve">	</w:t>
      </w:r>
      <w:r>
        <w:fldChar w:fldCharType="begin" w:dirty="true"/>
        <w:instrText xml:space="preserve">PAGEREF bm_3_1_3_references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Abbreviations</w:t>
      </w:r>
      <w:r>
        <w:rPr>
          <w:rFonts w:ascii="Calibri" w:cs="Calibri" w:eastAsia="Calibri" w:hAnsi="Calibri"/>
          <w:sz w:val="19"/>
          <w:szCs w:val="19"/>
        </w:rPr>
        <w:t xml:space="preserve">	</w:t>
      </w:r>
      <w:r>
        <w:fldChar w:fldCharType="begin" w:dirty="true"/>
        <w:instrText xml:space="preserve">PAGEREF bm_4_1_4_abbreviations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System Context &amp; Architecture Overview</w:t>
      </w:r>
      <w:r>
        <w:rPr>
          <w:rFonts w:ascii="Calibri" w:cs="Calibri" w:eastAsia="Calibri" w:hAnsi="Calibri"/>
          <w:sz w:val="19"/>
          <w:szCs w:val="19"/>
        </w:rPr>
        <w:t xml:space="preserve">	</w:t>
      </w:r>
      <w:r>
        <w:fldChar w:fldCharType="begin" w:dirty="true"/>
        <w:instrText xml:space="preserve">PAGEREF bm_5_2_system_context_architecture_</w:instrText>
        <w:fldChar w:fldCharType="end"/>
      </w:r>
    </w:p>
    <w:p>
      <w:pPr>
        <w:tabs>
          <w:tab w:val="right" w:pos="9350" w:leader="dot"/>
        </w:tabs>
        <w:spacing w:after="60" w:line="240"/>
      </w:pPr>
      <w:r>
        <w:rPr>
          <w:rFonts w:ascii="Calibri" w:cs="Calibri" w:eastAsia="Calibri" w:hAnsi="Calibri"/>
          <w:b/>
          <w:bCs/>
          <w:color w:val="000000"/>
          <w:sz w:val="21"/>
          <w:szCs w:val="21"/>
        </w:rPr>
        <w:t xml:space="preserve">3. AAA — Authentication, Authorization &amp; Session Management</w:t>
      </w:r>
      <w:r>
        <w:rPr>
          <w:rFonts w:ascii="Calibri" w:cs="Calibri" w:eastAsia="Calibri" w:hAnsi="Calibri"/>
          <w:sz w:val="19"/>
          <w:szCs w:val="19"/>
        </w:rPr>
        <w:t xml:space="preserve">	</w:t>
      </w:r>
      <w:r>
        <w:fldChar w:fldCharType="begin" w:dirty="true"/>
        <w:instrText xml:space="preserve">PAGEREF bm_6_3_aaa_authentication_authoriza</w:instrText>
        <w:fldChar w:fldCharType="end"/>
      </w:r>
    </w:p>
    <w:p>
      <w:pPr>
        <w:tabs>
          <w:tab w:val="right" w:pos="9350" w:leader="dot"/>
        </w:tabs>
        <w:spacing w:after="60" w:line="240"/>
      </w:pPr>
      <w:r>
        <w:rPr>
          <w:rFonts w:ascii="Calibri" w:cs="Calibri" w:eastAsia="Calibri" w:hAnsi="Calibri"/>
          <w:b/>
          <w:bCs/>
          <w:color w:val="000000"/>
          <w:sz w:val="21"/>
          <w:szCs w:val="21"/>
        </w:rPr>
        <w:t xml:space="preserve">4. Key Management</w:t>
      </w:r>
      <w:r>
        <w:rPr>
          <w:rFonts w:ascii="Calibri" w:cs="Calibri" w:eastAsia="Calibri" w:hAnsi="Calibri"/>
          <w:sz w:val="19"/>
          <w:szCs w:val="19"/>
        </w:rPr>
        <w:t xml:space="preserve">	</w:t>
      </w:r>
      <w:r>
        <w:fldChar w:fldCharType="begin" w:dirty="true"/>
        <w:instrText xml:space="preserve">PAGEREF bm_7_4_key_management</w:instrText>
        <w:fldChar w:fldCharType="end"/>
      </w:r>
    </w:p>
    <w:p>
      <w:pPr>
        <w:tabs>
          <w:tab w:val="right" w:pos="9350" w:leader="dot"/>
        </w:tabs>
        <w:spacing w:after="60" w:line="240"/>
      </w:pPr>
      <w:r>
        <w:rPr>
          <w:rFonts w:ascii="Calibri" w:cs="Calibri" w:eastAsia="Calibri" w:hAnsi="Calibri"/>
          <w:b/>
          <w:bCs/>
          <w:color w:val="000000"/>
          <w:sz w:val="21"/>
          <w:szCs w:val="21"/>
        </w:rPr>
        <w:t xml:space="preserve">5. Tenant &amp; Organization Model</w:t>
      </w:r>
      <w:r>
        <w:rPr>
          <w:rFonts w:ascii="Calibri" w:cs="Calibri" w:eastAsia="Calibri" w:hAnsi="Calibri"/>
          <w:sz w:val="19"/>
          <w:szCs w:val="19"/>
        </w:rPr>
        <w:t xml:space="preserve">	</w:t>
      </w:r>
      <w:r>
        <w:fldChar w:fldCharType="begin" w:dirty="true"/>
        <w:instrText xml:space="preserve">PAGEREF bm_8_5_tenant_organization_model</w:instrText>
        <w:fldChar w:fldCharType="end"/>
      </w:r>
    </w:p>
    <w:p>
      <w:pPr>
        <w:tabs>
          <w:tab w:val="right" w:pos="9350" w:leader="dot"/>
        </w:tabs>
        <w:spacing w:after="60" w:line="240"/>
      </w:pPr>
      <w:r>
        <w:rPr>
          <w:rFonts w:ascii="Calibri" w:cs="Calibri" w:eastAsia="Calibri" w:hAnsi="Calibri"/>
          <w:b/>
          <w:bCs/>
          <w:color w:val="000000"/>
          <w:sz w:val="21"/>
          <w:szCs w:val="21"/>
        </w:rPr>
        <w:t xml:space="preserve">6. Data Model — Module 1 (JD Intake &amp; Freezing)</w:t>
      </w:r>
      <w:r>
        <w:rPr>
          <w:rFonts w:ascii="Calibri" w:cs="Calibri" w:eastAsia="Calibri" w:hAnsi="Calibri"/>
          <w:sz w:val="19"/>
          <w:szCs w:val="19"/>
        </w:rPr>
        <w:t xml:space="preserve">	</w:t>
      </w:r>
      <w:r>
        <w:fldChar w:fldCharType="begin" w:dirty="true"/>
        <w:instrText xml:space="preserve">PAGEREF bm_9_6_data_model_module_1_jd_intak</w:instrText>
        <w:fldChar w:fldCharType="end"/>
      </w:r>
    </w:p>
    <w:p>
      <w:pPr>
        <w:tabs>
          <w:tab w:val="right" w:pos="9350" w:leader="dot"/>
        </w:tabs>
        <w:spacing w:after="60" w:line="240"/>
      </w:pPr>
      <w:r>
        <w:rPr>
          <w:rFonts w:ascii="Calibri" w:cs="Calibri" w:eastAsia="Calibri" w:hAnsi="Calibri"/>
          <w:b/>
          <w:bCs/>
          <w:color w:val="000000"/>
          <w:sz w:val="21"/>
          <w:szCs w:val="21"/>
        </w:rPr>
        <w:t xml:space="preserve">7. Data Model — Module 2 (Sourcing &amp; Resume Aggregation)</w:t>
      </w:r>
      <w:r>
        <w:rPr>
          <w:rFonts w:ascii="Calibri" w:cs="Calibri" w:eastAsia="Calibri" w:hAnsi="Calibri"/>
          <w:sz w:val="19"/>
          <w:szCs w:val="19"/>
        </w:rPr>
        <w:t xml:space="preserve">	</w:t>
      </w:r>
      <w:r>
        <w:fldChar w:fldCharType="begin" w:dirty="true"/>
        <w:instrText xml:space="preserve">PAGEREF bm_10_7_data_model_module_2_sourcing</w:instrText>
        <w:fldChar w:fldCharType="end"/>
      </w:r>
    </w:p>
    <w:p>
      <w:pPr>
        <w:tabs>
          <w:tab w:val="right" w:pos="9350" w:leader="dot"/>
        </w:tabs>
        <w:spacing w:after="60" w:line="240"/>
      </w:pPr>
      <w:r>
        <w:rPr>
          <w:rFonts w:ascii="Calibri" w:cs="Calibri" w:eastAsia="Calibri" w:hAnsi="Calibri"/>
          <w:b/>
          <w:bCs/>
          <w:color w:val="000000"/>
          <w:sz w:val="21"/>
          <w:szCs w:val="21"/>
        </w:rPr>
        <w:t xml:space="preserve">8. API Contracts — Module 1</w:t>
      </w:r>
      <w:r>
        <w:rPr>
          <w:rFonts w:ascii="Calibri" w:cs="Calibri" w:eastAsia="Calibri" w:hAnsi="Calibri"/>
          <w:sz w:val="19"/>
          <w:szCs w:val="19"/>
        </w:rPr>
        <w:t xml:space="preserve">	</w:t>
      </w:r>
      <w:r>
        <w:fldChar w:fldCharType="begin" w:dirty="true"/>
        <w:instrText xml:space="preserve">PAGEREF bm_11_8_api_contracts_module_1</w:instrText>
        <w:fldChar w:fldCharType="end"/>
      </w:r>
    </w:p>
    <w:p>
      <w:pPr>
        <w:tabs>
          <w:tab w:val="right" w:pos="9350" w:leader="dot"/>
        </w:tabs>
        <w:spacing w:after="60" w:line="240"/>
      </w:pPr>
      <w:r>
        <w:rPr>
          <w:rFonts w:ascii="Calibri" w:cs="Calibri" w:eastAsia="Calibri" w:hAnsi="Calibri"/>
          <w:b/>
          <w:bCs/>
          <w:color w:val="000000"/>
          <w:sz w:val="21"/>
          <w:szCs w:val="21"/>
        </w:rPr>
        <w:t xml:space="preserve">9. API Contracts — Module 2</w:t>
      </w:r>
      <w:r>
        <w:rPr>
          <w:rFonts w:ascii="Calibri" w:cs="Calibri" w:eastAsia="Calibri" w:hAnsi="Calibri"/>
          <w:sz w:val="19"/>
          <w:szCs w:val="19"/>
        </w:rPr>
        <w:t xml:space="preserve">	</w:t>
      </w:r>
      <w:r>
        <w:fldChar w:fldCharType="begin" w:dirty="true"/>
        <w:instrText xml:space="preserve">PAGEREF bm_12_9_api_contracts_module_2</w:instrText>
        <w:fldChar w:fldCharType="end"/>
      </w:r>
    </w:p>
    <w:p>
      <w:pPr>
        <w:tabs>
          <w:tab w:val="right" w:pos="9350" w:leader="dot"/>
        </w:tabs>
        <w:spacing w:after="60" w:line="240"/>
      </w:pPr>
      <w:r>
        <w:rPr>
          <w:rFonts w:ascii="Calibri" w:cs="Calibri" w:eastAsia="Calibri" w:hAnsi="Calibri"/>
          <w:b/>
          <w:bCs/>
          <w:color w:val="000000"/>
          <w:sz w:val="21"/>
          <w:szCs w:val="21"/>
        </w:rPr>
        <w:t xml:space="preserve">10. Integration Specifications</w:t>
      </w:r>
      <w:r>
        <w:rPr>
          <w:rFonts w:ascii="Calibri" w:cs="Calibri" w:eastAsia="Calibri" w:hAnsi="Calibri"/>
          <w:sz w:val="19"/>
          <w:szCs w:val="19"/>
        </w:rPr>
        <w:t xml:space="preserve">	</w:t>
      </w:r>
      <w:r>
        <w:fldChar w:fldCharType="begin" w:dirty="true"/>
        <w:instrText xml:space="preserve">PAGEREF bm_13_10_integration_specifications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11. Data Flow Diagrams</w:t>
      </w:r>
      <w:r>
        <w:rPr>
          <w:rFonts w:ascii="Calibri" w:cs="Calibri" w:eastAsia="Calibri" w:hAnsi="Calibri"/>
          <w:sz w:val="19"/>
          <w:szCs w:val="19"/>
        </w:rPr>
        <w:t xml:space="preserve">	</w:t>
      </w:r>
      <w:r>
        <w:fldChar w:fldCharType="begin" w:dirty="true"/>
        <w:instrText xml:space="preserve">PAGEREF bm_14_11_data_flow_diagrams</w:instrText>
        <w:fldChar w:fldCharType="end"/>
      </w:r>
    </w:p>
    <w:p>
      <w:pPr>
        <w:tabs>
          <w:tab w:val="right" w:pos="9350" w:leader="dot"/>
        </w:tabs>
        <w:spacing w:after="60" w:line="240"/>
      </w:pPr>
      <w:r>
        <w:rPr>
          <w:rFonts w:ascii="Calibri" w:cs="Calibri" w:eastAsia="Calibri" w:hAnsi="Calibri"/>
          <w:b/>
          <w:bCs/>
          <w:color w:val="000000"/>
          <w:sz w:val="21"/>
          <w:szCs w:val="21"/>
        </w:rPr>
        <w:t xml:space="preserve">12. Sequence Flows</w:t>
      </w:r>
      <w:r>
        <w:rPr>
          <w:rFonts w:ascii="Calibri" w:cs="Calibri" w:eastAsia="Calibri" w:hAnsi="Calibri"/>
          <w:sz w:val="19"/>
          <w:szCs w:val="19"/>
        </w:rPr>
        <w:t xml:space="preserve">	</w:t>
      </w:r>
      <w:r>
        <w:fldChar w:fldCharType="begin" w:dirty="true"/>
        <w:instrText xml:space="preserve">PAGEREF bm_15_12_sequence_flows</w:instrText>
        <w:fldChar w:fldCharType="end"/>
      </w:r>
    </w:p>
    <w:p>
      <w:pPr>
        <w:tabs>
          <w:tab w:val="right" w:pos="9350" w:leader="dot"/>
        </w:tabs>
        <w:spacing w:after="60" w:line="240"/>
      </w:pPr>
      <w:r>
        <w:rPr>
          <w:rFonts w:ascii="Calibri" w:cs="Calibri" w:eastAsia="Calibri" w:hAnsi="Calibri"/>
          <w:b/>
          <w:bCs/>
          <w:color w:val="000000"/>
          <w:sz w:val="21"/>
          <w:szCs w:val="21"/>
        </w:rPr>
        <w:t xml:space="preserve">13. Object Flow Diagram — JobRequisition Lifecycle</w:t>
      </w:r>
      <w:r>
        <w:rPr>
          <w:rFonts w:ascii="Calibri" w:cs="Calibri" w:eastAsia="Calibri" w:hAnsi="Calibri"/>
          <w:sz w:val="19"/>
          <w:szCs w:val="19"/>
        </w:rPr>
        <w:t xml:space="preserve">	</w:t>
      </w:r>
      <w:r>
        <w:fldChar w:fldCharType="begin" w:dirty="true"/>
        <w:instrText xml:space="preserve">PAGEREF bm_16_13_object_flow_diagram_jobrequ</w:instrText>
        <w:fldChar w:fldCharType="end"/>
      </w:r>
    </w:p>
    <w:p>
      <w:pPr>
        <w:tabs>
          <w:tab w:val="right" w:pos="9350" w:leader="dot"/>
        </w:tabs>
        <w:spacing w:after="60" w:line="240"/>
      </w:pPr>
      <w:r>
        <w:rPr>
          <w:rFonts w:ascii="Calibri" w:cs="Calibri" w:eastAsia="Calibri" w:hAnsi="Calibri"/>
          <w:b/>
          <w:bCs/>
          <w:color w:val="000000"/>
          <w:sz w:val="21"/>
          <w:szCs w:val="21"/>
        </w:rPr>
        <w:t xml:space="preserve">14. Non-Functional / Technical Considerations</w:t>
      </w:r>
      <w:r>
        <w:rPr>
          <w:rFonts w:ascii="Calibri" w:cs="Calibri" w:eastAsia="Calibri" w:hAnsi="Calibri"/>
          <w:sz w:val="19"/>
          <w:szCs w:val="19"/>
        </w:rPr>
        <w:t xml:space="preserve">	</w:t>
      </w:r>
      <w:r>
        <w:fldChar w:fldCharType="begin" w:dirty="true"/>
        <w:instrText xml:space="preserve">PAGEREF bm_17_14_non_functional_technical_co</w:instrText>
        <w:fldChar w:fldCharType="end"/>
      </w:r>
    </w:p>
    <w:p>
      <w:pPr>
        <w:tabs>
          <w:tab w:val="right" w:pos="9350" w:leader="dot"/>
        </w:tabs>
        <w:spacing w:after="60" w:line="240"/>
      </w:pPr>
      <w:r>
        <w:rPr>
          <w:rFonts w:ascii="Calibri" w:cs="Calibri" w:eastAsia="Calibri" w:hAnsi="Calibri"/>
          <w:b/>
          <w:bCs/>
          <w:color w:val="000000"/>
          <w:sz w:val="21"/>
          <w:szCs w:val="21"/>
        </w:rPr>
        <w:t xml:space="preserve">15. Error Handling &amp; Edge Cases</w:t>
      </w:r>
      <w:r>
        <w:rPr>
          <w:rFonts w:ascii="Calibri" w:cs="Calibri" w:eastAsia="Calibri" w:hAnsi="Calibri"/>
          <w:sz w:val="19"/>
          <w:szCs w:val="19"/>
        </w:rPr>
        <w:t xml:space="preserve">	</w:t>
      </w:r>
      <w:r>
        <w:fldChar w:fldCharType="begin" w:dirty="true"/>
        <w:instrText xml:space="preserve">PAGEREF bm_18_15_error_handling_edge_cases</w:instrText>
        <w:fldChar w:fldCharType="end"/>
      </w:r>
    </w:p>
    <w:p>
      <w:pPr>
        <w:tabs>
          <w:tab w:val="right" w:pos="9350" w:leader="dot"/>
        </w:tabs>
        <w:spacing w:after="60" w:line="240"/>
      </w:pPr>
      <w:r>
        <w:rPr>
          <w:rFonts w:ascii="Calibri" w:cs="Calibri" w:eastAsia="Calibri" w:hAnsi="Calibri"/>
          <w:b/>
          <w:bCs/>
          <w:color w:val="000000"/>
          <w:sz w:val="21"/>
          <w:szCs w:val="21"/>
        </w:rPr>
        <w:t xml:space="preserve">16. Open Technical Decisions / Dependencies</w:t>
      </w:r>
      <w:r>
        <w:rPr>
          <w:rFonts w:ascii="Calibri" w:cs="Calibri" w:eastAsia="Calibri" w:hAnsi="Calibri"/>
          <w:sz w:val="19"/>
          <w:szCs w:val="19"/>
        </w:rPr>
        <w:t xml:space="preserve">	</w:t>
      </w:r>
      <w:r>
        <w:fldChar w:fldCharType="begin" w:dirty="true"/>
        <w:instrText xml:space="preserve">PAGEREF bm_19_16_open_technical_decisions_de</w:instrText>
        <w:fldChar w:fldCharType="end"/>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Technical Design Document (TDD) specifies the data model, API contracts, integration mechanics, and sequence flows for the two modules whose requirements are carried at Draft v2.0 (pending formal approval) in the companion BRD/PRD (PHN-HR-2026-01-BRDPRD): Module 1 — Job Description (JD) Intake &amp; Freezing, and Module 2 — Candidate Sourcing &amp; Resume Aggregation. It is the engineering handoff artifact for these two modules; it does not restate business rationale, which lives in the BRD/PRD. This TDD itself carries the same status — see Document Control/Authorization below for the current sign-off state; "Draft v2.0" in this document's own identification reflects that no Reviewed-by/Approved-by has yet been recorded.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Release 1 boundary: this document covers Module 1 (JD Intake &amp; Freezing) and Module 2 (Sourcing &amp; Resume Aggregation) only — Modules 3–10 are explicitly out of scope for Release 1 and will be issued as their own Technical Design documents once each module's requirements reach Approved Baseline in the BRD/PRD. Release 1 includes, as an in-scope (not deferred) requirement, the staffing-agency / multi-client tenant model described in Section 5: a Tenant may be either a direct employer or a staffing agency acting on behalf of one or more end-client companies, and this hierarchy is reflected throughout the Module 1 and Module 2 data model, APIs, and isolation rules below. The Client Stakeholder (end-client-facing) portal role is explicitly out of scope for Release 1 pending the access-model decision in Section 16 — Release 1 exposes agency requisitions/candidates only to the agency's own internal users (Recruiter/HR, Tenant Admin), never directly to an end-client contact.</w:t>
      </w:r>
    </w:p>
    <w:p>
      <w:pPr>
        <w:spacing w:after="160" w:line="300"/>
        <w:jc w:val="both"/>
      </w:pPr>
      <w:r>
        <w:rPr>
          <w:rFonts w:ascii="Calibri" w:cs="Calibri" w:eastAsia="Calibri" w:hAnsi="Calibri"/>
          <w:color w:val="1A1A1A"/>
          <w:sz w:val="22"/>
          <w:szCs w:val="22"/>
        </w:rPr>
        <w:t xml:space="preserve">In scope: entity/field-level data model, REST API contracts, third-party integration specifications (Naukri RMS, LinkedIn Talent Solutions, email intake, resume/NLP parsing), sequence flows, and the technical non-functional considerations specific to these two modules. Out of scope: UI/screen design (a separate UX specification), and the data model/APIs for Modules 3–10.</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BRD/PRD — Phoneme HR Suite: Candidate Search to Onboarding Module (PHN-HR-2026-01-BRDPRD), Section 4.1 and 4.2 — the Feature Lists and Approved Decisions this design implements.</w:t>
      </w:r>
    </w:p>
    <w:p>
      <w:pPr>
        <w:pStyle w:val="ListParagraph"/>
        <w:numPr>
          <w:ilvl w:val="0"/>
          <w:numId w:val="2"/>
        </w:numPr>
        <w:spacing w:after="80" w:line="280"/>
      </w:pPr>
      <w:r>
        <w:rPr>
          <w:rFonts w:ascii="Calibri" w:cs="Calibri" w:eastAsia="Calibri" w:hAnsi="Calibri"/>
          <w:color w:val="1A1A1A"/>
          <w:sz w:val="22"/>
          <w:szCs w:val="22"/>
        </w:rPr>
        <w:t xml:space="preserve">Naukri RMS (Recruiter Management System) employer API documentation.</w:t>
      </w:r>
    </w:p>
    <w:p>
      <w:pPr>
        <w:pStyle w:val="ListParagraph"/>
        <w:numPr>
          <w:ilvl w:val="0"/>
          <w:numId w:val="2"/>
        </w:numPr>
        <w:spacing w:after="80" w:line="280"/>
      </w:pPr>
      <w:r>
        <w:rPr>
          <w:rFonts w:ascii="Calibri" w:cs="Calibri" w:eastAsia="Calibri" w:hAnsi="Calibri"/>
          <w:color w:val="1A1A1A"/>
          <w:sz w:val="22"/>
          <w:szCs w:val="22"/>
        </w:rPr>
        <w:t xml:space="preserve">LinkedIn Recruiter / Talent Solutions API documentation (OAuth2 authorization-code flow).</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TDD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Natural Language Processing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Management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PII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Personally Identifiable Information</w:t>
            </w:r>
          </w:p>
        </w:tc>
      </w:tr>
    </w:tbl>
    <w:p>
      <w:pPr>
        <w:spacing w:after="200"/>
      </w:pPr>
    </w:p>
    <w:p>
      <w:pPr>
        <w:pStyle w:val="Heading1"/>
        <w:spacing w:after="140" w:before="320"/>
      </w:pPr>
      <w:bookmarkStart w:name="bm_5_2_system_context_architecture_" w:id="1005"/>
      <w:r>
        <w:rPr>
          <w:rFonts w:ascii="Calibri" w:cs="Calibri" w:eastAsia="Calibri" w:hAnsi="Calibri"/>
          <w:b/>
          <w:bCs/>
          <w:color w:val="D34817"/>
          <w:sz w:val="30"/>
          <w:szCs w:val="30"/>
        </w:rPr>
        <w:t xml:space="preserve">2. System Context &amp; Architecture Overview</w:t>
      </w:r>
      <w:bookmarkEnd w:id="1005"/>
    </w:p>
    <w:p>
      <w:pPr>
        <w:spacing w:after="160" w:line="300"/>
        <w:jc w:val="both"/>
      </w:pPr>
      <w:r>
        <w:rPr>
          <w:rFonts w:ascii="Calibri" w:cs="Calibri" w:eastAsia="Calibri" w:hAnsi="Calibri"/>
          <w:color w:val="1A1A1A"/>
          <w:sz w:val="22"/>
          <w:szCs w:val="22"/>
        </w:rPr>
        <w:t xml:space="preserve">Both modules sit behind the tenant-aware API layer described in the BRD/PRD's solution overview. Module 1 owns the requisition and JD lifecycle; Module 2 owns candidate intake and dedupe. Module 1's freeze action is the trigger that hands a requisition to Module 2 (publish to sourcing channels); Module 2's unified candidate record is the entry point for Module 3 (Screening &amp; Shortlisting, out of scope here).</w:t>
      </w:r>
    </w:p>
    <w:p>
      <w:pPr>
        <w:pStyle w:val="Heading3"/>
        <w:spacing w:after="80" w:before="160"/>
      </w:pPr>
      <w:r>
        <w:rPr>
          <w:rFonts w:ascii="Calibri" w:cs="Calibri" w:eastAsia="Calibri" w:hAnsi="Calibri"/>
          <w:b/>
          <w:bCs/>
          <w:color w:val="000000"/>
          <w:sz w:val="22"/>
          <w:szCs w:val="22"/>
        </w:rPr>
        <w:t xml:space="preserve">Component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Component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Owns</w:t>
            </w:r>
          </w:p>
        </w:tc>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Consumes / Produces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 lifecycle, approval state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Produces requisition.frozen event consumed by Publish Service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multi-variant JD generation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briefs; produces JDVersion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 Matrix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Weighted matrix generation and storage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Triggered by requisition freeze; produces ScoringMatrix + ScoringCriterion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Publish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Fan-out of a frozen requisition to configured sourcing channels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requisition.frozen; calls channel adapters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Adapters (Naukri RMS, LinkedIn, Email, Manual, Referral)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Per-channel ingestion/posting logic</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 raw candidate/application payloads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 Parsing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field extraction from resume files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resume files; produces parsed candidate JSON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Dedupe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 candidate detection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parsed candidate records; produces DuplicateMatch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 Store / Unified Inbox Index</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Canonical Candidate and Application records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Serves search/filter queries for the unified resume inbox</w:t>
            </w:r>
          </w:p>
        </w:tc>
      </w:tr>
    </w:tbl>
    <w:p>
      <w:pPr>
        <w:pStyle w:val="Heading3"/>
        <w:spacing w:after="80" w:before="160"/>
      </w:pPr>
      <w:r>
        <w:rPr>
          <w:rFonts w:ascii="Calibri" w:cs="Calibri" w:eastAsia="Calibri" w:hAnsi="Calibri"/>
          <w:b/>
          <w:bCs/>
          <w:color w:val="000000"/>
          <w:sz w:val="22"/>
          <w:szCs w:val="22"/>
        </w:rPr>
        <w:t xml:space="preserve">Architecture Diagram</w:t>
      </w:r>
    </w:p>
    <w:p>
      <w:pPr>
        <w:spacing w:after="160" w:line="300"/>
        <w:jc w:val="both"/>
      </w:pPr>
      <w:r>
        <w:rPr>
          <w:rFonts w:ascii="Calibri" w:cs="Calibri" w:eastAsia="Calibri" w:hAnsi="Calibri"/>
          <w:color w:val="1A1A1A"/>
          <w:sz w:val="22"/>
          <w:szCs w:val="22"/>
        </w:rPr>
        <w:t xml:space="preserve">The diagram below shows the component layout for Module 1 and Module 2 within the wider platform: client layer, API gateway, the two modules' internal services, the cross-cutting platform services (Auth, Key/Secrets Management, Audit, Notification), and the shared per-tenant data layer.</w:t>
      </w:r>
    </w:p>
    <w:p>
      <w:pPr>
        <w:keepNext/>
        <w:spacing w:after="60" w:before="100"/>
        <w:jc w:val="center"/>
      </w:pPr>
      <w:r>
        <w:drawing>
          <wp:inline distT="0" distB="0" distL="0" distR="0">
            <wp:extent cx="5715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895850"/>
                    </a:xfrm>
                    <a:prstGeom prst="rect">
                      <a:avLst/>
                    </a:prstGeom>
                  </pic:spPr>
                </pic:pic>
              </a:graphicData>
            </a:graphic>
          </wp:inline>
        </w:drawing>
      </w:r>
    </w:p>
    <w:p>
      <w:pPr>
        <w:keepLines/>
        <w:spacing w:after="200"/>
        <w:jc w:val="center"/>
      </w:pPr>
      <w:r>
        <w:rPr>
          <w:i/>
          <w:iCs/>
          <w:color w:val="6E6E6E"/>
          <w:sz w:val="18"/>
          <w:szCs w:val="18"/>
        </w:rPr>
        <w:t xml:space="preserve">Figure 2.1 — System architecture: Module 1 &amp; 2 components, cross-cutting services, and data layer</w:t>
      </w:r>
    </w:p>
    <w:p>
      <w:pPr>
        <w:spacing w:after="200"/>
      </w:pPr>
    </w:p>
    <w:p>
      <w:pPr>
        <w:pStyle w:val="Heading1"/>
        <w:spacing w:after="140" w:before="320"/>
      </w:pPr>
      <w:bookmarkStart w:name="bm_6_3_aaa_authentication_authoriza" w:id="1006"/>
      <w:r>
        <w:rPr>
          <w:rFonts w:ascii="Calibri" w:cs="Calibri" w:eastAsia="Calibri" w:hAnsi="Calibri"/>
          <w:b/>
          <w:bCs/>
          <w:color w:val="D34817"/>
          <w:sz w:val="30"/>
          <w:szCs w:val="30"/>
        </w:rPr>
        <w:t xml:space="preserve">3. AAA — Authentication, Authorization &amp; Session Management</w:t>
      </w:r>
      <w:bookmarkEnd w:id="1006"/>
    </w:p>
    <w:p>
      <w:pPr>
        <w:spacing w:after="160" w:line="300"/>
        <w:jc w:val="both"/>
      </w:pPr>
      <w:r>
        <w:rPr>
          <w:rFonts w:ascii="Calibri" w:cs="Calibri" w:eastAsia="Calibri" w:hAnsi="Calibri"/>
          <w:color w:val="1A1A1A"/>
          <w:sz w:val="22"/>
          <w:szCs w:val="22"/>
        </w:rPr>
        <w:t xml:space="preserve">Authentication, authorization, and session handling are platform-wide services consumed by every module, not module-specific logic. This section defines the pattern Module 1 and Module 2 build against; it becomes the standard for all subsequent modules.</w:t>
      </w:r>
    </w:p>
    <w:p>
      <w:pPr>
        <w:pStyle w:val="Heading3"/>
        <w:spacing w:after="80" w:before="160"/>
      </w:pPr>
      <w:r>
        <w:rPr>
          <w:rFonts w:ascii="Calibri" w:cs="Calibri" w:eastAsia="Calibri" w:hAnsi="Calibri"/>
          <w:b/>
          <w:bCs/>
          <w:color w:val="000000"/>
          <w:sz w:val="22"/>
          <w:szCs w:val="22"/>
        </w:rPr>
        <w:t xml:space="preserve">3.1 Authentication</w:t>
      </w:r>
    </w:p>
    <w:p>
      <w:pPr>
        <w:pStyle w:val="ListParagraph"/>
        <w:numPr>
          <w:ilvl w:val="0"/>
          <w:numId w:val="2"/>
        </w:numPr>
        <w:spacing w:after="80" w:line="280"/>
      </w:pPr>
      <w:r>
        <w:rPr>
          <w:rFonts w:ascii="Calibri" w:cs="Calibri" w:eastAsia="Calibri" w:hAnsi="Calibri"/>
          <w:color w:val="1A1A1A"/>
          <w:sz w:val="22"/>
          <w:szCs w:val="22"/>
        </w:rPr>
        <w:t xml:space="preserve">OIDC-based login for managers/HR/recruiters via a tenant-scoped identity provider (supports tenant SSO where the customer has one, or a Phoneme-managed identity pool otherwise).</w:t>
      </w:r>
    </w:p>
    <w:p>
      <w:pPr>
        <w:pStyle w:val="ListParagraph"/>
        <w:numPr>
          <w:ilvl w:val="0"/>
          <w:numId w:val="2"/>
        </w:numPr>
        <w:spacing w:after="80" w:line="280"/>
      </w:pPr>
      <w:r>
        <w:rPr>
          <w:rFonts w:ascii="Calibri" w:cs="Calibri" w:eastAsia="Calibri" w:hAnsi="Calibri"/>
          <w:color w:val="1A1A1A"/>
          <w:sz w:val="22"/>
          <w:szCs w:val="22"/>
        </w:rPr>
        <w:t xml:space="preserve">Candidates authenticate separately via a magic-link / OTP flow tied to their application record — no password, no standing account.</w:t>
      </w:r>
    </w:p>
    <w:p>
      <w:pPr>
        <w:pStyle w:val="ListParagraph"/>
        <w:numPr>
          <w:ilvl w:val="0"/>
          <w:numId w:val="2"/>
        </w:numPr>
        <w:spacing w:after="80" w:line="280"/>
      </w:pPr>
      <w:r>
        <w:rPr>
          <w:rFonts w:ascii="Calibri" w:cs="Calibri" w:eastAsia="Calibri" w:hAnsi="Calibri"/>
          <w:color w:val="1A1A1A"/>
          <w:sz w:val="22"/>
          <w:szCs w:val="22"/>
        </w:rPr>
        <w:t xml:space="preserve">All tokens carry a tenant_id claim; the API Gateway rejects any request where the token's tenant_id does not match the tenant context of the resource being accessed.</w:t>
      </w:r>
    </w:p>
    <w:p>
      <w:pPr>
        <w:pStyle w:val="Heading3"/>
        <w:spacing w:after="80" w:before="160"/>
      </w:pPr>
      <w:r>
        <w:rPr>
          <w:rFonts w:ascii="Calibri" w:cs="Calibri" w:eastAsia="Calibri" w:hAnsi="Calibri"/>
          <w:b/>
          <w:bCs/>
          <w:color w:val="000000"/>
          <w:sz w:val="22"/>
          <w:szCs w:val="22"/>
        </w:rPr>
        <w:t xml:space="preserve">3.2 Authorization</w:t>
      </w:r>
    </w:p>
    <w:p>
      <w:pPr>
        <w:pStyle w:val="ListParagraph"/>
        <w:numPr>
          <w:ilvl w:val="0"/>
          <w:numId w:val="2"/>
        </w:numPr>
        <w:spacing w:after="80" w:line="280"/>
      </w:pPr>
      <w:r>
        <w:rPr>
          <w:rFonts w:ascii="Calibri" w:cs="Calibri" w:eastAsia="Calibri" w:hAnsi="Calibri"/>
          <w:color w:val="1A1A1A"/>
          <w:sz w:val="22"/>
          <w:szCs w:val="22"/>
        </w:rPr>
        <w:t xml:space="preserve">Role-based access control (RBAC) at the API Gateway and service layer: roles at minimum include Manager, Recruiter/HR, Tenant Admin, Candidate, and Phoneme Platform Admin (break-glass, fully audited).</w:t>
      </w:r>
    </w:p>
    <w:p>
      <w:pPr>
        <w:pStyle w:val="ListParagraph"/>
        <w:numPr>
          <w:ilvl w:val="0"/>
          <w:numId w:val="2"/>
        </w:numPr>
        <w:spacing w:after="80" w:line="280"/>
      </w:pPr>
      <w:r>
        <w:rPr>
          <w:rFonts w:ascii="Calibri" w:cs="Calibri" w:eastAsia="Calibri" w:hAnsi="Calibri"/>
          <w:color w:val="1A1A1A"/>
          <w:sz w:val="22"/>
          <w:szCs w:val="22"/>
        </w:rPr>
        <w:t xml:space="preserve">Authorization is evaluated per-request against (tenant_id, role, resource) — a Manager can only freeze/edit requisitions in their own department unless granted a broader scope by the Tenant Admin.</w:t>
      </w:r>
    </w:p>
    <w:p>
      <w:pPr>
        <w:pStyle w:val="ListParagraph"/>
        <w:numPr>
          <w:ilvl w:val="0"/>
          <w:numId w:val="2"/>
        </w:numPr>
        <w:spacing w:after="80" w:line="280"/>
      </w:pPr>
      <w:r>
        <w:rPr>
          <w:rFonts w:ascii="Calibri" w:cs="Calibri" w:eastAsia="Calibri" w:hAnsi="Calibri"/>
          <w:color w:val="1A1A1A"/>
          <w:sz w:val="22"/>
          <w:szCs w:val="22"/>
        </w:rPr>
        <w:t xml:space="preserve">Field-level authorization: PII fields (e.g. candidate salary expectations, BGV data in later modules) are visible only to roles explicitly entitled to them, independent of general resource access.</w:t>
      </w:r>
    </w:p>
    <w:p>
      <w:pPr>
        <w:pStyle w:val="Heading3"/>
        <w:spacing w:after="80" w:before="160"/>
      </w:pPr>
      <w:r>
        <w:rPr>
          <w:rFonts w:ascii="Calibri" w:cs="Calibri" w:eastAsia="Calibri" w:hAnsi="Calibri"/>
          <w:b/>
          <w:bCs/>
          <w:color w:val="000000"/>
          <w:sz w:val="22"/>
          <w:szCs w:val="22"/>
        </w:rPr>
        <w:t xml:space="preserve">3.3 Session Management</w:t>
      </w:r>
    </w:p>
    <w:p>
      <w:pPr>
        <w:spacing w:after="160" w:line="300"/>
        <w:jc w:val="both"/>
      </w:pPr>
      <w:r>
        <w:rPr>
          <w:rFonts w:ascii="Calibri" w:cs="Calibri" w:eastAsia="Calibri" w:hAnsi="Calibri"/>
          <w:color w:val="1A1A1A"/>
          <w:sz w:val="22"/>
          <w:szCs w:val="22"/>
        </w:rPr>
        <w:t xml:space="preserve">Session state is server-side (Redis-backed) so that revocation is immediate and centrally enforceable — a design choice over purely stateless JWT validation, which cannot be revoked before expiry.</w:t>
      </w:r>
    </w:p>
    <w:p>
      <w:pPr>
        <w:keepNext/>
        <w:spacing w:after="60" w:before="10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43375"/>
                    </a:xfrm>
                    <a:prstGeom prst="rect">
                      <a:avLst/>
                    </a:prstGeom>
                  </pic:spPr>
                </pic:pic>
              </a:graphicData>
            </a:graphic>
          </wp:inline>
        </w:drawing>
      </w:r>
    </w:p>
    <w:p>
      <w:pPr>
        <w:keepLines/>
        <w:spacing w:after="200"/>
        <w:jc w:val="center"/>
      </w:pPr>
      <w:r>
        <w:rPr>
          <w:i/>
          <w:iCs/>
          <w:color w:val="6E6E6E"/>
          <w:sz w:val="18"/>
          <w:szCs w:val="18"/>
        </w:rPr>
        <w:t xml:space="preserve">Figure 3.1 — Manager login, per-request AuthN/AuthZ check, token refresh, and logout/revocation sequence</w:t>
      </w:r>
    </w:p>
    <w:p>
      <w:pPr>
        <w:pStyle w:val="ListParagraph"/>
        <w:numPr>
          <w:ilvl w:val="0"/>
          <w:numId w:val="2"/>
        </w:numPr>
        <w:spacing w:after="80" w:line="280"/>
      </w:pPr>
      <w:r>
        <w:rPr>
          <w:rFonts w:ascii="Calibri" w:cs="Calibri" w:eastAsia="Calibri" w:hAnsi="Calibri"/>
          <w:color w:val="1A1A1A"/>
          <w:sz w:val="22"/>
          <w:szCs w:val="22"/>
        </w:rPr>
        <w:t xml:space="preserve">Access tokens: short-lived JWT (15 minutes), signature-verified at the gateway on every request.</w:t>
      </w:r>
    </w:p>
    <w:p>
      <w:pPr>
        <w:pStyle w:val="ListParagraph"/>
        <w:numPr>
          <w:ilvl w:val="0"/>
          <w:numId w:val="2"/>
        </w:numPr>
        <w:spacing w:after="80" w:line="280"/>
      </w:pPr>
      <w:r>
        <w:rPr>
          <w:rFonts w:ascii="Calibri" w:cs="Calibri" w:eastAsia="Calibri" w:hAnsi="Calibri"/>
          <w:color w:val="1A1A1A"/>
          <w:sz w:val="22"/>
          <w:szCs w:val="22"/>
        </w:rPr>
        <w:t xml:space="preserve">Refresh tokens: 7-day validity, rotating on each use (old refresh token invalidated the moment a new one is issued) to limit replay risk.</w:t>
      </w:r>
    </w:p>
    <w:p>
      <w:pPr>
        <w:pStyle w:val="ListParagraph"/>
        <w:numPr>
          <w:ilvl w:val="0"/>
          <w:numId w:val="2"/>
        </w:numPr>
        <w:spacing w:after="80" w:line="280"/>
      </w:pPr>
      <w:r>
        <w:rPr>
          <w:rFonts w:ascii="Calibri" w:cs="Calibri" w:eastAsia="Calibri" w:hAnsi="Calibri"/>
          <w:color w:val="1A1A1A"/>
          <w:sz w:val="22"/>
          <w:szCs w:val="22"/>
        </w:rPr>
        <w:t xml:space="preserve">Session cookie: HttpOnly, Secure, SameSite=Strict — never exposed to page JavaScript.</w:t>
      </w:r>
    </w:p>
    <w:p>
      <w:pPr>
        <w:pStyle w:val="ListParagraph"/>
        <w:numPr>
          <w:ilvl w:val="0"/>
          <w:numId w:val="2"/>
        </w:numPr>
        <w:spacing w:after="80" w:line="280"/>
      </w:pPr>
      <w:r>
        <w:rPr>
          <w:rFonts w:ascii="Calibri" w:cs="Calibri" w:eastAsia="Calibri" w:hAnsi="Calibri"/>
          <w:color w:val="1A1A1A"/>
          <w:sz w:val="22"/>
          <w:szCs w:val="22"/>
        </w:rPr>
        <w:t xml:space="preserve">Logout and administrative revocation both delete the Redis session record and blacklist the associated refresh token immediately.</w:t>
      </w:r>
    </w:p>
    <w:p>
      <w:pPr>
        <w:spacing w:after="200"/>
      </w:pPr>
    </w:p>
    <w:p>
      <w:pPr>
        <w:pStyle w:val="Heading1"/>
        <w:spacing w:after="140" w:before="320"/>
      </w:pPr>
      <w:bookmarkStart w:name="bm_7_4_key_management" w:id="1007"/>
      <w:r>
        <w:rPr>
          <w:rFonts w:ascii="Calibri" w:cs="Calibri" w:eastAsia="Calibri" w:hAnsi="Calibri"/>
          <w:b/>
          <w:bCs/>
          <w:color w:val="D34817"/>
          <w:sz w:val="30"/>
          <w:szCs w:val="30"/>
        </w:rPr>
        <w:t xml:space="preserve">4. Key Management</w:t>
      </w:r>
      <w:bookmarkEnd w:id="1007"/>
    </w:p>
    <w:p>
      <w:pPr>
        <w:spacing w:after="160" w:line="300"/>
        <w:jc w:val="both"/>
      </w:pPr>
      <w:r>
        <w:rPr>
          <w:rFonts w:ascii="Calibri" w:cs="Calibri" w:eastAsia="Calibri" w:hAnsi="Calibri"/>
          <w:color w:val="1A1A1A"/>
          <w:sz w:val="22"/>
          <w:szCs w:val="22"/>
        </w:rPr>
        <w:t xml:space="preserve">Every channel credential (Naukri RMS, LinkedIn Recruiter API keys), and every PII field stored at rest, is protected through a cloud KMS plus a secrets-manager layer rather than application-level static secrets.</w:t>
      </w:r>
    </w:p>
    <w:p>
      <w:pPr>
        <w:keepNext/>
        <w:spacing w:after="60" w:before="10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95650"/>
                    </a:xfrm>
                    <a:prstGeom prst="rect">
                      <a:avLst/>
                    </a:prstGeom>
                  </pic:spPr>
                </pic:pic>
              </a:graphicData>
            </a:graphic>
          </wp:inline>
        </w:drawing>
      </w:r>
    </w:p>
    <w:p>
      <w:pPr>
        <w:keepLines/>
        <w:spacing w:after="200"/>
        <w:jc w:val="center"/>
      </w:pPr>
      <w:r>
        <w:rPr>
          <w:i/>
          <w:iCs/>
          <w:color w:val="6E6E6E"/>
          <w:sz w:val="18"/>
          <w:szCs w:val="18"/>
        </w:rPr>
        <w:t xml:space="preserve">Figure 4.1 — Key management layer: KMS, secrets manager, per-tenant data-encryption keys, and encrypted storage</w:t>
      </w:r>
    </w:p>
    <w:p>
      <w:pPr>
        <w:pStyle w:val="Heading3"/>
        <w:spacing w:after="80" w:before="160"/>
      </w:pPr>
      <w:r>
        <w:rPr>
          <w:rFonts w:ascii="Calibri" w:cs="Calibri" w:eastAsia="Calibri" w:hAnsi="Calibri"/>
          <w:b/>
          <w:bCs/>
          <w:color w:val="000000"/>
          <w:sz w:val="22"/>
          <w:szCs w:val="22"/>
        </w:rPr>
        <w:t xml:space="preserve">4.1 Principles</w:t>
      </w:r>
    </w:p>
    <w:p>
      <w:pPr>
        <w:pStyle w:val="ListParagraph"/>
        <w:numPr>
          <w:ilvl w:val="0"/>
          <w:numId w:val="2"/>
        </w:numPr>
        <w:spacing w:after="80" w:line="280"/>
      </w:pPr>
      <w:r>
        <w:rPr>
          <w:rFonts w:ascii="Calibri" w:cs="Calibri" w:eastAsia="Calibri" w:hAnsi="Calibri"/>
          <w:color w:val="1A1A1A"/>
          <w:sz w:val="22"/>
          <w:szCs w:val="22"/>
        </w:rPr>
        <w:t xml:space="preserve">No service ever holds a long-lived plaintext secret. Channel credentials are fetched just-in-time from the secrets manager (HashiCorp Vault or the cloud-native equivalent) with short-lived leases (max 15 minutes).</w:t>
      </w:r>
    </w:p>
    <w:p>
      <w:pPr>
        <w:pStyle w:val="ListParagraph"/>
        <w:numPr>
          <w:ilvl w:val="0"/>
          <w:numId w:val="2"/>
        </w:numPr>
        <w:spacing w:after="80" w:line="280"/>
      </w:pPr>
      <w:r>
        <w:rPr>
          <w:rFonts w:ascii="Calibri" w:cs="Calibri" w:eastAsia="Calibri" w:hAnsi="Calibri"/>
          <w:color w:val="1A1A1A"/>
          <w:sz w:val="22"/>
          <w:szCs w:val="22"/>
        </w:rPr>
        <w:t xml:space="preserve">Envelope encryption: a cloud KMS (AWS KMS / Azure Key Vault) holds the master key; per-tenant Data Encryption Keys (DEKs) are generated, wrapped by the master key, and used to encrypt tenant data — the master key itself never leaves the KMS.</w:t>
      </w:r>
    </w:p>
    <w:p>
      <w:pPr>
        <w:pStyle w:val="ListParagraph"/>
        <w:numPr>
          <w:ilvl w:val="0"/>
          <w:numId w:val="2"/>
        </w:numPr>
        <w:spacing w:after="80" w:line="280"/>
      </w:pPr>
      <w:r>
        <w:rPr>
          <w:rFonts w:ascii="Calibri" w:cs="Calibri" w:eastAsia="Calibri" w:hAnsi="Calibri"/>
          <w:color w:val="1A1A1A"/>
          <w:sz w:val="22"/>
          <w:szCs w:val="22"/>
        </w:rPr>
        <w:t xml:space="preserve">PII and sensitive fields (SourcingChannelConfig.credentials_ref, candidate salary/compensation data introduced in later modules) are encrypted at the column level in PostgreSQL using the tenant's DEK; resumes and offer documents in object storage use server-side encryption (SSE-KMS).</w:t>
      </w:r>
    </w:p>
    <w:p>
      <w:pPr>
        <w:pStyle w:val="Heading3"/>
        <w:spacing w:after="80" w:before="160"/>
      </w:pPr>
      <w:r>
        <w:rPr>
          <w:rFonts w:ascii="Calibri" w:cs="Calibri" w:eastAsia="Calibri" w:hAnsi="Calibri"/>
          <w:b/>
          <w:bCs/>
          <w:color w:val="000000"/>
          <w:sz w:val="22"/>
          <w:szCs w:val="22"/>
        </w:rPr>
        <w:t xml:space="preserve">4.2 Rotation &amp; Audit</w:t>
      </w:r>
    </w:p>
    <w:p>
      <w:pPr>
        <w:pStyle w:val="ListParagraph"/>
        <w:numPr>
          <w:ilvl w:val="0"/>
          <w:numId w:val="2"/>
        </w:numPr>
        <w:spacing w:after="80" w:line="280"/>
      </w:pPr>
      <w:r>
        <w:rPr>
          <w:rFonts w:ascii="Calibri" w:cs="Calibri" w:eastAsia="Calibri" w:hAnsi="Calibri"/>
          <w:color w:val="1A1A1A"/>
          <w:sz w:val="22"/>
          <w:szCs w:val="22"/>
        </w:rPr>
        <w:t xml:space="preserve">Three distinct operations are kept separate, per the cloud KMS provider's own distinction between key rotation and data re-encryption: (1) KMS master-key rotation, (2) per-tenant DEK rotation, and (3) re-encryption of already-stored data. Conflating these was flagged as a design error in the v1.1 draft and is corrected here.</w:t>
      </w:r>
    </w:p>
    <w:p>
      <w:pPr>
        <w:pStyle w:val="ListParagraph"/>
        <w:numPr>
          <w:ilvl w:val="0"/>
          <w:numId w:val="2"/>
        </w:numPr>
        <w:spacing w:after="80" w:line="280"/>
      </w:pPr>
      <w:r>
        <w:rPr>
          <w:rFonts w:ascii="Calibri" w:cs="Calibri" w:eastAsia="Calibri" w:hAnsi="Calibri"/>
          <w:color w:val="1A1A1A"/>
          <w:sz w:val="22"/>
          <w:szCs w:val="22"/>
        </w:rPr>
        <w:t xml:space="preserve">KMS master-key rotation: the cloud KMS rotates the master key on its default schedule (typically annual) or on-demand. For the chosen provider's automatic rotation (e.g. AWS KMS), rotation generates new key material for future encrypt operations, but existing wrapped DEKs are not automatically re-wrapped — the provider retains all prior key material internally so those DEKs continue to unwrap and decrypt correctly without any action. Re-wrapping a DEK under a specific newer key version is a distinct, explicit operation (see re-encryption below), never an automatic side effect of master-key rotation.</w:t>
      </w:r>
    </w:p>
    <w:p>
      <w:pPr>
        <w:pStyle w:val="ListParagraph"/>
        <w:numPr>
          <w:ilvl w:val="0"/>
          <w:numId w:val="2"/>
        </w:numPr>
        <w:spacing w:after="80" w:line="280"/>
      </w:pPr>
      <w:r>
        <w:rPr>
          <w:rFonts w:ascii="Calibri" w:cs="Calibri" w:eastAsia="Calibri" w:hAnsi="Calibri"/>
          <w:color w:val="1A1A1A"/>
          <w:sz w:val="22"/>
          <w:szCs w:val="22"/>
        </w:rPr>
        <w:t xml:space="preserve">Per-tenant DEK rotation: a new DEK version is generated every 90 days (or on-demand, e.g. after a suspected compromise). Each encrypted record/object stores a key_version reference alongside its ciphertext, so newly written data immediately uses the current DEK version while existing data remains readable under its original version — rotation does not require synchronous re-encryption of the whole tenant's data set.</w:t>
      </w:r>
    </w:p>
    <w:p>
      <w:pPr>
        <w:pStyle w:val="ListParagraph"/>
        <w:numPr>
          <w:ilvl w:val="0"/>
          <w:numId w:val="2"/>
        </w:numPr>
        <w:spacing w:after="80" w:line="280"/>
      </w:pPr>
      <w:r>
        <w:rPr>
          <w:rFonts w:ascii="Calibri" w:cs="Calibri" w:eastAsia="Calibri" w:hAnsi="Calibri"/>
          <w:color w:val="1A1A1A"/>
          <w:sz w:val="22"/>
          <w:szCs w:val="22"/>
        </w:rPr>
        <w:t xml:space="preserve">Re-encryption of existing data under a new DEK version is a separate, explicitly-scheduled background job (not an implicit side effect of rotation), run tenant-by-tenant with progress tracked per table/object-storage prefix; if a re-encryption job is interrupted, it resumes from the last completed batch using the recorded key_version watermark rather than restarting or leaving mixed-version data unaccounted for.</w:t>
      </w:r>
    </w:p>
    <w:p>
      <w:pPr>
        <w:pStyle w:val="ListParagraph"/>
        <w:numPr>
          <w:ilvl w:val="0"/>
          <w:numId w:val="2"/>
        </w:numPr>
        <w:spacing w:after="80" w:line="280"/>
      </w:pPr>
      <w:r>
        <w:rPr>
          <w:rFonts w:ascii="Calibri" w:cs="Calibri" w:eastAsia="Calibri" w:hAnsi="Calibri"/>
          <w:color w:val="1A1A1A"/>
          <w:sz w:val="22"/>
          <w:szCs w:val="22"/>
        </w:rPr>
        <w:t xml:space="preserve">Every secret access is logged to the Audit &amp; Event Log with requester identity, tenant_id, and purpose — required both for SOC2-style controls and for DPDP Act accountability obligations.</w:t>
      </w:r>
    </w:p>
    <w:p>
      <w:pPr>
        <w:pStyle w:val="ListParagraph"/>
        <w:numPr>
          <w:ilvl w:val="0"/>
          <w:numId w:val="2"/>
        </w:numPr>
        <w:spacing w:after="80" w:line="280"/>
      </w:pPr>
      <w:r>
        <w:rPr>
          <w:rFonts w:ascii="Calibri" w:cs="Calibri" w:eastAsia="Calibri" w:hAnsi="Calibri"/>
          <w:color w:val="1A1A1A"/>
          <w:sz w:val="22"/>
          <w:szCs w:val="22"/>
        </w:rPr>
        <w:t xml:space="preserve">Credential rotation for a sourcing channel (e.g. a new Naukri RMS API key) is a Tenant Admin action that writes a new SourcingChannelConfig.credentials_ref without any service restart.</w:t>
      </w:r>
    </w:p>
    <w:p>
      <w:pPr>
        <w:spacing w:after="200"/>
      </w:pPr>
    </w:p>
    <w:p>
      <w:pPr>
        <w:pStyle w:val="Heading1"/>
        <w:spacing w:after="140" w:before="320"/>
      </w:pPr>
      <w:bookmarkStart w:name="bm_8_5_tenant_organization_model" w:id="1008"/>
      <w:r>
        <w:rPr>
          <w:rFonts w:ascii="Calibri" w:cs="Calibri" w:eastAsia="Calibri" w:hAnsi="Calibri"/>
          <w:b/>
          <w:bCs/>
          <w:color w:val="D34817"/>
          <w:sz w:val="30"/>
          <w:szCs w:val="30"/>
        </w:rPr>
        <w:t xml:space="preserve">5. Tenant &amp; Organization Model</w:t>
      </w:r>
      <w:bookmarkEnd w:id="1008"/>
    </w:p>
    <w:p>
      <w:pPr>
        <w:spacing w:after="160" w:line="300"/>
        <w:jc w:val="both"/>
      </w:pPr>
      <w:r>
        <w:rPr>
          <w:rFonts w:ascii="Calibri" w:cs="Calibri" w:eastAsia="Calibri" w:hAnsi="Calibri"/>
          <w:color w:val="1A1A1A"/>
          <w:sz w:val="22"/>
          <w:szCs w:val="22"/>
        </w:rPr>
        <w:t xml:space="preserve">Release 1 includes the staffing-agency multi-client tenant model as an in-scope requirement (not deferred): a single agency Tenant manages requisitions and candidates on behalf of multiple end-client companies, alongside the simpler direct-employer case where a Tenant has no clients at all. This section is written as a platform-wide concern — Module 1 and Module 2 both consume it rather than each defining their own isolation rules — and is a first candidate for extraction into a standalone Shared SaaS Platform Specification once that document exists. Release 1 supports internal agency users (Recruiter/HR, Tenant Admin) accessing client-scoped data; the end-client-facing Client Stakeholder role is out of scope for Release 1 (Section 1.2, Section 16).</w:t>
      </w:r>
    </w:p>
    <w:p>
      <w:pPr>
        <w:pStyle w:val="Heading3"/>
        <w:spacing w:after="80" w:before="160"/>
      </w:pPr>
      <w:r>
        <w:rPr>
          <w:rFonts w:ascii="Calibri" w:cs="Calibri" w:eastAsia="Calibri" w:hAnsi="Calibri"/>
          <w:b/>
          <w:bCs/>
          <w:color w:val="000000"/>
          <w:sz w:val="22"/>
          <w:szCs w:val="22"/>
        </w:rPr>
        <w:t xml:space="preserve">5.1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Tenant.org_type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direct_employer | staffing_agency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Tenant.name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Exists only for staffing_agency tenants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Client.agency_tenant_id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Tenant)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agency that manages this end-client relationship</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Client.name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Client.status</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active | offboarded</w:t>
            </w:r>
          </w:p>
        </w:tc>
      </w:tr>
    </w:tbl>
    <w:p>
      <w:pPr>
        <w:pStyle w:val="Heading3"/>
        <w:spacing w:after="80" w:before="160"/>
      </w:pPr>
      <w:r>
        <w:rPr>
          <w:rFonts w:ascii="Calibri" w:cs="Calibri" w:eastAsia="Calibri" w:hAnsi="Calibri"/>
          <w:b/>
          <w:bCs/>
          <w:color w:val="000000"/>
          <w:sz w:val="22"/>
          <w:szCs w:val="22"/>
        </w:rPr>
        <w:t xml:space="preserve">5.2 Scoping Rule</w:t>
      </w:r>
    </w:p>
    <w:p>
      <w:pPr>
        <w:spacing w:after="160" w:line="300"/>
        <w:jc w:val="both"/>
      </w:pPr>
      <w:r>
        <w:rPr>
          <w:rFonts w:ascii="Calibri" w:cs="Calibri" w:eastAsia="Calibri" w:hAnsi="Calibri"/>
          <w:color w:val="1A1A1A"/>
          <w:sz w:val="22"/>
          <w:szCs w:val="22"/>
        </w:rPr>
        <w:t xml:space="preserve">Every record that belongs to a requisition, candidate, or application carries both tenant_id (mandatory, always) and client_id (mandatory for staffing_agency tenants, explicitly null for direct_employer tenants). A direct-employer tenant is modeled as the degenerate case of an agency with exactly zero clients — this keeps a single code path rather than branching application logic by org_type.</w:t>
      </w:r>
    </w:p>
    <w:p>
      <w:pPr>
        <w:spacing w:after="160" w:line="300"/>
        <w:jc w:val="both"/>
      </w:pPr>
      <w:r>
        <w:rPr>
          <w:rFonts w:ascii="Calibri" w:cs="Calibri" w:eastAsia="Calibri" w:hAnsi="Calibri"/>
          <w:color w:val="1A1A1A"/>
          <w:sz w:val="22"/>
          <w:szCs w:val="22"/>
        </w:rPr>
        <w:t xml:space="preserve">Explicit null vs. absent field: for a direct_employer tenant, client_id = null is the one valid, expected value — it is set deliberately, not left out. A request/event/record that OMITS the client_id field entirely (as opposed to supplying it as null) is always a validation error (422) regardless of tenant org_type, at every layer in Section 5.3 — API request bodies, event envelopes, and webhook payloads alike. This distinguishes "this tenant has no client, by design" (valid null) from "the caller forgot to populate this field" (rejected as malformed), which earlier drafts of this section did not separate.</w:t>
      </w:r>
    </w:p>
    <w:p>
      <w:pPr>
        <w:pStyle w:val="Heading3"/>
        <w:spacing w:after="80" w:before="160"/>
      </w:pPr>
      <w:r>
        <w:rPr>
          <w:rFonts w:ascii="Calibri" w:cs="Calibri" w:eastAsia="Calibri" w:hAnsi="Calibri"/>
          <w:b/>
          <w:bCs/>
          <w:color w:val="000000"/>
          <w:sz w:val="22"/>
          <w:szCs w:val="22"/>
        </w:rPr>
        <w:t xml:space="preserve">5.3 Isolation Enforcement Matrix</w:t>
      </w:r>
    </w:p>
    <w:p>
      <w:pPr>
        <w:spacing w:after="160" w:line="300"/>
        <w:jc w:val="both"/>
      </w:pPr>
      <w:r>
        <w:rPr>
          <w:rFonts w:ascii="Calibri" w:cs="Calibri" w:eastAsia="Calibri" w:hAnsi="Calibri"/>
          <w:color w:val="1A1A1A"/>
          <w:sz w:val="22"/>
          <w:szCs w:val="22"/>
        </w:rPr>
        <w:t xml:space="preserve">Tenant isolation is stated as a requirement in the BRD/PRD, but stating it is not the same as enforcing it at every layer data passes through. Enforcement is defined per layer, not assumed to follow from the database schema alone: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Layer</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Enforcement Mechanism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Database (PostgreSQL)</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Row-level filtering on (tenant_id, client_id) is applied both by a mandatory query-builder middleware for application-code paths, and by native PostgreSQL Row-Level Security (RLS) policies on every multi-tenant table as the layer-of-last-resort — RLS is enabled specifically so a raw-SQL script, an ad-hoc analytics query, or a background/batch job connecting directly to the database cannot bypass tenant scoping simply by not going through the application's query builder. A connection's tenant/client context is set via a session variable checked by the RLS policy; a connection with no context set sees zero rows, never all rows. A query with neither key fails to compile at the application layer as an additional check, but RLS is what holds even when that layer is bypassed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Message queue / events</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event envelope (e.g. requisition.frozen) carries tenant_id (always) and client_id (present and explicitly null for a direct-employer tenant, per Section 5.2); consumers reject and dead-letter any message where either field is absent from the envelope — a present null client_id is valid and is not dead-lettered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Search / candidate index</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 + client_id are mandatory partition/filter keys set server-side from the authenticated session — never accepted as client-supplied query parameters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Object storage (resumes, offer documents)</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Storage key is prefixed by tenant_id/client_id, and the IAM policy attached to each service's storage credentials is itself scoped to that prefix pattern (not merely to the bucket) — so a credential compromise or an application-layer bug that leaks another tenant's key still cannot read across the prefix boundary at the storage layer; a direct_employer object uses a fixed client segment (e.g. "_none") in its key rather than omitting the segment, keeping the prefix pattern uniform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Webhooks / external identity</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Idempotency and identity matching are scoped to (tenant_id, integration_account_id, channel_type, external_id) — not channel_type + external_id alone, since two tenants (or two clients under one agency) may run independent integration accounts on the same channel with overlapping vendor-side IDs</w:t>
            </w:r>
          </w:p>
        </w:tc>
      </w:tr>
    </w:tbl>
    <w:p>
      <w:pPr>
        <w:keepNext/>
        <w:spacing w:after="60" w:before="100"/>
        <w:jc w:val="center"/>
      </w:pPr>
      <w:r>
        <w:drawing>
          <wp:inline distT="0" distB="0" distL="0" distR="0">
            <wp:extent cx="40005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4781550"/>
                    </a:xfrm>
                    <a:prstGeom prst="rect">
                      <a:avLst/>
                    </a:prstGeom>
                  </pic:spPr>
                </pic:pic>
              </a:graphicData>
            </a:graphic>
          </wp:inline>
        </w:drawing>
      </w:r>
    </w:p>
    <w:p>
      <w:pPr>
        <w:keepLines/>
        <w:spacing w:after="200"/>
        <w:jc w:val="center"/>
      </w:pPr>
      <w:r>
        <w:rPr>
          <w:i/>
          <w:iCs/>
          <w:color w:val="6E6E6E"/>
          <w:sz w:val="18"/>
          <w:szCs w:val="18"/>
        </w:rPr>
        <w:t xml:space="preserve">Figure 5.1 — Isolation enforcement layers: how every request/event is scoped independently at each of the five layers</w:t>
      </w:r>
    </w:p>
    <w:p>
      <w:pPr>
        <w:spacing w:after="200"/>
      </w:pPr>
    </w:p>
    <w:p>
      <w:pPr>
        <w:pStyle w:val="Heading1"/>
        <w:spacing w:after="140" w:before="320"/>
      </w:pPr>
      <w:bookmarkStart w:name="bm_9_6_data_model_module_1_jd_intak" w:id="1009"/>
      <w:r>
        <w:rPr>
          <w:rFonts w:ascii="Calibri" w:cs="Calibri" w:eastAsia="Calibri" w:hAnsi="Calibri"/>
          <w:b/>
          <w:bCs/>
          <w:color w:val="D34817"/>
          <w:sz w:val="30"/>
          <w:szCs w:val="30"/>
        </w:rPr>
        <w:t xml:space="preserve">6. Data Model — Module 1 (JD Intake &amp; Freezing)</w:t>
      </w:r>
      <w:bookmarkEnd w:id="1009"/>
    </w:p>
    <w:p>
      <w:pPr>
        <w:pStyle w:val="Heading3"/>
        <w:spacing w:after="80" w:before="160"/>
      </w:pPr>
      <w:r>
        <w:rPr>
          <w:rFonts w:ascii="Calibri" w:cs="Calibri" w:eastAsia="Calibri" w:hAnsi="Calibri"/>
          <w:b/>
          <w:bCs/>
          <w:color w:val="000000"/>
          <w:sz w:val="22"/>
          <w:szCs w:val="22"/>
        </w:rPr>
        <w:t xml:space="preserve">6.0 Authoritative State Model — JobRequisition vs. JDVersion</w:t>
      </w:r>
    </w:p>
    <w:p>
      <w:pPr>
        <w:spacing w:after="160" w:line="300"/>
        <w:jc w:val="both"/>
      </w:pPr>
      <w:r>
        <w:rPr>
          <w:rFonts w:ascii="Calibri" w:cs="Calibri" w:eastAsia="Calibri" w:hAnsi="Calibri"/>
          <w:color w:val="1A1A1A"/>
          <w:sz w:val="22"/>
          <w:szCs w:val="22"/>
        </w:rPr>
        <w:t xml:space="preserve">Two distinct state machines are in play, and every other section (data model, APIs, sequence flows, error handling, the object-flow diagram) must agree with this one table rather than restate its own version. JobRequisition.status tracks the requisition as a whole (is it open, on hold, closed); JDVersion.status tracks one specific version of the JD content within that requisition (is this particular draft the currently approved one). A requisition can be Frozen_Open (an Approved version exists and sourcing is live) while a new JDVersion for the same requisition is independently sitting in Draft/Revising/PendingApproval as a proposed revision — the two are not the same field and do not transition in lockstep.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State machine</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Values (authoritative)</w:t>
            </w:r>
          </w:p>
        </w:tc>
        <w:tc>
          <w:tcPr>
            <w:tcW w:type="dxa" w:w="3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JobRequisition.status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Draft/PendingApproval/Revising describe the requisition before its first freeze; once any version has been Approved at least once, the requisition itself is Frozen_Open (or OnHold/Closed) even while a later JDVersion revision is separately mid-review</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JDVersion.status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Revising ⇄ PendingApproval → Approved → Superseded (or → Rejected from Draft/Revising/PendingApproval)</w:t>
            </w:r>
          </w:p>
        </w:tc>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Per-version content lifecycle. Revising was omitted from the field-table enum in an earlier draft of this section — corrected below to match its use throughout Sections 8, 12, 14 and 15. Revising and PendingApproval are distinct: PendingApproval means "sent to the manager, awaiting a decision"; Revising means "manager requested changes, a new draft is being generated/edited" — a version cycles PendingApproval ⇄ Revising through the review loop before its eventual Approved or Rejected</w:t>
            </w:r>
          </w:p>
        </w:tc>
      </w:tr>
    </w:tbl>
    <w:p>
      <w:pPr>
        <w:keepNext/>
        <w:spacing w:after="60" w:before="10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52700"/>
                    </a:xfrm>
                    <a:prstGeom prst="rect">
                      <a:avLst/>
                    </a:prstGeom>
                  </pic:spPr>
                </pic:pic>
              </a:graphicData>
            </a:graphic>
          </wp:inline>
        </w:drawing>
      </w:r>
    </w:p>
    <w:p>
      <w:pPr>
        <w:keepLines/>
        <w:spacing w:after="200"/>
        <w:jc w:val="center"/>
      </w:pPr>
      <w:r>
        <w:rPr>
          <w:i/>
          <w:iCs/>
          <w:color w:val="6E6E6E"/>
          <w:sz w:val="18"/>
          <w:szCs w:val="18"/>
        </w:rPr>
        <w:t xml:space="preserve">Figure 6.1 — JDVersion.status state machine: the per-version content lifecycle distinct from JobRequisition.status</w:t>
      </w:r>
    </w:p>
    <w:p>
      <w:pPr>
        <w:pStyle w:val="Heading3"/>
        <w:spacing w:after="80" w:before="160"/>
      </w:pPr>
      <w:r>
        <w:rPr>
          <w:rFonts w:ascii="Calibri" w:cs="Calibri" w:eastAsia="Calibri" w:hAnsi="Calibri"/>
          <w:b/>
          <w:bCs/>
          <w:color w:val="000000"/>
          <w:sz w:val="22"/>
          <w:szCs w:val="22"/>
        </w:rPr>
        <w:t xml:space="preserve">JobRequisition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query scoped by this field — see Section 5.3</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Mandatory (non-null) for staffing_agency tenants; explicitly null (a valid, expected value, not merely permitted) for direct_employer tenants — see Section 5.2's null-vs-absent distinction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department_id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Nullable if not supplied in the brief; flagged for manager confirmation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active_version_id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single currently-approved JD version; see Section 6's JDVersion notes for the immutable-history model this pointer enables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manager who submitted the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 / updated_at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JDBrief (raw intake)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raw_text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Verbatim manager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email | portal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received_at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JDField (NLP-extracted structured fields)</w:t>
      </w:r>
    </w:p>
    <w:p>
      <w:pPr>
        <w:spacing w:after="160" w:line="300"/>
        <w:jc w:val="both"/>
      </w:pPr>
      <w:r>
        <w:rPr>
          <w:rFonts w:ascii="Calibri" w:cs="Calibri" w:eastAsia="Calibri" w:hAnsi="Calibri"/>
          <w:color w:val="1A1A1A"/>
          <w:sz w:val="22"/>
          <w:szCs w:val="22"/>
        </w:rPr>
        <w:t xml:space="preserve">Keyed to the specific JDVersion it was extracted for and confirmed against, not only to the requisition — otherwise a later revision's field edits would silently rewrite the confirmed-field snapshot that an earlier Approved version's ScoringCriterion.source_field_ref (see ScoringMatrix/ScoringCriterion below) points to, for the same historical-drift reason that section keys the matrix to jd_version_id rather than requisition_id.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for query convenience; jd_version_id is the field's true owning scope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Which version's extraction/confirmation this field snapshot belongs to; a new JDVersion gets its own JDField rows rather than reusing/mutating the prior version's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role_title | experience_range | education_pref | comp_band | job_role_tag | must_have_skills | domain_competencies | soft_skills | department | target_start_date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field_value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 / JSON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Below tenant-configured threshold (default 0.75) → manager_confirmed forced false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manager_confirmed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Gate before this field can feed an Approved JD version</w:t>
            </w:r>
          </w:p>
        </w:tc>
      </w:tr>
    </w:tbl>
    <w:p>
      <w:pPr>
        <w:pStyle w:val="Heading3"/>
        <w:spacing w:after="80" w:before="160"/>
      </w:pPr>
      <w:r>
        <w:rPr>
          <w:rFonts w:ascii="Calibri" w:cs="Calibri" w:eastAsia="Calibri" w:hAnsi="Calibri"/>
          <w:b/>
          <w:bCs/>
          <w:color w:val="000000"/>
          <w:sz w:val="22"/>
          <w:szCs w:val="22"/>
        </w:rPr>
        <w:t xml:space="preserve">JDVersion — immutable-history model</w:t>
      </w:r>
    </w:p>
    <w:p>
      <w:pPr>
        <w:spacing w:after="160" w:line="300"/>
        <w:jc w:val="both"/>
      </w:pPr>
      <w:r>
        <w:rPr>
          <w:rFonts w:ascii="Calibri" w:cs="Calibri" w:eastAsia="Calibri" w:hAnsi="Calibri"/>
          <w:color w:val="1A1A1A"/>
          <w:sz w:val="22"/>
          <w:szCs w:val="22"/>
        </w:rPr>
        <w:t xml:space="preserve">A JD revised after its initial approval must not overwrite history: any assessment, matrix, or downstream record that referenced an approved version has to keep resolving to the exact content that was approved at the time, even after a later revision supersedes it. JDVersion.status therefore replaces the earlier is_frozen boolean with a full lifecycle, and JobRequisition.active_version_id (Section 6) is the single pointer to "the current one" — approved versions themselves are never deleted or edited, only superseded.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version_no</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Monotonically increasing per requisition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variant_type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formal | candidate_friendly | condensed | manager_edited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generated_by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system | manager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Revising | PendingApproval | Approved | Superseded | Rejected — see Section 6.0 for the authoritative transition table (Revising was missing from an earlier draft of this row; corrected here to match its use elsewhere in this document)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superseded_by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when status transitions Approved → Superseded, pointing at the version that replaced it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ListParagraph"/>
        <w:numPr>
          <w:ilvl w:val="0"/>
          <w:numId w:val="2"/>
        </w:numPr>
        <w:spacing w:after="80" w:line="280"/>
      </w:pPr>
      <w:r>
        <w:rPr>
          <w:rFonts w:ascii="Calibri" w:cs="Calibri" w:eastAsia="Calibri" w:hAnsi="Calibri"/>
          <w:color w:val="1A1A1A"/>
          <w:sz w:val="22"/>
          <w:szCs w:val="22"/>
        </w:rPr>
        <w:t xml:space="preserve">A requisition can have at most one version with status = Approved at any moment, matching JobRequisition.active_version_id.</w:t>
      </w:r>
    </w:p>
    <w:p>
      <w:pPr>
        <w:pStyle w:val="ListParagraph"/>
        <w:numPr>
          <w:ilvl w:val="0"/>
          <w:numId w:val="2"/>
        </w:numPr>
        <w:spacing w:after="80" w:line="280"/>
      </w:pPr>
      <w:r>
        <w:rPr>
          <w:rFonts w:ascii="Calibri" w:cs="Calibri" w:eastAsia="Calibri" w:hAnsi="Calibri"/>
          <w:color w:val="1A1A1A"/>
          <w:sz w:val="22"/>
          <w:szCs w:val="22"/>
        </w:rPr>
        <w:t xml:space="preserve">Immutability, precisely defined: once a version reaches Approved, its content-bearing fields (version_no, variant_type, content, generated_by) are immutable — a DB-level trigger rejects any UPDATE that touches them. The status and superseded_by columns are the sole, explicit exception: the freeze/supersede transaction is permitted to write status = Superseded and superseded_by on the prior Approved row as part of approving its replacement, and this is the only UPDATE path the trigger allows against an Approved row. This is a controlled metadata transition, not a general relaxation of immutability — content is never touched after Approved.</w:t>
      </w:r>
    </w:p>
    <w:p>
      <w:pPr>
        <w:pStyle w:val="ListParagraph"/>
        <w:numPr>
          <w:ilvl w:val="0"/>
          <w:numId w:val="2"/>
        </w:numPr>
        <w:spacing w:after="80" w:line="280"/>
      </w:pPr>
      <w:r>
        <w:rPr>
          <w:rFonts w:ascii="Calibri" w:cs="Calibri" w:eastAsia="Calibri" w:hAnsi="Calibri"/>
          <w:color w:val="1A1A1A"/>
          <w:sz w:val="22"/>
          <w:szCs w:val="22"/>
        </w:rPr>
        <w:t xml:space="preserve">Revising an already-approved JD does not touch that row: it creates a new Draft version that goes through the normal review loop (Draft → Revising ⇄ PendingApproval); only when the new version is approved does the transaction (a) set the new version's status to Approved, (b) set the previous Approved version's status to Superseded and its superseded_by per the exception above, and (c) repoint JobRequisition.active_version_id — all three in one atomic write.</w:t>
      </w:r>
    </w:p>
    <w:p>
      <w:pPr>
        <w:pStyle w:val="ListParagraph"/>
        <w:numPr>
          <w:ilvl w:val="0"/>
          <w:numId w:val="2"/>
        </w:numPr>
        <w:spacing w:after="80" w:line="280"/>
      </w:pPr>
      <w:r>
        <w:rPr>
          <w:rFonts w:ascii="Calibri" w:cs="Calibri" w:eastAsia="Calibri" w:hAnsi="Calibri"/>
          <w:color w:val="1A1A1A"/>
          <w:sz w:val="22"/>
          <w:szCs w:val="22"/>
        </w:rPr>
        <w:t xml:space="preserve">Any record that must remain accurate to "the JD as it was when X happened" (a ScoringMatrix, a JDField snapshot, a candidate assessment, an audit log entry) stores a direct jd_version_id foreign key, never a lookup through the requisition — so it keeps resolving correctly regardless of later supersession.</w:t>
      </w:r>
    </w:p>
    <w:p>
      <w:pPr>
        <w:pStyle w:val="Heading3"/>
        <w:spacing w:after="80" w:before="160"/>
      </w:pPr>
      <w:r>
        <w:rPr>
          <w:rFonts w:ascii="Calibri" w:cs="Calibri" w:eastAsia="Calibri" w:hAnsi="Calibri"/>
          <w:b/>
          <w:bCs/>
          <w:color w:val="000000"/>
          <w:sz w:val="22"/>
          <w:szCs w:val="22"/>
        </w:rPr>
        <w:t xml:space="preserve">ScoringMatrix / ScoringCriterion — versioned with the JD, not the requisition</w:t>
      </w:r>
    </w:p>
    <w:p>
      <w:pPr>
        <w:spacing w:after="160" w:line="300"/>
        <w:jc w:val="both"/>
      </w:pPr>
      <w:r>
        <w:rPr>
          <w:rFonts w:ascii="Calibri" w:cs="Calibri" w:eastAsia="Calibri" w:hAnsi="Calibri"/>
          <w:color w:val="1A1A1A"/>
          <w:sz w:val="22"/>
          <w:szCs w:val="22"/>
        </w:rPr>
        <w:t xml:space="preserve">A scoring matrix belongs to the JD version it was approved alongside, not to the requisition as a whole — otherwise revising a JD after freeze would silently rewrite the matrix that earlier assessments were scored against. Draft criteria are generated, retrieved, and edited before approval; see Section 8's draft-matrix endpoints for the API sequence this table supports.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100"/>
      </w:tblGrid>
      <w:tr>
        <w:trPr>
          <w:tblHeader/>
        </w:trPr>
        <w:tc>
          <w:tcPr>
            <w:tcW w:type="dxa" w:w="2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1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ScoringMatrix.jd_version_id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One matrix per JD version, not per requisition — preserves a distinct matrix for every approved version in the requisition's history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Approved. Approved is immutable, set atomically with the JD version's Draft → Approved transition</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ScoringMatrix.approved_at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when status becomes Approved</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ScoringCriterion.matrix_id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ScoringCriterion.category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core_skills | experience_seniority | domain_competency | education_fit — screening-stage only, sums to 100. behavioral_proxy is deliberately excluded: soft-skill and behavioral evidence is never expressed as a numeric screening criterion (BRD/PRD Section 4.1, Approved Decisions) and is assessed only at interview, out of scope of this document</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ScoringCriterion.criterion_name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"Power BI proficiency"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ScoringCriterion.weight_percent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 Approved criteria for a matrix sum to exactly 100; a Draft matrix may be temporarily incomplete while a manager is still editing it</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ScoringCriterion.source_field_ref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JDField)</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Traceability back to the JD field that generated this criterion</w:t>
            </w:r>
          </w:p>
        </w:tc>
      </w:tr>
    </w:tbl>
    <w:p>
      <w:pPr>
        <w:spacing w:after="200"/>
      </w:pPr>
    </w:p>
    <w:p>
      <w:pPr>
        <w:pStyle w:val="Heading1"/>
        <w:spacing w:after="140" w:before="320"/>
      </w:pPr>
      <w:bookmarkStart w:name="bm_10_7_data_model_module_2_sourcing" w:id="1010"/>
      <w:r>
        <w:rPr>
          <w:rFonts w:ascii="Calibri" w:cs="Calibri" w:eastAsia="Calibri" w:hAnsi="Calibri"/>
          <w:b/>
          <w:bCs/>
          <w:color w:val="D34817"/>
          <w:sz w:val="30"/>
          <w:szCs w:val="30"/>
        </w:rPr>
        <w:t xml:space="preserve">7. Data Model — Module 2 (Sourcing &amp; Resume Aggregation)</w:t>
      </w:r>
      <w:bookmarkEnd w:id="1010"/>
    </w:p>
    <w:p>
      <w:pPr>
        <w:pStyle w:val="Heading3"/>
        <w:spacing w:after="80" w:before="160"/>
      </w:pPr>
      <w:r>
        <w:rPr>
          <w:rFonts w:ascii="Calibri" w:cs="Calibri" w:eastAsia="Calibri" w:hAnsi="Calibri"/>
          <w:b/>
          <w:bCs/>
          <w:color w:val="000000"/>
          <w:sz w:val="22"/>
          <w:szCs w:val="22"/>
        </w:rPr>
        <w:t xml:space="preserve">7.1 Entities</w:t>
      </w:r>
    </w:p>
    <w:p>
      <w:pPr>
        <w:pStyle w:val="Heading3"/>
        <w:spacing w:after="80" w:before="160"/>
      </w:pPr>
      <w:r>
        <w:rPr>
          <w:rFonts w:ascii="Calibri" w:cs="Calibri" w:eastAsia="Calibri" w:hAnsi="Calibri"/>
          <w:b/>
          <w:bCs/>
          <w:color w:val="000000"/>
          <w:sz w:val="22"/>
          <w:szCs w:val="22"/>
        </w:rPr>
        <w:t xml:space="preserve">SourcingChannelConfig — now scoped as an integration account</w:t>
      </w:r>
    </w:p>
    <w:p>
      <w:pPr>
        <w:spacing w:after="160" w:line="300"/>
        <w:jc w:val="both"/>
      </w:pPr>
      <w:r>
        <w:rPr>
          <w:rFonts w:ascii="Calibri" w:cs="Calibri" w:eastAsia="Calibri" w:hAnsi="Calibri"/>
          <w:color w:val="1A1A1A"/>
          <w:sz w:val="22"/>
          <w:szCs w:val="22"/>
        </w:rPr>
        <w:t xml:space="preserve">A channel configuration is scoped to (tenant_id, client_id) rather than tenant_id alone, since an agency tenant commonly needs independent vendor credentials per client (each end-client has its own Naukri RMS employer account, for example). This is what Section 5.3's webhook idempotency rule scopes against.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Functions as the integration_account_id referenced throughout this document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for staffing_agency tenants; identifies which client this integration account posts/sources on behalf of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naukri_rms | linkedin_recruiter | niche_board | email_intake | manual_upload | referral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credentials_ref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Secret store)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Never stored in plaintext in this table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is_active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Candidate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Reusable across requisitions within a tenant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Agency tenants: the client this candidate was sourced for. A candidate applying to two different clients under the same agency gets two Candidate rows — deliberately not shared, so one client's view of a candidate never leaks to another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name / email / phone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Primary dedupe keys, scoped within (tenant_id, client_id) — see DuplicateMatch below</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resume_file_ref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object storage)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parsed_json</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JSONB</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output of the Resume Parsing Service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source_channel</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Matches SourcingChannelConfig.channel_type at first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Application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from both candidate_id and requisition_id (which must agree) — an explicit column rather than a join, so the RLS policy and query-builder middleware in Section 5.3 apply directly to this table like every other multi-tenant table, instead of Application being the one table that only reaches scoping indirectly</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from the requisition for isolation-filter simplicity — see Section 5.3</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Feeds Module 3 pipeline stage — out of scope of this TDD beyond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applied_at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ListParagraph"/>
        <w:numPr>
          <w:ilvl w:val="0"/>
          <w:numId w:val="2"/>
        </w:numPr>
        <w:spacing w:after="80" w:line="280"/>
      </w:pPr>
      <w:r>
        <w:rPr>
          <w:rFonts w:ascii="Calibri" w:cs="Calibri" w:eastAsia="Calibri" w:hAnsi="Calibri"/>
          <w:color w:val="1A1A1A"/>
          <w:sz w:val="22"/>
          <w:szCs w:val="22"/>
        </w:rPr>
        <w:t xml:space="preserve">Tenant/client scoping on Module 1 child tables (JDBrief, JDField, JDVersion, ScoringMatrix, ScoringCriterion): these intentionally do not carry their own tenant_id/client_id columns — they inherit scope through their parent JobRequisition (directly, or via jd_version_id → JobRequisition for JDVersion-keyed tables). This is a deliberate design choice, not an oversight: the RLS policies in Section 5.3 on these tables are join-based (checking the parent JobRequisition's tenant_id/client_id), and an insert/update trigger rejects any row whose parent-chain tenant/client would disagree with a value passed explicitly — so a JDField cannot be attached to a requisition in a different tenant than the field's own (would-be) tenant_id, even though the column doesn't exist to set incorrectly in the first place. Candidate, Application, SourcingChannelConfig, and DuplicateMatch's parent Candidates carry explicit tenant_id/client_id columns because they are queried directly and at volume (search, dedupe, webhooks) where a join-based policy alone would be a performance concern.</w:t>
      </w:r>
    </w:p>
    <w:p>
      <w:pPr>
        <w:pStyle w:val="Heading3"/>
        <w:spacing w:after="80" w:before="160"/>
      </w:pPr>
      <w:r>
        <w:rPr>
          <w:rFonts w:ascii="Calibri" w:cs="Calibri" w:eastAsia="Calibri" w:hAnsi="Calibri"/>
          <w:b/>
          <w:bCs/>
          <w:color w:val="000000"/>
          <w:sz w:val="22"/>
          <w:szCs w:val="22"/>
        </w:rPr>
        <w:t xml:space="preserve">DuplicateMatch — conflict, reversal, and audit</w:t>
      </w:r>
    </w:p>
    <w:p>
      <w:pPr>
        <w:spacing w:after="160" w:line="300"/>
        <w:jc w:val="both"/>
      </w:pPr>
      <w:r>
        <w:rPr>
          <w:rFonts w:ascii="Calibri" w:cs="Calibri" w:eastAsia="Calibri" w:hAnsi="Calibri"/>
          <w:color w:val="1A1A1A"/>
          <w:sz w:val="22"/>
          <w:szCs w:val="22"/>
        </w:rPr>
        <w:t xml:space="preserve">Matching is scoped within (tenant_id, client_id) — the same person applying through two different agency clients is not treated as a duplicate, by design (Candidate note above). Within that scope, an exact-key match (email or phone) is not always safe to auto-link: the same phone number can be reused by a different person, or two sources can disagree on the name attached to one email. Conflicting evidence is routed to a recruiter rather than silently auto-linked, and every resolution — link or reject — is recorded rather than only the current state.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200"/>
      </w:tblGrid>
      <w:tr>
        <w:trPr>
          <w:tblHeader/>
        </w:trPr>
        <w:tc>
          <w:tcPr>
            <w:tcW w:type="dxa" w:w="2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1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candidate_id_primary / candidate_id_duplicate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match_type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exact_email | exact_phone | content_similarity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See Section 14 for thresholds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conflict_flag</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True when exact-key evidence is accompanied by materially conflicting attributes (different name, different declared employer) — forces manual review even for an exact_email/exact_phone match_type</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resolution</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 | linked | rejected_not_duplicate | reversed. Replaces the earlier plain resolved boolean, which could not distinguish "confirmed duplicate" from "confirmed not a duplicate"</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previous_decision_id</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DuplicateMatch, nullable)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on a reversed row; points at the prior decision row (for the same candidate pair) that this row corrects. Null on every row that is not itself a reversal</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resolved_by / resolved_at</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 / timestamp</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resolution_notes</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Free-text rationale captured from the recruiter — required when resolution is rejected_not_duplicate or reversed</w:t>
            </w:r>
          </w:p>
        </w:tc>
      </w:tr>
    </w:tbl>
    <w:p>
      <w:pPr>
        <w:pStyle w:val="ListParagraph"/>
        <w:numPr>
          <w:ilvl w:val="0"/>
          <w:numId w:val="2"/>
        </w:numPr>
        <w:spacing w:after="80" w:line="280"/>
      </w:pPr>
      <w:r>
        <w:rPr>
          <w:rFonts w:ascii="Calibri" w:cs="Calibri" w:eastAsia="Calibri" w:hAnsi="Calibri"/>
          <w:color w:val="1A1A1A"/>
          <w:sz w:val="22"/>
          <w:szCs w:val="22"/>
        </w:rPr>
        <w:t xml:space="preserve">Append-only decision model (the single authoritative model — Section 14/15 must not restate this differently): a resolution decision is never edited in place once written. Reversing an earlier match does not set resolution = reversed on the original row; it INSERTS a new DuplicateMatch row for the same candidate pair, with resolution = reversed and previous_decision_id pointing at the row being corrected. The original row is retained exactly as it was decided, unmodified, alongside the correction.</w:t>
      </w:r>
    </w:p>
    <w:p>
      <w:pPr>
        <w:pStyle w:val="ListParagraph"/>
        <w:numPr>
          <w:ilvl w:val="0"/>
          <w:numId w:val="2"/>
        </w:numPr>
        <w:spacing w:after="80" w:line="280"/>
      </w:pPr>
      <w:r>
        <w:rPr>
          <w:rFonts w:ascii="Calibri" w:cs="Calibri" w:eastAsia="Calibri" w:hAnsi="Calibri"/>
          <w:color w:val="1A1A1A"/>
          <w:sz w:val="22"/>
          <w:szCs w:val="22"/>
        </w:rPr>
        <w:t xml:space="preserve">Current-link state for a candidate pair is derived, not stored on a single row: it is the resolution of the most recent row (by resolved_at) for that (candidate_id_primary, candidate_id_duplicate) pair. Application code and reporting must always resolve current state this way rather than reading resolution off an arbitrary matching row, since older rows for the same pair remain in the table by design.</w:t>
      </w:r>
    </w:p>
    <w:p>
      <w:pPr>
        <w:pStyle w:val="ListParagraph"/>
        <w:numPr>
          <w:ilvl w:val="0"/>
          <w:numId w:val="2"/>
        </w:numPr>
        <w:spacing w:after="80" w:line="280"/>
      </w:pPr>
      <w:r>
        <w:rPr>
          <w:rFonts w:ascii="Calibri" w:cs="Calibri" w:eastAsia="Calibri" w:hAnsi="Calibri"/>
          <w:color w:val="1A1A1A"/>
          <w:sz w:val="22"/>
          <w:szCs w:val="22"/>
        </w:rPr>
        <w:t xml:space="preserve">Application/source history is never destructively merged: when two Candidate rows are linked as duplicates, each retains its own Application and source_channel history; linking establishes a relationship between them, it does not collapse one record into the other.</w:t>
      </w:r>
    </w:p>
    <w:p>
      <w:pPr>
        <w:pStyle w:val="Heading3"/>
        <w:spacing w:after="80" w:before="160"/>
      </w:pPr>
      <w:r>
        <w:rPr>
          <w:rFonts w:ascii="Calibri" w:cs="Calibri" w:eastAsia="Calibri" w:hAnsi="Calibri"/>
          <w:b/>
          <w:bCs/>
          <w:color w:val="000000"/>
          <w:sz w:val="22"/>
          <w:szCs w:val="22"/>
        </w:rPr>
        <w:t xml:space="preserve">7.2 Consolidated Data Schema (Module 1 &amp; 2)</w:t>
      </w:r>
    </w:p>
    <w:p>
      <w:pPr>
        <w:spacing w:after="160" w:line="300"/>
        <w:jc w:val="both"/>
      </w:pPr>
      <w:r>
        <w:rPr>
          <w:rFonts w:ascii="Calibri" w:cs="Calibri" w:eastAsia="Calibri" w:hAnsi="Calibri"/>
          <w:color w:val="1A1A1A"/>
          <w:sz w:val="22"/>
          <w:szCs w:val="22"/>
        </w:rPr>
        <w:t xml:space="preserve">The entity-relationship diagram below consolidates every table introduced in Sections 5, 6 and 7 into a single schema view, showing primary/foreign-key relationships across the two modules — including how an Approved ScoringMatrix traces back to the JDField it was derived from, and how Candidate/Application/DuplicateMatch tie together for the unified inbox.</w:t>
      </w:r>
    </w:p>
    <w:p>
      <w:pPr>
        <w:keepNext/>
        <w:spacing w:after="60" w:before="100"/>
        <w:jc w:val="center"/>
      </w:pPr>
      <w:r>
        <w:drawing>
          <wp:inline distT="0" distB="0" distL="0" distR="0">
            <wp:extent cx="5334000" cy="637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6372225"/>
                    </a:xfrm>
                    <a:prstGeom prst="rect">
                      <a:avLst/>
                    </a:prstGeom>
                  </pic:spPr>
                </pic:pic>
              </a:graphicData>
            </a:graphic>
          </wp:inline>
        </w:drawing>
      </w:r>
    </w:p>
    <w:p>
      <w:pPr>
        <w:keepLines/>
        <w:spacing w:after="200"/>
        <w:jc w:val="center"/>
      </w:pPr>
      <w:r>
        <w:rPr>
          <w:i/>
          <w:iCs/>
          <w:color w:val="6E6E6E"/>
          <w:sz w:val="18"/>
          <w:szCs w:val="18"/>
        </w:rPr>
        <w:t xml:space="preserve">Figure 7.1 — Consolidated entity-relationship diagram, Module 1 &amp; 2</w:t>
      </w:r>
    </w:p>
    <w:p>
      <w:pPr>
        <w:spacing w:after="200"/>
      </w:pPr>
    </w:p>
    <w:p>
      <w:pPr>
        <w:pStyle w:val="Heading1"/>
        <w:spacing w:after="140" w:before="320"/>
      </w:pPr>
      <w:bookmarkStart w:name="bm_11_8_api_contracts_module_1" w:id="1011"/>
      <w:r>
        <w:rPr>
          <w:rFonts w:ascii="Calibri" w:cs="Calibri" w:eastAsia="Calibri" w:hAnsi="Calibri"/>
          <w:b/>
          <w:bCs/>
          <w:color w:val="D34817"/>
          <w:sz w:val="30"/>
          <w:szCs w:val="30"/>
        </w:rPr>
        <w:t xml:space="preserve">8. API Contracts — Module 1</w:t>
      </w:r>
      <w:bookmarkEnd w:id="1011"/>
    </w:p>
    <w:p>
      <w:pPr>
        <w:pStyle w:val="Heading3"/>
        <w:spacing w:after="80" w:before="160"/>
      </w:pPr>
      <w:r>
        <w:rPr>
          <w:rFonts w:ascii="Calibri" w:cs="Calibri" w:eastAsia="Calibri" w:hAnsi="Calibri"/>
          <w:b/>
          <w:bCs/>
          <w:color w:val="000000"/>
          <w:sz w:val="22"/>
          <w:szCs w:val="22"/>
        </w:rPr>
        <w:t xml:space="preserve">POST /api/v1/requisitions/intake</w:t>
      </w:r>
    </w:p>
    <w:p>
      <w:pPr>
        <w:spacing w:after="160" w:line="300"/>
        <w:jc w:val="both"/>
      </w:pPr>
      <w:r>
        <w:rPr>
          <w:rFonts w:ascii="Calibri" w:cs="Calibri" w:eastAsia="Calibri" w:hAnsi="Calibri"/>
          <w:color w:val="1A1A1A"/>
          <w:sz w:val="22"/>
          <w:szCs w:val="22"/>
        </w:rPr>
        <w:t xml:space="preserve">Creates a requisition from a manager's raw brief and kicks off NLP extraction.</w:t>
      </w:r>
    </w:p>
    <w:p>
      <w:pPr>
        <w:shd w:fill="F7F7F7" w:color="auto" w:val="clear"/>
        <w:spacing w:after="100" w:line="260"/>
      </w:pPr>
      <w:r>
        <w:rPr>
          <w:rFonts w:ascii="Consolas" w:cs="Consolas" w:eastAsia="Consolas" w:hAnsi="Consolas"/>
          <w:color w:val="1A1A1A"/>
          <w:sz w:val="19"/>
          <w:szCs w:val="19"/>
        </w:rPr>
        <w:t xml:space="preserve">Request:  { "tenant_id": "uuid", "client_id": "uuid|null", "department_id": "uuid|null", "raw_brief_text": "string", "source": "email|portal" }
Response: 201 { "requisition_id": "uuid", "status": "Draft" }
Errors:   422 if client_id is missing for a staffing_agency tenant, or supplied for a direct_employer tenant</w:t>
      </w:r>
    </w:p>
    <w:p>
      <w:pPr>
        <w:pStyle w:val="Heading3"/>
        <w:spacing w:after="80" w:before="160"/>
      </w:pPr>
      <w:r>
        <w:rPr>
          <w:rFonts w:ascii="Calibri" w:cs="Calibri" w:eastAsia="Calibri" w:hAnsi="Calibri"/>
          <w:b/>
          <w:bCs/>
          <w:color w:val="000000"/>
          <w:sz w:val="22"/>
          <w:szCs w:val="22"/>
        </w:rPr>
        <w:t xml:space="preserve">GET /api/v1/requisitions/{id}/jd-versions</w:t>
      </w:r>
    </w:p>
    <w:p>
      <w:pPr>
        <w:spacing w:after="160" w:line="300"/>
        <w:jc w:val="both"/>
      </w:pPr>
      <w:r>
        <w:rPr>
          <w:rFonts w:ascii="Calibri" w:cs="Calibri" w:eastAsia="Calibri" w:hAnsi="Calibri"/>
          <w:color w:val="1A1A1A"/>
          <w:sz w:val="22"/>
          <w:szCs w:val="22"/>
        </w:rPr>
        <w:t xml:space="preserve">Lists all JD versions for a requisition, in version order, including their status (Draft / PendingApproval / Approved / Superseded / Rejected) — the full immutable history, not only the current one.</w:t>
      </w:r>
    </w:p>
    <w:p>
      <w:pPr>
        <w:pStyle w:val="Heading3"/>
        <w:spacing w:after="80" w:before="160"/>
      </w:pPr>
      <w:r>
        <w:rPr>
          <w:rFonts w:ascii="Calibri" w:cs="Calibri" w:eastAsia="Calibri" w:hAnsi="Calibri"/>
          <w:b/>
          <w:bCs/>
          <w:color w:val="000000"/>
          <w:sz w:val="22"/>
          <w:szCs w:val="22"/>
        </w:rPr>
        <w:t xml:space="preserve">POST /api/v1/requisitions/{id}/jd-versions/{versionId}/feedback</w:t>
      </w:r>
    </w:p>
    <w:p>
      <w:pPr>
        <w:spacing w:after="160" w:line="300"/>
        <w:jc w:val="both"/>
      </w:pPr>
      <w:r>
        <w:rPr>
          <w:rFonts w:ascii="Calibri" w:cs="Calibri" w:eastAsia="Calibri" w:hAnsi="Calibri"/>
          <w:color w:val="1A1A1A"/>
          <w:sz w:val="22"/>
          <w:szCs w:val="22"/>
        </w:rPr>
        <w:t xml:space="preserve">Submits manager feedback (email reply or portal form) for NLP parsing into a structured diff and a new draft version.</w:t>
      </w:r>
    </w:p>
    <w:p>
      <w:pPr>
        <w:shd w:fill="F7F7F7" w:color="auto" w:val="clear"/>
        <w:spacing w:after="100" w:line="260"/>
      </w:pPr>
      <w:r>
        <w:rPr>
          <w:rFonts w:ascii="Consolas" w:cs="Consolas" w:eastAsia="Consolas" w:hAnsi="Consolas"/>
          <w:color w:val="1A1A1A"/>
          <w:sz w:val="19"/>
          <w:szCs w:val="19"/>
        </w:rPr>
        <w:t xml:space="preserve">Request:  { "feedback_text": "string", "source": "email|portal" }
Response: 202 { "new_version_id": "uuid", "status": "Revising", "low_confidence_fields": ["string", ...] }</w:t>
      </w:r>
    </w:p>
    <w:p>
      <w:pPr>
        <w:pStyle w:val="Heading3"/>
        <w:spacing w:after="80" w:before="160"/>
      </w:pPr>
      <w:r>
        <w:rPr>
          <w:rFonts w:ascii="Calibri" w:cs="Calibri" w:eastAsia="Calibri" w:hAnsi="Calibri"/>
          <w:b/>
          <w:bCs/>
          <w:color w:val="000000"/>
          <w:sz w:val="22"/>
          <w:szCs w:val="22"/>
        </w:rPr>
        <w:t xml:space="preserve">GET /api/v1/requisitions/{id}/jd-versions/{versionId}/scoring-matrix/draft</w:t>
      </w:r>
    </w:p>
    <w:p>
      <w:pPr>
        <w:spacing w:after="160" w:line="300"/>
        <w:jc w:val="both"/>
      </w:pPr>
      <w:r>
        <w:rPr>
          <w:rFonts w:ascii="Calibri" w:cs="Calibri" w:eastAsia="Calibri" w:hAnsi="Calibri"/>
          <w:color w:val="1A1A1A"/>
          <w:sz w:val="22"/>
          <w:szCs w:val="22"/>
        </w:rPr>
        <w:t xml:space="preserve">Returns the in-progress draft ScoringCriterion set bound to this specific JD version (versionId), for the manager to review before freezing. Identifying the matrix by (requisition, version) rather than by requisition alone matters because a requisition can have more than one JDVersion in flight across review rounds (Section 6.0) — an endpoint keyed only on requisition_id would be ambiguous about which draft it means. A draft matrix need not sum to 100 percent — it can be incomplete while under active editing.</w:t>
      </w:r>
    </w:p>
    <w:p>
      <w:pPr>
        <w:shd w:fill="F7F7F7" w:color="auto" w:val="clear"/>
        <w:spacing w:after="100" w:line="260"/>
      </w:pPr>
      <w:r>
        <w:rPr>
          <w:rFonts w:ascii="Consolas" w:cs="Consolas" w:eastAsia="Consolas" w:hAnsi="Consolas"/>
          <w:color w:val="1A1A1A"/>
          <w:sz w:val="19"/>
          <w:szCs w:val="19"/>
        </w:rPr>
        <w:t xml:space="preserve">Response: 200 { "matrix_id": "uuid", "jd_version_id": "uuid", "status": "Draft", "matrix_revision": integer, "criteria": [ { "criterion_id", "criterion_name", "category", "weight_percent" }, ... ], "current_total_percent": number }</w:t>
      </w:r>
    </w:p>
    <w:p>
      <w:pPr>
        <w:pStyle w:val="Heading3"/>
        <w:spacing w:after="80" w:before="160"/>
      </w:pPr>
      <w:r>
        <w:rPr>
          <w:rFonts w:ascii="Calibri" w:cs="Calibri" w:eastAsia="Calibri" w:hAnsi="Calibri"/>
          <w:b/>
          <w:bCs/>
          <w:color w:val="000000"/>
          <w:sz w:val="22"/>
          <w:szCs w:val="22"/>
        </w:rPr>
        <w:t xml:space="preserve">PATCH /api/v1/requisitions/{id}/jd-versions/{versionId}/scoring-matrix/draft</w:t>
      </w:r>
    </w:p>
    <w:p>
      <w:pPr>
        <w:spacing w:after="160" w:line="300"/>
        <w:jc w:val="both"/>
      </w:pPr>
      <w:r>
        <w:rPr>
          <w:rFonts w:ascii="Calibri" w:cs="Calibri" w:eastAsia="Calibri" w:hAnsi="Calibri"/>
          <w:color w:val="1A1A1A"/>
          <w:sz w:val="22"/>
          <w:szCs w:val="22"/>
        </w:rPr>
        <w:t xml:space="preserve">Manager edits draft criterion weights (via the scoring-matrix slider UI) before freeze. Validated only against per-criterion bounds at this stage — the sum-to-100 rule is enforced at freeze, not on every intermediate edit, so a manager can save a partial adjustment mid-session. Optimistic concurrency: the request must echo the matrix_revision last read; a mismatch (another edit landed first, e.g. two browser tabs, or the version was regenerated by a new feedback round) is rejected rather than silently overwriting a concurrent edit, and the response returns the current state for the caller to re-apply against.</w:t>
      </w:r>
    </w:p>
    <w:p>
      <w:pPr>
        <w:shd w:fill="F7F7F7" w:color="auto" w:val="clear"/>
        <w:spacing w:after="100" w:line="260"/>
      </w:pPr>
      <w:r>
        <w:rPr>
          <w:rFonts w:ascii="Consolas" w:cs="Consolas" w:eastAsia="Consolas" w:hAnsi="Consolas"/>
          <w:color w:val="1A1A1A"/>
          <w:sz w:val="19"/>
          <w:szCs w:val="19"/>
        </w:rPr>
        <w:t xml:space="preserve">Request:  { "matrix_revision": integer, "criteria": [ { "criterion_id": "uuid", "weight_percent": number }, ... ] }
Response: 200 { "status": "Draft", "matrix_revision": integer, "current_total_percent": number }
Errors:   409 { "reason": "revision_mismatch", "current_matrix_revision": integer, "current_criteria": [...] } if matrix_revision does not match the current row</w:t>
      </w:r>
    </w:p>
    <w:p>
      <w:pPr>
        <w:pStyle w:val="Heading3"/>
        <w:spacing w:after="80" w:before="160"/>
      </w:pPr>
      <w:r>
        <w:rPr>
          <w:rFonts w:ascii="Calibri" w:cs="Calibri" w:eastAsia="Calibri" w:hAnsi="Calibri"/>
          <w:b/>
          <w:bCs/>
          <w:color w:val="000000"/>
          <w:sz w:val="22"/>
          <w:szCs w:val="22"/>
        </w:rPr>
        <w:t xml:space="preserve">POST /api/v1/requisitions/{id}/freeze</w:t>
      </w:r>
    </w:p>
    <w:p>
      <w:pPr>
        <w:spacing w:after="160" w:line="300"/>
        <w:jc w:val="both"/>
      </w:pPr>
      <w:r>
        <w:rPr>
          <w:rFonts w:ascii="Calibri" w:cs="Calibri" w:eastAsia="Calibri" w:hAnsi="Calibri"/>
          <w:color w:val="1A1A1A"/>
          <w:sz w:val="22"/>
          <w:szCs w:val="22"/>
        </w:rPr>
        <w:t xml:space="preserve">Approves a specific JD version and its draft scoring matrix in a single atomic transaction — the Approved Decision (BRD/PRD Section 4.1) that freezing is a hard, content-immutable state change (Section 6's immutability-exception note applies). If the requisition already has an Approved version, that version is superseded (not overwritten) and JobRequisition.active_version_id repoints to the newly approved one; the superseded version and its matrix remain queryable by their own ID for any assessment that already referenced them.</w:t>
      </w:r>
    </w:p>
    <w:p>
      <w:pPr>
        <w:spacing w:after="160" w:line="300"/>
        <w:jc w:val="both"/>
      </w:pPr>
      <w:r>
        <w:rPr>
          <w:rFonts w:ascii="Calibri" w:cs="Calibri" w:eastAsia="Calibri" w:hAnsi="Calibri"/>
          <w:color w:val="1A1A1A"/>
          <w:sz w:val="22"/>
          <w:szCs w:val="22"/>
        </w:rPr>
        <w:t xml:space="preserve">Idempotency and replay vs. conflict, distinguished (resolving the earlier ambiguity between the no-op-retry requirement and the general 409-on-invalid-state rule): the caller supplies expected_active_version_id, the active_version_id it last observed for the requisition (null if none yet). The server compares it against the requisition's actual current active_version_id before proceeding.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w:trPr>
          <w:tblHeader/>
        </w:trPr>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Case</w:t>
            </w:r>
          </w:p>
        </w:tc>
        <w:tc>
          <w:tcPr>
            <w:tcW w:type="dxa" w:w="5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Server behavior</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approved_version_id is already the requisition's active_version_id (an exact repeat of a freeze that already succeeded)</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200, no-op — returns the same response the original successful call returned; no new version, no new Superseded row, no duplicate matrix</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expected_active_version_id matches the requisition's actual current active_version_id, and approved_version_id is a PendingApproval version awaiting this decision</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Proceeds: approves approved_version_id, supersedes the prior active version if any, repoints active_version_id — normal path</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expected_active_version_id does NOT match the requisition's actual current active_version_id (someone else's freeze — of this or a different version — landed first)</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409 { "reason": "stale_expected_version", "current_active_version_id": "uuid" } — the two simultaneous-freeze race is resolved this way: exactly one caller's expected_active_version_id matches at commit time</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approved_version_id is not in PendingApproval status and is not already the active version (e.g. Draft, Rejected, or a different Superseded version)</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409 { "reason": "version_not_approvable" }</w:t>
            </w:r>
          </w:p>
        </w:tc>
      </w:tr>
    </w:tbl>
    <w:p>
      <w:pPr>
        <w:shd w:fill="F7F7F7" w:color="auto" w:val="clear"/>
        <w:spacing w:after="100" w:line="260"/>
      </w:pPr>
      <w:r>
        <w:rPr>
          <w:rFonts w:ascii="Consolas" w:cs="Consolas" w:eastAsia="Consolas" w:hAnsi="Consolas"/>
          <w:color w:val="1A1A1A"/>
          <w:sz w:val="19"/>
          <w:szCs w:val="19"/>
        </w:rPr>
        <w:t xml:space="preserve">Request:  { "approved_version_id": "uuid", "expected_active_version_id": "uuid|null" }
Response: 200 { "status": "Frozen_Open", "active_version_id": "uuid", "scoring_matrix_id": "uuid", "superseded_version_id": "uuid|null" }
Errors:   409 (see table above) if the draft matrix's criteria do not sum to exactly 100</w:t>
      </w:r>
    </w:p>
    <w:p>
      <w:pPr>
        <w:pStyle w:val="Heading3"/>
        <w:spacing w:after="80" w:before="160"/>
      </w:pPr>
      <w:r>
        <w:rPr>
          <w:rFonts w:ascii="Calibri" w:cs="Calibri" w:eastAsia="Calibri" w:hAnsi="Calibri"/>
          <w:b/>
          <w:bCs/>
          <w:color w:val="000000"/>
          <w:sz w:val="22"/>
          <w:szCs w:val="22"/>
        </w:rPr>
        <w:t xml:space="preserve">GET /api/v1/requisitions/{id}/scoring-matrix</w:t>
      </w:r>
    </w:p>
    <w:p>
      <w:pPr>
        <w:spacing w:after="160" w:line="300"/>
        <w:jc w:val="both"/>
      </w:pPr>
      <w:r>
        <w:rPr>
          <w:rFonts w:ascii="Calibri" w:cs="Calibri" w:eastAsia="Calibri" w:hAnsi="Calibri"/>
          <w:color w:val="1A1A1A"/>
          <w:sz w:val="22"/>
          <w:szCs w:val="22"/>
        </w:rPr>
        <w:t xml:space="preserve">Returns the Approved scoring matrix bound to the requisition's current active_version_id, for consumption by the Module 3 scoring engine. Callers needing the matrix behind a specific historical (superseded) JD version query it directly by jd_version_id instead.</w:t>
      </w:r>
    </w:p>
    <w:p>
      <w:pPr>
        <w:spacing w:after="200"/>
      </w:pPr>
    </w:p>
    <w:p>
      <w:pPr>
        <w:pStyle w:val="Heading1"/>
        <w:spacing w:after="140" w:before="320"/>
      </w:pPr>
      <w:bookmarkStart w:name="bm_12_9_api_contracts_module_2" w:id="1012"/>
      <w:r>
        <w:rPr>
          <w:rFonts w:ascii="Calibri" w:cs="Calibri" w:eastAsia="Calibri" w:hAnsi="Calibri"/>
          <w:b/>
          <w:bCs/>
          <w:color w:val="D34817"/>
          <w:sz w:val="30"/>
          <w:szCs w:val="30"/>
        </w:rPr>
        <w:t xml:space="preserve">9. API Contracts — Module 2</w:t>
      </w:r>
      <w:bookmarkEnd w:id="1012"/>
    </w:p>
    <w:p>
      <w:pPr>
        <w:pStyle w:val="Heading3"/>
        <w:spacing w:after="80" w:before="160"/>
      </w:pPr>
      <w:r>
        <w:rPr>
          <w:rFonts w:ascii="Calibri" w:cs="Calibri" w:eastAsia="Calibri" w:hAnsi="Calibri"/>
          <w:b/>
          <w:bCs/>
          <w:color w:val="000000"/>
          <w:sz w:val="22"/>
          <w:szCs w:val="22"/>
        </w:rPr>
        <w:t xml:space="preserve">POST /api/v1/requisitions/{id}/publish</w:t>
      </w:r>
    </w:p>
    <w:p>
      <w:pPr>
        <w:spacing w:after="160" w:line="300"/>
        <w:jc w:val="both"/>
      </w:pPr>
      <w:r>
        <w:rPr>
          <w:rFonts w:ascii="Calibri" w:cs="Calibri" w:eastAsia="Calibri" w:hAnsi="Calibri"/>
          <w:color w:val="1A1A1A"/>
          <w:sz w:val="22"/>
          <w:szCs w:val="22"/>
        </w:rPr>
        <w:t xml:space="preserve">Triggered automatically on requisition freeze (or manually re-triggered by a recruiter); fans out to every active SourcingChannelConfig (integration account) scoped to the requisition's (tenant_id, client_id).</w:t>
      </w:r>
    </w:p>
    <w:p>
      <w:pPr>
        <w:pStyle w:val="Heading3"/>
        <w:spacing w:after="80" w:before="160"/>
      </w:pPr>
      <w:r>
        <w:rPr>
          <w:rFonts w:ascii="Calibri" w:cs="Calibri" w:eastAsia="Calibri" w:hAnsi="Calibri"/>
          <w:b/>
          <w:bCs/>
          <w:color w:val="000000"/>
          <w:sz w:val="22"/>
          <w:szCs w:val="22"/>
        </w:rPr>
        <w:t xml:space="preserve">POST /webhooks/naukri-rms/applications</w:t>
      </w:r>
    </w:p>
    <w:p>
      <w:pPr>
        <w:spacing w:after="160" w:line="300"/>
        <w:jc w:val="both"/>
      </w:pPr>
      <w:r>
        <w:rPr>
          <w:rFonts w:ascii="Calibri" w:cs="Calibri" w:eastAsia="Calibri" w:hAnsi="Calibri"/>
          <w:color w:val="1A1A1A"/>
          <w:sz w:val="22"/>
          <w:szCs w:val="22"/>
        </w:rPr>
        <w:t xml:space="preserve">Inbound webhook (or polling result) from Naukri RMS carrying a new application/resume. Idempotency and identity resolution are keyed on (integration_account_id, external_application_id) — integration_account_id is the SourcingChannelConfig.id resolved from the webhook's registered endpoint, which already encodes tenant_id and client_id (Section 5.3).</w:t>
      </w:r>
    </w:p>
    <w:p>
      <w:pPr>
        <w:shd w:fill="F7F7F7" w:color="auto" w:val="clear"/>
        <w:spacing w:after="100" w:line="260"/>
      </w:pPr>
      <w:r>
        <w:rPr>
          <w:rFonts w:ascii="Consolas" w:cs="Consolas" w:eastAsia="Consolas" w:hAnsi="Consolas"/>
          <w:color w:val="1A1A1A"/>
          <w:sz w:val="19"/>
          <w:szCs w:val="19"/>
        </w:rPr>
        <w:t xml:space="preserve">Request (from Naukri RMS): { "external_application_id": "string", "requisition_external_ref": "string", "resume_url": "string", "applicant": { "name", "email", "phone" } }
Response: 202 { "candidate_id": "uuid", "application_id": "uuid", "duplicate_check": "queued" }</w:t>
      </w:r>
    </w:p>
    <w:p>
      <w:pPr>
        <w:pStyle w:val="Heading3"/>
        <w:spacing w:after="80" w:before="160"/>
      </w:pPr>
      <w:r>
        <w:rPr>
          <w:rFonts w:ascii="Calibri" w:cs="Calibri" w:eastAsia="Calibri" w:hAnsi="Calibri"/>
          <w:b/>
          <w:bCs/>
          <w:color w:val="000000"/>
          <w:sz w:val="22"/>
          <w:szCs w:val="22"/>
        </w:rPr>
        <w:t xml:space="preserve">POST /webhooks/linkedin-recruiter/applications</w:t>
      </w:r>
    </w:p>
    <w:p>
      <w:pPr>
        <w:spacing w:after="160" w:line="300"/>
        <w:jc w:val="both"/>
      </w:pPr>
      <w:r>
        <w:rPr>
          <w:rFonts w:ascii="Calibri" w:cs="Calibri" w:eastAsia="Calibri" w:hAnsi="Calibri"/>
          <w:color w:val="1A1A1A"/>
          <w:sz w:val="22"/>
          <w:szCs w:val="22"/>
        </w:rPr>
        <w:t xml:space="preserve">Equivalent inbound contract for LinkedIn Talent Solutions, same idempotency scoping as above. Which specific LinkedIn Talent Solutions product (Recruiter System Connect, Apply Connect, or another) this integrates with is not yet confirmed — see Section 16.</w:t>
      </w:r>
    </w:p>
    <w:p>
      <w:pPr>
        <w:pStyle w:val="Heading3"/>
        <w:spacing w:after="80" w:before="160"/>
      </w:pPr>
      <w:r>
        <w:rPr>
          <w:rFonts w:ascii="Calibri" w:cs="Calibri" w:eastAsia="Calibri" w:hAnsi="Calibri"/>
          <w:b/>
          <w:bCs/>
          <w:color w:val="000000"/>
          <w:sz w:val="22"/>
          <w:szCs w:val="22"/>
        </w:rPr>
        <w:t xml:space="preserve">POST /webhooks/email-intake/resume</w:t>
      </w:r>
    </w:p>
    <w:p>
      <w:pPr>
        <w:spacing w:after="160" w:line="300"/>
        <w:jc w:val="both"/>
      </w:pPr>
      <w:r>
        <w:rPr>
          <w:rFonts w:ascii="Calibri" w:cs="Calibri" w:eastAsia="Calibri" w:hAnsi="Calibri"/>
          <w:color w:val="1A1A1A"/>
          <w:sz w:val="22"/>
          <w:szCs w:val="22"/>
        </w:rPr>
        <w:t xml:space="preserve">Inbound-email-parse webhook: dedicated per-(tenant, client) intake address receives an email with a resume attachment; the email provider's inbound-parse service posts the parsed MIME payload here.</w:t>
      </w:r>
    </w:p>
    <w:p>
      <w:pPr>
        <w:pStyle w:val="Heading3"/>
        <w:spacing w:after="80" w:before="160"/>
      </w:pPr>
      <w:r>
        <w:rPr>
          <w:rFonts w:ascii="Calibri" w:cs="Calibri" w:eastAsia="Calibri" w:hAnsi="Calibri"/>
          <w:b/>
          <w:bCs/>
          <w:color w:val="000000"/>
          <w:sz w:val="22"/>
          <w:szCs w:val="22"/>
        </w:rPr>
        <w:t xml:space="preserve">POST /api/v1/candidates/upload</w:t>
      </w:r>
    </w:p>
    <w:p>
      <w:pPr>
        <w:spacing w:after="160" w:line="300"/>
        <w:jc w:val="both"/>
      </w:pPr>
      <w:r>
        <w:rPr>
          <w:rFonts w:ascii="Calibri" w:cs="Calibri" w:eastAsia="Calibri" w:hAnsi="Calibri"/>
          <w:color w:val="1A1A1A"/>
          <w:sz w:val="22"/>
          <w:szCs w:val="22"/>
        </w:rPr>
        <w:t xml:space="preserve">Manual single/bulk upload path used by recruiters as the universal fallback for channels without an API.</w:t>
      </w:r>
    </w:p>
    <w:p>
      <w:pPr>
        <w:pStyle w:val="Heading3"/>
        <w:spacing w:after="80" w:before="160"/>
      </w:pPr>
      <w:r>
        <w:rPr>
          <w:rFonts w:ascii="Calibri" w:cs="Calibri" w:eastAsia="Calibri" w:hAnsi="Calibri"/>
          <w:b/>
          <w:bCs/>
          <w:color w:val="000000"/>
          <w:sz w:val="22"/>
          <w:szCs w:val="22"/>
        </w:rPr>
        <w:t xml:space="preserve">GET /api/v1/candidates/search</w:t>
      </w:r>
    </w:p>
    <w:p>
      <w:pPr>
        <w:spacing w:after="160" w:line="300"/>
        <w:jc w:val="both"/>
      </w:pPr>
      <w:r>
        <w:rPr>
          <w:rFonts w:ascii="Calibri" w:cs="Calibri" w:eastAsia="Calibri" w:hAnsi="Calibri"/>
          <w:color w:val="1A1A1A"/>
          <w:sz w:val="22"/>
          <w:szCs w:val="22"/>
        </w:rPr>
        <w:t xml:space="preserve">Full-text and filtered search across the caller's (tenant_id, client_id)-scoped candidate pool — backs the unified resume inbox and Module 2's candidate database search feature. client_id is resolved server-side from the authenticated session, never accepted as a caller-supplied filter (Section 5.3).</w:t>
      </w:r>
    </w:p>
    <w:p>
      <w:pPr>
        <w:shd w:fill="F7F7F7" w:color="auto" w:val="clear"/>
        <w:spacing w:after="100" w:line="260"/>
      </w:pPr>
      <w:r>
        <w:rPr>
          <w:rFonts w:ascii="Consolas" w:cs="Consolas" w:eastAsia="Consolas" w:hAnsi="Consolas"/>
          <w:color w:val="1A1A1A"/>
          <w:sz w:val="19"/>
          <w:szCs w:val="19"/>
        </w:rPr>
        <w:t xml:space="preserve">Query params: q, skills[], experience_min, experience_max, source_channel[], requisition_id, page, page_size</w:t>
      </w:r>
    </w:p>
    <w:p>
      <w:pPr>
        <w:spacing w:after="200"/>
      </w:pPr>
    </w:p>
    <w:p>
      <w:pPr>
        <w:pStyle w:val="Heading1"/>
        <w:spacing w:after="140" w:before="320"/>
      </w:pPr>
      <w:bookmarkStart w:name="bm_13_10_integration_specifications" w:id="1013"/>
      <w:r>
        <w:rPr>
          <w:rFonts w:ascii="Calibri" w:cs="Calibri" w:eastAsia="Calibri" w:hAnsi="Calibri"/>
          <w:b/>
          <w:bCs/>
          <w:color w:val="D34817"/>
          <w:sz w:val="30"/>
          <w:szCs w:val="30"/>
        </w:rPr>
        <w:t xml:space="preserve">10. Integration Specifications</w:t>
      </w:r>
      <w:bookmarkEnd w:id="1013"/>
    </w:p>
    <w:p>
      <w:pPr>
        <w:pStyle w:val="Heading3"/>
        <w:spacing w:after="80" w:before="160"/>
      </w:pPr>
      <w:r>
        <w:rPr>
          <w:rFonts w:ascii="Calibri" w:cs="Calibri" w:eastAsia="Calibri" w:hAnsi="Calibri"/>
          <w:b/>
          <w:bCs/>
          <w:color w:val="000000"/>
          <w:sz w:val="22"/>
          <w:szCs w:val="22"/>
        </w:rPr>
        <w:t xml:space="preserve">10.1 Naukri RMS</w:t>
      </w:r>
    </w:p>
    <w:p>
      <w:pPr>
        <w:pStyle w:val="ListParagraph"/>
        <w:numPr>
          <w:ilvl w:val="0"/>
          <w:numId w:val="2"/>
        </w:numPr>
        <w:spacing w:after="80" w:line="280"/>
      </w:pPr>
      <w:r>
        <w:rPr>
          <w:rFonts w:ascii="Calibri" w:cs="Calibri" w:eastAsia="Calibri" w:hAnsi="Calibri"/>
          <w:color w:val="1A1A1A"/>
          <w:sz w:val="22"/>
          <w:szCs w:val="22"/>
        </w:rPr>
        <w:t xml:space="preserve">Status: proposed internal adapter contract — Naukri RMS partner-agreement terms and exact API capabilities are not yet confirmed; treat this section as the integration Phoneme intends to build against, pending vendor confirmation (Section 16).</w:t>
      </w:r>
    </w:p>
    <w:p>
      <w:pPr>
        <w:pStyle w:val="ListParagraph"/>
        <w:numPr>
          <w:ilvl w:val="0"/>
          <w:numId w:val="2"/>
        </w:numPr>
        <w:spacing w:after="80" w:line="280"/>
      </w:pPr>
      <w:r>
        <w:rPr>
          <w:rFonts w:ascii="Calibri" w:cs="Calibri" w:eastAsia="Calibri" w:hAnsi="Calibri"/>
          <w:color w:val="1A1A1A"/>
          <w:sz w:val="22"/>
          <w:szCs w:val="22"/>
        </w:rPr>
        <w:t xml:space="preserve">Auth: OAuth2 client-credentials, per-integration-account contracted employer account.</w:t>
      </w:r>
    </w:p>
    <w:p>
      <w:pPr>
        <w:pStyle w:val="ListParagraph"/>
        <w:numPr>
          <w:ilvl w:val="0"/>
          <w:numId w:val="2"/>
        </w:numPr>
        <w:spacing w:after="80" w:line="280"/>
      </w:pPr>
      <w:r>
        <w:rPr>
          <w:rFonts w:ascii="Calibri" w:cs="Calibri" w:eastAsia="Calibri" w:hAnsi="Calibri"/>
          <w:color w:val="1A1A1A"/>
          <w:sz w:val="22"/>
          <w:szCs w:val="22"/>
        </w:rPr>
        <w:t xml:space="preserve">Direction: confirm at vendor onboarding whether push (webhook) or poll is available under the contracted plan — Section 16 lists this as an open technical decision.</w:t>
      </w:r>
    </w:p>
    <w:p>
      <w:pPr>
        <w:pStyle w:val="ListParagraph"/>
        <w:numPr>
          <w:ilvl w:val="0"/>
          <w:numId w:val="2"/>
        </w:numPr>
        <w:spacing w:after="80" w:line="280"/>
      </w:pPr>
      <w:r>
        <w:rPr>
          <w:rFonts w:ascii="Calibri" w:cs="Calibri" w:eastAsia="Calibri" w:hAnsi="Calibri"/>
          <w:color w:val="1A1A1A"/>
          <w:sz w:val="22"/>
          <w:szCs w:val="22"/>
        </w:rPr>
        <w:t xml:space="preserve">Rate limits: respect vendor-published limits; Publish Service applies exponential backoff on 429 responses.</w:t>
      </w:r>
    </w:p>
    <w:p>
      <w:pPr>
        <w:pStyle w:val="Heading3"/>
        <w:spacing w:after="80" w:before="160"/>
      </w:pPr>
      <w:r>
        <w:rPr>
          <w:rFonts w:ascii="Calibri" w:cs="Calibri" w:eastAsia="Calibri" w:hAnsi="Calibri"/>
          <w:b/>
          <w:bCs/>
          <w:color w:val="000000"/>
          <w:sz w:val="22"/>
          <w:szCs w:val="22"/>
        </w:rPr>
        <w:t xml:space="preserve">10.2 LinkedIn Talent Solutions</w:t>
      </w:r>
    </w:p>
    <w:p>
      <w:pPr>
        <w:pStyle w:val="ListParagraph"/>
        <w:numPr>
          <w:ilvl w:val="0"/>
          <w:numId w:val="2"/>
        </w:numPr>
        <w:spacing w:after="80" w:line="280"/>
      </w:pPr>
      <w:r>
        <w:rPr>
          <w:rFonts w:ascii="Calibri" w:cs="Calibri" w:eastAsia="Calibri" w:hAnsi="Calibri"/>
          <w:color w:val="1A1A1A"/>
          <w:sz w:val="22"/>
          <w:szCs w:val="22"/>
        </w:rPr>
        <w:t xml:space="preserve">Status: proposed internal adapter contract. LinkedIn documents multiple distinct Talent Solutions integration products (e.g. Recruiter System Connect, Apply Connect) with different capabilities; "LinkedIn Recruiter API" as used elsewhere in this document is a placeholder pending confirmation of which specific product Phoneme contracts for — this is a vendor-feasibility gate, not a detail to resolve during implementation (Section 16).</w:t>
      </w:r>
    </w:p>
    <w:p>
      <w:pPr>
        <w:pStyle w:val="ListParagraph"/>
        <w:numPr>
          <w:ilvl w:val="0"/>
          <w:numId w:val="2"/>
        </w:numPr>
        <w:spacing w:after="80" w:line="280"/>
      </w:pPr>
      <w:r>
        <w:rPr>
          <w:rFonts w:ascii="Calibri" w:cs="Calibri" w:eastAsia="Calibri" w:hAnsi="Calibri"/>
          <w:color w:val="1A1A1A"/>
          <w:sz w:val="22"/>
          <w:szCs w:val="22"/>
        </w:rPr>
        <w:t xml:space="preserve">Auth: OAuth2 authorization-code flow, requiring a per-integration-account recruiter to grant consent once during channel setup.</w:t>
      </w:r>
    </w:p>
    <w:p>
      <w:pPr>
        <w:pStyle w:val="ListParagraph"/>
        <w:numPr>
          <w:ilvl w:val="0"/>
          <w:numId w:val="2"/>
        </w:numPr>
        <w:spacing w:after="80" w:line="280"/>
      </w:pPr>
      <w:r>
        <w:rPr>
          <w:rFonts w:ascii="Calibri" w:cs="Calibri" w:eastAsia="Calibri" w:hAnsi="Calibri"/>
          <w:color w:val="1A1A1A"/>
          <w:sz w:val="22"/>
          <w:szCs w:val="22"/>
        </w:rPr>
        <w:t xml:space="preserve">Token refresh handled by the channel adapter; a failed refresh marks the channel Integration Error and alerts the tenant admin without blocking other channels.</w:t>
      </w:r>
    </w:p>
    <w:p>
      <w:pPr>
        <w:pStyle w:val="Heading3"/>
        <w:spacing w:after="80" w:before="160"/>
      </w:pPr>
      <w:r>
        <w:rPr>
          <w:rFonts w:ascii="Calibri" w:cs="Calibri" w:eastAsia="Calibri" w:hAnsi="Calibri"/>
          <w:b/>
          <w:bCs/>
          <w:color w:val="000000"/>
          <w:sz w:val="22"/>
          <w:szCs w:val="22"/>
        </w:rPr>
        <w:t xml:space="preserve">10.3 Email Intake</w:t>
      </w:r>
    </w:p>
    <w:p>
      <w:pPr>
        <w:pStyle w:val="ListParagraph"/>
        <w:numPr>
          <w:ilvl w:val="0"/>
          <w:numId w:val="2"/>
        </w:numPr>
        <w:spacing w:after="80" w:line="280"/>
      </w:pPr>
      <w:r>
        <w:rPr>
          <w:rFonts w:ascii="Calibri" w:cs="Calibri" w:eastAsia="Calibri" w:hAnsi="Calibri"/>
          <w:color w:val="1A1A1A"/>
          <w:sz w:val="22"/>
          <w:szCs w:val="22"/>
        </w:rPr>
        <w:t xml:space="preserve">A dedicated per-(tenant, client) intake address, provisioned at integration-account setup, routed through a transactional-email provider's inbound-parse webhook (e.g. SendGrid Inbound Parse or equivalent).</w:t>
      </w:r>
    </w:p>
    <w:p>
      <w:pPr>
        <w:pStyle w:val="ListParagraph"/>
        <w:numPr>
          <w:ilvl w:val="0"/>
          <w:numId w:val="2"/>
        </w:numPr>
        <w:spacing w:after="80" w:line="280"/>
      </w:pPr>
      <w:r>
        <w:rPr>
          <w:rFonts w:ascii="Calibri" w:cs="Calibri" w:eastAsia="Calibri" w:hAnsi="Calibri"/>
          <w:color w:val="1A1A1A"/>
          <w:sz w:val="22"/>
          <w:szCs w:val="22"/>
        </w:rPr>
        <w:t xml:space="preserve">Attachment extraction feeds the Resume Parsing Service; the email body itself is retained for audit but is not parsed for structured fields.</w:t>
      </w:r>
    </w:p>
    <w:p>
      <w:pPr>
        <w:pStyle w:val="Heading3"/>
        <w:spacing w:after="80" w:before="160"/>
      </w:pPr>
      <w:r>
        <w:rPr>
          <w:rFonts w:ascii="Calibri" w:cs="Calibri" w:eastAsia="Calibri" w:hAnsi="Calibri"/>
          <w:b/>
          <w:bCs/>
          <w:color w:val="000000"/>
          <w:sz w:val="22"/>
          <w:szCs w:val="22"/>
        </w:rPr>
        <w:t xml:space="preserve">10.4 Resume Parsing Service</w:t>
      </w:r>
    </w:p>
    <w:p>
      <w:pPr>
        <w:pStyle w:val="ListParagraph"/>
        <w:numPr>
          <w:ilvl w:val="0"/>
          <w:numId w:val="2"/>
        </w:numPr>
        <w:spacing w:after="80" w:line="280"/>
      </w:pPr>
      <w:r>
        <w:rPr>
          <w:rFonts w:ascii="Calibri" w:cs="Calibri" w:eastAsia="Calibri" w:hAnsi="Calibri"/>
          <w:color w:val="1A1A1A"/>
          <w:sz w:val="22"/>
          <w:szCs w:val="22"/>
        </w:rPr>
        <w:t xml:space="preserve">Release 1 supported formats: PDF and DOCX only, matching the BRD/PRD's scope statement (a broader "any resume format" claim in earlier drafts has been corrected — see BRD/PRD Change Log). Other formats (.doc, .rtf, .pages, images) are rejected at upload/intake with an explicit unsupported-format error, not silently dropped.</w:t>
      </w:r>
    </w:p>
    <w:p>
      <w:pPr>
        <w:pStyle w:val="ListParagraph"/>
        <w:numPr>
          <w:ilvl w:val="0"/>
          <w:numId w:val="2"/>
        </w:numPr>
        <w:spacing w:after="80" w:line="280"/>
      </w:pPr>
      <w:r>
        <w:rPr>
          <w:rFonts w:ascii="Calibri" w:cs="Calibri" w:eastAsia="Calibri" w:hAnsi="Calibri"/>
          <w:color w:val="1A1A1A"/>
          <w:sz w:val="22"/>
          <w:szCs w:val="22"/>
        </w:rPr>
        <w:t xml:space="preserve">Scanned/image-only PDFs (no extractable text layer) and password-protected files are detected and routed to the same manual structured-entry fallback used for NLP extraction failure (Section 15), rather than failing silently or producing an empty parse.</w:t>
      </w:r>
    </w:p>
    <w:p>
      <w:pPr>
        <w:pStyle w:val="ListParagraph"/>
        <w:numPr>
          <w:ilvl w:val="0"/>
          <w:numId w:val="2"/>
        </w:numPr>
        <w:spacing w:after="80" w:line="280"/>
      </w:pPr>
      <w:r>
        <w:rPr>
          <w:rFonts w:ascii="Calibri" w:cs="Calibri" w:eastAsia="Calibri" w:hAnsi="Calibri"/>
          <w:color w:val="1A1A1A"/>
          <w:sz w:val="22"/>
          <w:szCs w:val="22"/>
        </w:rPr>
        <w:t xml:space="preserve">Returns structured JSON (contact, work history, skills, education) with a per-field confidence score, consistent with the JDField confidence model in Module 1.</w:t>
      </w:r>
    </w:p>
    <w:p>
      <w:pPr>
        <w:pStyle w:val="ListParagraph"/>
        <w:numPr>
          <w:ilvl w:val="0"/>
          <w:numId w:val="2"/>
        </w:numPr>
        <w:spacing w:after="80" w:line="280"/>
      </w:pPr>
      <w:r>
        <w:rPr>
          <w:rFonts w:ascii="Calibri" w:cs="Calibri" w:eastAsia="Calibri" w:hAnsi="Calibri"/>
          <w:color w:val="1A1A1A"/>
          <w:sz w:val="22"/>
          <w:szCs w:val="22"/>
        </w:rPr>
        <w:t xml:space="preserve">Build-vs-buy is an open decision — see Section 16.</w:t>
      </w:r>
    </w:p>
    <w:p>
      <w:pPr>
        <w:spacing w:after="200"/>
      </w:pPr>
    </w:p>
    <w:p>
      <w:pPr>
        <w:pStyle w:val="Heading1"/>
        <w:spacing w:after="140" w:before="320"/>
      </w:pPr>
      <w:bookmarkStart w:name="bm_14_11_data_flow_diagrams" w:id="1014"/>
      <w:r>
        <w:rPr>
          <w:rFonts w:ascii="Calibri" w:cs="Calibri" w:eastAsia="Calibri" w:hAnsi="Calibri"/>
          <w:b/>
          <w:bCs/>
          <w:color w:val="D34817"/>
          <w:sz w:val="30"/>
          <w:szCs w:val="30"/>
        </w:rPr>
        <w:t xml:space="preserve">11. Data Flow Diagrams</w:t>
      </w:r>
      <w:bookmarkEnd w:id="1014"/>
    </w:p>
    <w:p>
      <w:pPr>
        <w:spacing w:after="160" w:line="300"/>
        <w:jc w:val="both"/>
      </w:pPr>
      <w:r>
        <w:rPr>
          <w:rFonts w:ascii="Calibri" w:cs="Calibri" w:eastAsia="Calibri" w:hAnsi="Calibri"/>
          <w:color w:val="1A1A1A"/>
          <w:sz w:val="22"/>
          <w:szCs w:val="22"/>
        </w:rPr>
        <w:t xml:space="preserve">The Level-1 data flow diagram below traces information from the manager's raw brief through JD generation, freezing, and scoring-matrix creation (Module 1), and from a published requisition through candidate sourcing, parsing and dedupe to the unified candidate store (Module 2) — ending at the handoff into Module 3 (Screening &amp; Shortlisting).</w:t>
      </w:r>
    </w:p>
    <w:p>
      <w:pPr>
        <w:keepNext/>
        <w:spacing w:after="60" w:before="100"/>
        <w:jc w:val="center"/>
      </w:pPr>
      <w:r>
        <w:drawing>
          <wp:inline distT="0" distB="0" distL="0" distR="0">
            <wp:extent cx="2667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5334000"/>
                    </a:xfrm>
                    <a:prstGeom prst="rect">
                      <a:avLst/>
                    </a:prstGeom>
                  </pic:spPr>
                </pic:pic>
              </a:graphicData>
            </a:graphic>
          </wp:inline>
        </w:drawing>
      </w:r>
    </w:p>
    <w:p>
      <w:pPr>
        <w:keepLines/>
        <w:spacing w:after="200"/>
        <w:jc w:val="center"/>
      </w:pPr>
      <w:r>
        <w:rPr>
          <w:i/>
          <w:iCs/>
          <w:color w:val="6E6E6E"/>
          <w:sz w:val="18"/>
          <w:szCs w:val="18"/>
        </w:rPr>
        <w:t xml:space="preserve">Figure 11.1 — Level-1 data flow diagram, JD Intake → Freeze → Publish → Sourcing → Candidate Store</w:t>
      </w:r>
    </w:p>
    <w:p>
      <w:pPr>
        <w:spacing w:after="200"/>
      </w:pPr>
    </w:p>
    <w:p>
      <w:pPr>
        <w:pStyle w:val="Heading1"/>
        <w:spacing w:after="140" w:before="320"/>
      </w:pPr>
      <w:bookmarkStart w:name="bm_15_12_sequence_flows" w:id="1015"/>
      <w:r>
        <w:rPr>
          <w:rFonts w:ascii="Calibri" w:cs="Calibri" w:eastAsia="Calibri" w:hAnsi="Calibri"/>
          <w:b/>
          <w:bCs/>
          <w:color w:val="D34817"/>
          <w:sz w:val="30"/>
          <w:szCs w:val="30"/>
        </w:rPr>
        <w:t xml:space="preserve">12. Sequence Flows</w:t>
      </w:r>
      <w:bookmarkEnd w:id="1015"/>
    </w:p>
    <w:p>
      <w:pPr>
        <w:pStyle w:val="Heading3"/>
        <w:spacing w:after="80" w:before="160"/>
      </w:pPr>
      <w:r>
        <w:rPr>
          <w:rFonts w:ascii="Calibri" w:cs="Calibri" w:eastAsia="Calibri" w:hAnsi="Calibri"/>
          <w:b/>
          <w:bCs/>
          <w:color w:val="000000"/>
          <w:sz w:val="22"/>
          <w:szCs w:val="22"/>
        </w:rPr>
        <w:t xml:space="preserve">12.1 Module 1 — JD Intake to Freeze</w:t>
      </w:r>
    </w:p>
    <w:p>
      <w:pPr>
        <w:pStyle w:val="ListParagraph"/>
        <w:numPr>
          <w:ilvl w:val="0"/>
          <w:numId w:val="3"/>
        </w:numPr>
        <w:spacing w:after="80" w:line="280"/>
      </w:pPr>
      <w:r>
        <w:rPr>
          <w:rFonts w:ascii="Calibri" w:cs="Calibri" w:eastAsia="Calibri" w:hAnsi="Calibri"/>
          <w:color w:val="1A1A1A"/>
          <w:sz w:val="22"/>
          <w:szCs w:val="22"/>
        </w:rPr>
        <w:t xml:space="preserve">Manager → Email/Portal: submits raw brief.</w:t>
      </w:r>
    </w:p>
    <w:p>
      <w:pPr>
        <w:pStyle w:val="ListParagraph"/>
        <w:numPr>
          <w:ilvl w:val="0"/>
          <w:numId w:val="3"/>
        </w:numPr>
        <w:spacing w:after="80" w:line="280"/>
      </w:pPr>
      <w:r>
        <w:rPr>
          <w:rFonts w:ascii="Calibri" w:cs="Calibri" w:eastAsia="Calibri" w:hAnsi="Calibri"/>
          <w:color w:val="1A1A1A"/>
          <w:sz w:val="22"/>
          <w:szCs w:val="22"/>
        </w:rPr>
        <w:t xml:space="preserve">Requisition Service: creates JobRequisition (status Draft) and JDBrief record.</w:t>
      </w:r>
    </w:p>
    <w:p>
      <w:pPr>
        <w:pStyle w:val="ListParagraph"/>
        <w:numPr>
          <w:ilvl w:val="0"/>
          <w:numId w:val="3"/>
        </w:numPr>
        <w:spacing w:after="80" w:line="280"/>
      </w:pPr>
      <w:r>
        <w:rPr>
          <w:rFonts w:ascii="Calibri" w:cs="Calibri" w:eastAsia="Calibri" w:hAnsi="Calibri"/>
          <w:color w:val="1A1A1A"/>
          <w:sz w:val="22"/>
          <w:szCs w:val="22"/>
        </w:rPr>
        <w:t xml:space="preserve">JD Generation Service: runs NLP extraction → JDField records; generates 2–3 JDVersion drafts plus a draft ScoringMatrix/ScoringCriterion set.</w:t>
      </w:r>
    </w:p>
    <w:p>
      <w:pPr>
        <w:pStyle w:val="ListParagraph"/>
        <w:numPr>
          <w:ilvl w:val="0"/>
          <w:numId w:val="3"/>
        </w:numPr>
        <w:spacing w:after="80" w:line="280"/>
      </w:pPr>
      <w:r>
        <w:rPr>
          <w:rFonts w:ascii="Calibri" w:cs="Calibri" w:eastAsia="Calibri" w:hAnsi="Calibri"/>
          <w:color w:val="1A1A1A"/>
          <w:sz w:val="22"/>
          <w:szCs w:val="22"/>
        </w:rPr>
        <w:t xml:space="preserve">Notification Service: emails manager, updates portal Pending JD Approval queue.</w:t>
      </w:r>
    </w:p>
    <w:p>
      <w:pPr>
        <w:pStyle w:val="ListParagraph"/>
        <w:numPr>
          <w:ilvl w:val="0"/>
          <w:numId w:val="3"/>
        </w:numPr>
        <w:spacing w:after="80" w:line="280"/>
      </w:pPr>
      <w:r>
        <w:rPr>
          <w:rFonts w:ascii="Calibri" w:cs="Calibri" w:eastAsia="Calibri" w:hAnsi="Calibri"/>
          <w:color w:val="1A1A1A"/>
          <w:sz w:val="22"/>
          <w:szCs w:val="22"/>
        </w:rPr>
        <w:t xml:space="preserve">Manager → Email reply or Portal edit: feedback submitted via POST .../feedback, and/or draft matrix weights adjusted via PATCH .../scoring-matrix/draft.</w:t>
      </w:r>
    </w:p>
    <w:p>
      <w:pPr>
        <w:pStyle w:val="ListParagraph"/>
        <w:numPr>
          <w:ilvl w:val="0"/>
          <w:numId w:val="3"/>
        </w:numPr>
        <w:spacing w:after="80" w:line="280"/>
      </w:pPr>
      <w:r>
        <w:rPr>
          <w:rFonts w:ascii="Calibri" w:cs="Calibri" w:eastAsia="Calibri" w:hAnsi="Calibri"/>
          <w:color w:val="1A1A1A"/>
          <w:sz w:val="22"/>
          <w:szCs w:val="22"/>
        </w:rPr>
        <w:t xml:space="preserve">JD Generation Service: parses feedback into a structured diff → new JDVersion (status Revising). Loop to step 4 until manager freezes.</w:t>
      </w:r>
    </w:p>
    <w:p>
      <w:pPr>
        <w:pStyle w:val="ListParagraph"/>
        <w:numPr>
          <w:ilvl w:val="0"/>
          <w:numId w:val="3"/>
        </w:numPr>
        <w:spacing w:after="80" w:line="280"/>
      </w:pPr>
      <w:r>
        <w:rPr>
          <w:rFonts w:ascii="Calibri" w:cs="Calibri" w:eastAsia="Calibri" w:hAnsi="Calibri"/>
          <w:color w:val="1A1A1A"/>
          <w:sz w:val="22"/>
          <w:szCs w:val="22"/>
        </w:rPr>
        <w:t xml:space="preserve">SLA Scheduler: if no manager response within the configured window, triggers a reminder, then an HR escalation notification.</w:t>
      </w:r>
    </w:p>
    <w:p>
      <w:pPr>
        <w:pStyle w:val="ListParagraph"/>
        <w:numPr>
          <w:ilvl w:val="0"/>
          <w:numId w:val="3"/>
        </w:numPr>
        <w:spacing w:after="80" w:line="280"/>
      </w:pPr>
      <w:r>
        <w:rPr>
          <w:rFonts w:ascii="Calibri" w:cs="Calibri" w:eastAsia="Calibri" w:hAnsi="Calibri"/>
          <w:color w:val="1A1A1A"/>
          <w:sz w:val="22"/>
          <w:szCs w:val="22"/>
        </w:rPr>
        <w:t xml:space="preserve">Manager → POST .../freeze: approves the PendingApproval version and its draft matrix in one atomic transaction.</w:t>
      </w:r>
    </w:p>
    <w:p>
      <w:pPr>
        <w:pStyle w:val="ListParagraph"/>
        <w:numPr>
          <w:ilvl w:val="0"/>
          <w:numId w:val="3"/>
        </w:numPr>
        <w:spacing w:after="80" w:line="280"/>
      </w:pPr>
      <w:r>
        <w:rPr>
          <w:rFonts w:ascii="Calibri" w:cs="Calibri" w:eastAsia="Calibri" w:hAnsi="Calibri"/>
          <w:color w:val="1A1A1A"/>
          <w:sz w:val="22"/>
          <w:szCs w:val="22"/>
        </w:rPr>
        <w:t xml:space="preserve">Scoring Matrix Service: sets the new JDVersion.status = Approved and its ScoringMatrix.status = Approved; if a previously Approved version existed, sets it to Superseded; repoints JobRequisition.active_version_id and sets status = Frozen_Open.</w:t>
      </w:r>
    </w:p>
    <w:p>
      <w:pPr>
        <w:pStyle w:val="ListParagraph"/>
        <w:numPr>
          <w:ilvl w:val="0"/>
          <w:numId w:val="3"/>
        </w:numPr>
        <w:spacing w:after="80" w:line="280"/>
      </w:pPr>
      <w:r>
        <w:rPr>
          <w:rFonts w:ascii="Calibri" w:cs="Calibri" w:eastAsia="Calibri" w:hAnsi="Calibri"/>
          <w:color w:val="1A1A1A"/>
          <w:sz w:val="22"/>
          <w:szCs w:val="22"/>
        </w:rPr>
        <w:t xml:space="preserve">Requisition Service: emits requisition.frozen event (carrying tenant_id, client_id, active_version_id), consumed by the Module 2 Publish Service.</w:t>
      </w:r>
    </w:p>
    <w:p>
      <w:pPr>
        <w:pStyle w:val="Heading3"/>
        <w:spacing w:after="80" w:before="160"/>
      </w:pPr>
      <w:r>
        <w:rPr>
          <w:rFonts w:ascii="Calibri" w:cs="Calibri" w:eastAsia="Calibri" w:hAnsi="Calibri"/>
          <w:b/>
          <w:bCs/>
          <w:color w:val="000000"/>
          <w:sz w:val="22"/>
          <w:szCs w:val="22"/>
        </w:rPr>
        <w:t xml:space="preserve">12.2 Module 2 — Publish to Unified Candidate Record</w:t>
      </w:r>
    </w:p>
    <w:p>
      <w:pPr>
        <w:pStyle w:val="ListParagraph"/>
        <w:numPr>
          <w:ilvl w:val="0"/>
          <w:numId w:val="4"/>
        </w:numPr>
        <w:spacing w:after="80" w:line="280"/>
      </w:pPr>
      <w:r>
        <w:rPr>
          <w:rFonts w:ascii="Calibri" w:cs="Calibri" w:eastAsia="Calibri" w:hAnsi="Calibri"/>
          <w:color w:val="1A1A1A"/>
          <w:sz w:val="22"/>
          <w:szCs w:val="22"/>
        </w:rPr>
        <w:t xml:space="preserve">Publish Service: consumes requisition.frozen; calls each active channel adapter (integration account) scoped to the requisition's (tenant_id, client_id).</w:t>
      </w:r>
    </w:p>
    <w:p>
      <w:pPr>
        <w:pStyle w:val="ListParagraph"/>
        <w:numPr>
          <w:ilvl w:val="0"/>
          <w:numId w:val="4"/>
        </w:numPr>
        <w:spacing w:after="80" w:line="280"/>
      </w:pPr>
      <w:r>
        <w:rPr>
          <w:rFonts w:ascii="Calibri" w:cs="Calibri" w:eastAsia="Calibri" w:hAnsi="Calibri"/>
          <w:color w:val="1A1A1A"/>
          <w:sz w:val="22"/>
          <w:szCs w:val="22"/>
        </w:rPr>
        <w:t xml:space="preserve">Channel Adapter (Naukri RMS / LinkedIn / email / manual / referral): posts the requisition or begins listening/polling for applications.</w:t>
      </w:r>
    </w:p>
    <w:p>
      <w:pPr>
        <w:pStyle w:val="ListParagraph"/>
        <w:numPr>
          <w:ilvl w:val="0"/>
          <w:numId w:val="4"/>
        </w:numPr>
        <w:spacing w:after="80" w:line="280"/>
      </w:pPr>
      <w:r>
        <w:rPr>
          <w:rFonts w:ascii="Calibri" w:cs="Calibri" w:eastAsia="Calibri" w:hAnsi="Calibri"/>
          <w:color w:val="1A1A1A"/>
          <w:sz w:val="22"/>
          <w:szCs w:val="22"/>
        </w:rPr>
        <w:t xml:space="preserve">Inbound application/resume arrives via webhook, poll result, or manual upload, identified by (integration_account_id, external_application_id).</w:t>
      </w:r>
    </w:p>
    <w:p>
      <w:pPr>
        <w:pStyle w:val="ListParagraph"/>
        <w:numPr>
          <w:ilvl w:val="0"/>
          <w:numId w:val="4"/>
        </w:numPr>
        <w:spacing w:after="80" w:line="280"/>
      </w:pPr>
      <w:r>
        <w:rPr>
          <w:rFonts w:ascii="Calibri" w:cs="Calibri" w:eastAsia="Calibri" w:hAnsi="Calibri"/>
          <w:color w:val="1A1A1A"/>
          <w:sz w:val="22"/>
          <w:szCs w:val="22"/>
        </w:rPr>
        <w:t xml:space="preserve">Resume Parsing Service: extracts structured candidate fields; tags source_channel; routes unsupported/unparseable files to manual fallback (Section 15).</w:t>
      </w:r>
    </w:p>
    <w:p>
      <w:pPr>
        <w:pStyle w:val="ListParagraph"/>
        <w:numPr>
          <w:ilvl w:val="0"/>
          <w:numId w:val="4"/>
        </w:numPr>
        <w:spacing w:after="80" w:line="280"/>
      </w:pPr>
      <w:r>
        <w:rPr>
          <w:rFonts w:ascii="Calibri" w:cs="Calibri" w:eastAsia="Calibri" w:hAnsi="Calibri"/>
          <w:color w:val="1A1A1A"/>
          <w:sz w:val="22"/>
          <w:szCs w:val="22"/>
        </w:rPr>
        <w:t xml:space="preserve">Dedupe Service: checks against existing Candidate records scoped to (tenant_id, client_id) (see Section 14 for match logic and Section 7.1's DuplicateMatch conflict handling); links to an existing record, creates a new one, or routes to manual review on conflicting evidence.</w:t>
      </w:r>
    </w:p>
    <w:p>
      <w:pPr>
        <w:pStyle w:val="ListParagraph"/>
        <w:numPr>
          <w:ilvl w:val="0"/>
          <w:numId w:val="4"/>
        </w:numPr>
        <w:spacing w:after="80" w:line="280"/>
      </w:pPr>
      <w:r>
        <w:rPr>
          <w:rFonts w:ascii="Calibri" w:cs="Calibri" w:eastAsia="Calibri" w:hAnsi="Calibri"/>
          <w:color w:val="1A1A1A"/>
          <w:sz w:val="22"/>
          <w:szCs w:val="22"/>
        </w:rPr>
        <w:t xml:space="preserve">Candidate Store: persists/updates Candidate and Application; Unified Inbox Index makes the record searchable.</w:t>
      </w:r>
    </w:p>
    <w:p>
      <w:pPr>
        <w:spacing w:after="200"/>
      </w:pPr>
    </w:p>
    <w:p>
      <w:pPr>
        <w:pStyle w:val="Heading1"/>
        <w:spacing w:after="140" w:before="320"/>
      </w:pPr>
      <w:bookmarkStart w:name="bm_16_13_object_flow_diagram_jobrequ" w:id="1016"/>
      <w:r>
        <w:rPr>
          <w:rFonts w:ascii="Calibri" w:cs="Calibri" w:eastAsia="Calibri" w:hAnsi="Calibri"/>
          <w:b/>
          <w:bCs/>
          <w:color w:val="D34817"/>
          <w:sz w:val="30"/>
          <w:szCs w:val="30"/>
        </w:rPr>
        <w:t xml:space="preserve">13. Object Flow Diagram — JobRequisition Lifecycle</w:t>
      </w:r>
      <w:bookmarkEnd w:id="1016"/>
    </w:p>
    <w:p>
      <w:pPr>
        <w:spacing w:after="160" w:line="300"/>
        <w:jc w:val="both"/>
      </w:pPr>
      <w:r>
        <w:rPr>
          <w:rFonts w:ascii="Calibri" w:cs="Calibri" w:eastAsia="Calibri" w:hAnsi="Calibri"/>
          <w:color w:val="1A1A1A"/>
          <w:sz w:val="22"/>
          <w:szCs w:val="22"/>
        </w:rPr>
        <w:t xml:space="preserve">The JobRequisition entity is the central object driving Module 1; its state machine gates every other action (JD editing, freeze, scoring-matrix generation, publish). The diagram below is the authoritative object-flow reference for implementation — every state transition must go through the guarded transitions shown, never a direct field update.</w:t>
      </w:r>
    </w:p>
    <w:p>
      <w:pPr>
        <w:keepNext/>
        <w:spacing w:after="60" w:before="100"/>
        <w:jc w:val="center"/>
      </w:pPr>
      <w:r>
        <w:drawing>
          <wp:inline distT="0" distB="0" distL="0" distR="0">
            <wp:extent cx="5905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200275"/>
                    </a:xfrm>
                    <a:prstGeom prst="rect">
                      <a:avLst/>
                    </a:prstGeom>
                  </pic:spPr>
                </pic:pic>
              </a:graphicData>
            </a:graphic>
          </wp:inline>
        </w:drawing>
      </w:r>
    </w:p>
    <w:p>
      <w:pPr>
        <w:keepLines/>
        <w:spacing w:after="200"/>
        <w:jc w:val="center"/>
      </w:pPr>
      <w:r>
        <w:rPr>
          <w:i/>
          <w:iCs/>
          <w:color w:val="6E6E6E"/>
          <w:sz w:val="18"/>
          <w:szCs w:val="18"/>
        </w:rPr>
        <w:t xml:space="preserve">Figure 13.1 — JobRequisition object/state flow, Draft through Closed</w:t>
      </w:r>
    </w:p>
    <w:p>
      <w:pPr>
        <w:spacing w:after="200"/>
      </w:pPr>
    </w:p>
    <w:p>
      <w:pPr>
        <w:pStyle w:val="Heading1"/>
        <w:spacing w:after="140" w:before="320"/>
      </w:pPr>
      <w:bookmarkStart w:name="bm_17_14_non_functional_technical_co" w:id="1017"/>
      <w:r>
        <w:rPr>
          <w:rFonts w:ascii="Calibri" w:cs="Calibri" w:eastAsia="Calibri" w:hAnsi="Calibri"/>
          <w:b/>
          <w:bCs/>
          <w:color w:val="D34817"/>
          <w:sz w:val="30"/>
          <w:szCs w:val="30"/>
        </w:rPr>
        <w:t xml:space="preserve">14. Non-Functional / Technical Considerations</w:t>
      </w:r>
      <w:bookmarkEnd w:id="1017"/>
    </w:p>
    <w:p>
      <w:pPr>
        <w:pStyle w:val="ListParagraph"/>
        <w:numPr>
          <w:ilvl w:val="0"/>
          <w:numId w:val="2"/>
        </w:numPr>
        <w:spacing w:after="80" w:line="280"/>
      </w:pPr>
      <w:r>
        <w:rPr>
          <w:rFonts w:ascii="Calibri" w:cs="Calibri" w:eastAsia="Calibri" w:hAnsi="Calibri"/>
          <w:color w:val="1A1A1A"/>
          <w:sz w:val="22"/>
          <w:szCs w:val="22"/>
        </w:rPr>
        <w:t xml:space="preserve">Idempotency: every inbound webhook endpoint (Naukri RMS, LinkedIn, email intake) is keyed on (integration_account_id, external_application_id), which is itself scoped to a (tenant_id, client_id) integration account — so a vendor retry cannot create a duplicate Candidate/Application, and two different tenants' or clients' external IDs can never collide.</w:t>
      </w:r>
    </w:p>
    <w:p>
      <w:pPr>
        <w:pStyle w:val="ListParagraph"/>
        <w:numPr>
          <w:ilvl w:val="0"/>
          <w:numId w:val="2"/>
        </w:numPr>
        <w:spacing w:after="80" w:line="280"/>
      </w:pPr>
      <w:r>
        <w:rPr>
          <w:rFonts w:ascii="Calibri" w:cs="Calibri" w:eastAsia="Calibri" w:hAnsi="Calibri"/>
          <w:color w:val="1A1A1A"/>
          <w:sz w:val="22"/>
          <w:szCs w:val="22"/>
        </w:rPr>
        <w:t xml:space="preserve">JD immutability: an Approved or Superseded JDVersion is enforced read-only at both the application layer and a database-level constraint — not application-logic discipline alone; only a Draft/PendingApproval/Revising version may be mutated.</w:t>
      </w:r>
    </w:p>
    <w:p>
      <w:pPr>
        <w:pStyle w:val="ListParagraph"/>
        <w:numPr>
          <w:ilvl w:val="0"/>
          <w:numId w:val="2"/>
        </w:numPr>
        <w:spacing w:after="80" w:line="280"/>
      </w:pPr>
      <w:r>
        <w:rPr>
          <w:rFonts w:ascii="Calibri" w:cs="Calibri" w:eastAsia="Calibri" w:hAnsi="Calibri"/>
          <w:color w:val="1A1A1A"/>
          <w:sz w:val="22"/>
          <w:szCs w:val="22"/>
        </w:rPr>
        <w:t xml:space="preserve">NLP confidence threshold: tenant-configurable, default 0.75; any JDField below threshold forces manager_confirmed = false and blocks freeze until resolved.</w:t>
      </w:r>
    </w:p>
    <w:p>
      <w:pPr>
        <w:pStyle w:val="ListParagraph"/>
        <w:numPr>
          <w:ilvl w:val="0"/>
          <w:numId w:val="2"/>
        </w:numPr>
        <w:spacing w:after="80" w:line="280"/>
      </w:pPr>
      <w:r>
        <w:rPr>
          <w:rFonts w:ascii="Calibri" w:cs="Calibri" w:eastAsia="Calibri" w:hAnsi="Calibri"/>
          <w:color w:val="1A1A1A"/>
          <w:sz w:val="22"/>
          <w:szCs w:val="22"/>
        </w:rPr>
        <w:t xml:space="preserve">SLA escalation: implemented as a scheduled job (not a request-time check) polling PendingApproval requisitions against their configured SLA window.</w:t>
      </w:r>
    </w:p>
    <w:p>
      <w:pPr>
        <w:pStyle w:val="ListParagraph"/>
        <w:numPr>
          <w:ilvl w:val="0"/>
          <w:numId w:val="2"/>
        </w:numPr>
        <w:spacing w:after="80" w:line="280"/>
      </w:pPr>
      <w:r>
        <w:rPr>
          <w:rFonts w:ascii="Calibri" w:cs="Calibri" w:eastAsia="Calibri" w:hAnsi="Calibri"/>
          <w:color w:val="1A1A1A"/>
          <w:sz w:val="22"/>
          <w:szCs w:val="22"/>
        </w:rPr>
        <w:t xml:space="preserve">Dedupe matching order: exact match on email, then exact match on phone (both high-confidence, auto-link), then content-similarity scoring on parsed resume text (e.g. embedding cosine similarity) for a manual-review confidence band rather than an auto-link — routed to DuplicateMatch.resolution = pending with conflict_flag set on conflicting evidence, per the conflict-handling and reversal model in Section 7.1, rather than a silent auto-merge.</w:t>
      </w:r>
    </w:p>
    <w:p>
      <w:pPr>
        <w:pStyle w:val="ListParagraph"/>
        <w:numPr>
          <w:ilvl w:val="0"/>
          <w:numId w:val="2"/>
        </w:numPr>
        <w:spacing w:after="80" w:line="280"/>
      </w:pPr>
      <w:r>
        <w:rPr>
          <w:rFonts w:ascii="Calibri" w:cs="Calibri" w:eastAsia="Calibri" w:hAnsi="Calibri"/>
          <w:color w:val="1A1A1A"/>
          <w:sz w:val="22"/>
          <w:szCs w:val="22"/>
        </w:rPr>
        <w:t xml:space="preserve">Vendor rate limits: all channel adapters implement exponential backoff and surface a distinct Integration Error channel status so one vendor outage never blocks other channels or the unified inbox.</w:t>
      </w:r>
    </w:p>
    <w:p>
      <w:pPr>
        <w:spacing w:after="200"/>
      </w:pPr>
    </w:p>
    <w:p>
      <w:pPr>
        <w:pStyle w:val="Heading1"/>
        <w:spacing w:after="140" w:before="320"/>
      </w:pPr>
      <w:bookmarkStart w:name="bm_18_15_error_handling_edge_cases" w:id="1018"/>
      <w:r>
        <w:rPr>
          <w:rFonts w:ascii="Calibri" w:cs="Calibri" w:eastAsia="Calibri" w:hAnsi="Calibri"/>
          <w:b/>
          <w:bCs/>
          <w:color w:val="D34817"/>
          <w:sz w:val="30"/>
          <w:szCs w:val="30"/>
        </w:rPr>
        <w:t xml:space="preserve">15. Error Handling &amp; Edge Cases</w:t>
      </w:r>
      <w:bookmarkEnd w:id="1018"/>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Scenario</w:t>
            </w:r>
          </w:p>
        </w:tc>
        <w:tc>
          <w:tcPr>
            <w:tcW w:type="dxa" w:w="6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Handling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fails entirely on a brief</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remains in Draft; manager is offered a manual structured-entry form as a fallback rather than a blocked pipeline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Job-board API authentication failure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marked Integration Error; other channels continue publishing; tenant admin is alerted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 attempts to edit a frozen (Approved) JD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the API layer (409); the correct path is a new version via the standard feedback/edit flow, which produces a new Draft/Revising version and reopens approval rather than mutating the Approved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revised after initial freeze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 new JDVersion (status Draft → Revising → PendingApproval) is created against the same JobRequisition; on its own freeze, the previously Approved version is set Superseded (superseded_by = new version) and JobRequisition.active_version_id is repointed — history is retained, never overwritten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Conflicting identity evidence in dedupe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matching email but differing name/phone in a way that fails the similarity threshold — DuplicateMatch is created with resolution = pending and conflict_flag = true, routed to a recruiter queue rather than auto-linked or auto-rejected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needs to reverse an incorrect auto-link</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action inserts a new DuplicateMatch row (resolution = reversed, previous_decision_id -&gt; the original row, resolution_notes required); the original row is left unmodified for audit and the two Candidate records are split back apart — see the append-only decision model in Section 7.1, which is authoritative over this row's phrasing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Agency requisition raised without a client_id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intake (422) for any Tenant with org_type = staffing_agency; client_id is mandatory whenever the owning tenant is an agency, per Section 5.2</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Duplicate-detection false positive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sets DuplicateMatch.resolution = rejected_not_duplicate with resolution_notes, which is retained for audit rather than deleting the match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Matrix weights submitted not summing to 100</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Freeze request rejected (409) with the offending total returned, rather than silently normalizing</w:t>
            </w:r>
          </w:p>
        </w:tc>
      </w:tr>
    </w:tbl>
    <w:p>
      <w:pPr>
        <w:spacing w:after="200"/>
      </w:pPr>
    </w:p>
    <w:p>
      <w:pPr>
        <w:pStyle w:val="Heading1"/>
        <w:spacing w:after="140" w:before="320"/>
      </w:pPr>
      <w:bookmarkStart w:name="bm_19_16_open_technical_decisions_de" w:id="1019"/>
      <w:r>
        <w:rPr>
          <w:rFonts w:ascii="Calibri" w:cs="Calibri" w:eastAsia="Calibri" w:hAnsi="Calibri"/>
          <w:b/>
          <w:bCs/>
          <w:color w:val="D34817"/>
          <w:sz w:val="30"/>
          <w:szCs w:val="30"/>
        </w:rPr>
        <w:t xml:space="preserve">16. Open Technical Decisions / Dependencies</w:t>
      </w:r>
      <w:bookmarkEnd w:id="1019"/>
    </w:p>
    <w:p>
      <w:pPr>
        <w:pStyle w:val="ListParagraph"/>
        <w:numPr>
          <w:ilvl w:val="0"/>
          <w:numId w:val="5"/>
        </w:numPr>
        <w:spacing w:after="80" w:line="280"/>
      </w:pPr>
      <w:r>
        <w:rPr>
          <w:rFonts w:ascii="Calibri" w:cs="Calibri" w:eastAsia="Calibri" w:hAnsi="Calibri"/>
          <w:color w:val="1A1A1A"/>
          <w:sz w:val="22"/>
          <w:szCs w:val="22"/>
        </w:rPr>
        <w:t xml:space="preserve">Naukri RMS integration direction — confirm push (webhook) vs. poll availability under the contracted plan.</w:t>
      </w:r>
    </w:p>
    <w:p>
      <w:pPr>
        <w:pStyle w:val="ListParagraph"/>
        <w:numPr>
          <w:ilvl w:val="0"/>
          <w:numId w:val="5"/>
        </w:numPr>
        <w:spacing w:after="80" w:line="280"/>
      </w:pPr>
      <w:r>
        <w:rPr>
          <w:rFonts w:ascii="Calibri" w:cs="Calibri" w:eastAsia="Calibri" w:hAnsi="Calibri"/>
          <w:color w:val="1A1A1A"/>
          <w:sz w:val="22"/>
          <w:szCs w:val="22"/>
        </w:rPr>
        <w:t xml:space="preserve">Resume-parsing provider — build an in-house parser vs. license a third-party resume-parsing API.</w:t>
      </w:r>
    </w:p>
    <w:p>
      <w:pPr>
        <w:pStyle w:val="ListParagraph"/>
        <w:numPr>
          <w:ilvl w:val="0"/>
          <w:numId w:val="5"/>
        </w:numPr>
        <w:spacing w:after="80" w:line="280"/>
      </w:pPr>
      <w:r>
        <w:rPr>
          <w:rFonts w:ascii="Calibri" w:cs="Calibri" w:eastAsia="Calibri" w:hAnsi="Calibri"/>
          <w:color w:val="1A1A1A"/>
          <w:sz w:val="22"/>
          <w:szCs w:val="22"/>
        </w:rPr>
        <w:t xml:space="preserve">NLP model for brief-to-schema extraction — an in-house fine-tuned model vs. a third-party LLM API, and the associated per-tenant data-residency implications under the DPDP Act.</w:t>
      </w:r>
    </w:p>
    <w:p>
      <w:pPr>
        <w:pStyle w:val="ListParagraph"/>
        <w:numPr>
          <w:ilvl w:val="0"/>
          <w:numId w:val="5"/>
        </w:numPr>
        <w:spacing w:after="80" w:line="280"/>
      </w:pPr>
      <w:r>
        <w:rPr>
          <w:rFonts w:ascii="Calibri" w:cs="Calibri" w:eastAsia="Calibri" w:hAnsi="Calibri"/>
          <w:color w:val="1A1A1A"/>
          <w:sz w:val="22"/>
          <w:szCs w:val="22"/>
        </w:rPr>
        <w:t xml:space="preserve">Similarity-search infrastructure for duplicate detection — pgvector on the existing PostgreSQL instance vs. a dedicated vector-search service, driven by expected candidate-pool scale per tenant.</w:t>
      </w:r>
    </w:p>
    <w:p>
      <w:pPr>
        <w:pStyle w:val="ListParagraph"/>
        <w:numPr>
          <w:ilvl w:val="0"/>
          <w:numId w:val="5"/>
        </w:numPr>
        <w:spacing w:after="80" w:line="280"/>
      </w:pPr>
      <w:r>
        <w:rPr>
          <w:rFonts w:ascii="Calibri" w:cs="Calibri" w:eastAsia="Calibri" w:hAnsi="Calibri"/>
          <w:color w:val="1A1A1A"/>
          <w:sz w:val="22"/>
          <w:szCs w:val="22"/>
        </w:rPr>
        <w:t xml:space="preserve">Default and tenant-configurable bounds for the NLP confidence threshold and the SLA escalation window.</w:t>
      </w:r>
    </w:p>
    <w:p>
      <w:pPr>
        <w:pStyle w:val="ListParagraph"/>
        <w:numPr>
          <w:ilvl w:val="0"/>
          <w:numId w:val="5"/>
        </w:numPr>
        <w:spacing w:after="80" w:line="280"/>
      </w:pPr>
      <w:r>
        <w:rPr>
          <w:rFonts w:ascii="Calibri" w:cs="Calibri" w:eastAsia="Calibri" w:hAnsi="Calibri"/>
          <w:color w:val="1A1A1A"/>
          <w:sz w:val="22"/>
          <w:szCs w:val="22"/>
        </w:rPr>
        <w:t xml:space="preserve">Client Stakeholder read-only portal role — explicitly deferred out of Release 1 (Section 1.2): no end-client contact has direct system access in Release 1. Scope of what such a role would see (requisition status, candidate pipeline) remains undefined and is a fast-follow decision, not a Release 1 blocker.</w:t>
      </w:r>
    </w:p>
    <w:p>
      <w:pPr>
        <w:pStyle w:val="ListParagraph"/>
        <w:numPr>
          <w:ilvl w:val="0"/>
          <w:numId w:val="5"/>
        </w:numPr>
        <w:spacing w:after="80" w:line="280"/>
      </w:pPr>
      <w:r>
        <w:rPr>
          <w:rFonts w:ascii="Calibri" w:cs="Calibri" w:eastAsia="Calibri" w:hAnsi="Calibri"/>
          <w:color w:val="1A1A1A"/>
          <w:sz w:val="22"/>
          <w:szCs w:val="22"/>
        </w:rPr>
        <w:t xml:space="preserve">Vendor/product-tier confirmation pending for both Naukri RMS (contracted plan capabilities, push vs. poll) and LinkedIn Talent Solutions (exact product — Recruiter System Connect vs. Apply Connect vs. other) — both integrations in Section 10 are proposed adapter contracts, not confirmed vendor capabilities, until this gate clears.</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HR Suite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TECHNICAL DESIGN (HLD/LLD)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image" Target="media/b0eb0780eea9b6f89d005bd39bde0ca3634d0eb6.png"/><Relationship Id="rId11" Type="http://schemas.openxmlformats.org/officeDocument/2006/relationships/image" Target="media/2cb70704eb1a0ebab7495e54c0a2ec973c5cc7f3.png"/><Relationship Id="rId12" Type="http://schemas.openxmlformats.org/officeDocument/2006/relationships/image" Target="media/5f10291804687184b30e889f534e3848aa04de8a.png"/><Relationship Id="rId13" Type="http://schemas.openxmlformats.org/officeDocument/2006/relationships/image" Target="media/613d533f39706738c8f8b5e9e6b38fb392c710ea.png"/><Relationship Id="rId14" Type="http://schemas.openxmlformats.org/officeDocument/2006/relationships/image" Target="media/218eb1475afb7d88e06c1a0146c6cfe58c1bdcbd.png"/><Relationship Id="rId15" Type="http://schemas.openxmlformats.org/officeDocument/2006/relationships/image" Target="media/492e0db42fc30ed36b6ac8476a160c0d7dca52b6.png"/><Relationship Id="rId16" Type="http://schemas.openxmlformats.org/officeDocument/2006/relationships/image" Target="media/b44dd20e8ffef825063f07639f35538f8964e7b4.png"/><Relationship Id="rId17" Type="http://schemas.openxmlformats.org/officeDocument/2006/relationships/image" Target="media/143be531b7cbdb87116e6be0f0bbce31204749c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2026-09-15T10:47:59.535Z</dcterms:created>
  <dcterms:modified xsi:type="dcterms:W3CDTF">2026-09-15T10:47:59.546Z</dcterms:modified>
</cp:coreProperties>
</file>

<file path=docProps/custom.xml><?xml version="1.0" encoding="utf-8"?>
<Properties xmlns="http://schemas.openxmlformats.org/officeDocument/2006/custom-properties" xmlns:vt="http://schemas.openxmlformats.org/officeDocument/2006/docPropsVTypes"/>
</file>