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Candidate Search to Onboarding Module</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BRD / PRD</w:t>
      </w:r>
    </w:p>
    <w:p>
      <w:pPr>
        <w:spacing w:after="2200"/>
      </w:pPr>
    </w:p>
    <w:p>
      <w:pPr>
        <w:spacing w:after="60"/>
        <w:jc w:val="center"/>
      </w:pPr>
      <w:r>
        <w:rPr>
          <w:rFonts w:ascii="Calibri" w:cs="Calibri" w:eastAsia="Calibri" w:hAnsi="Calibri"/>
          <w:b/>
          <w:bCs/>
          <w:color w:val="D34817"/>
          <w:sz w:val="20"/>
          <w:szCs w:val="20"/>
        </w:rPr>
        <w:t xml:space="preserve">PROJECT CODE: PHN-HR-2026-01</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0_document_control" w:id="1020"/>
      <w:r>
        <w:rPr>
          <w:rFonts w:ascii="Calibri" w:cs="Calibri" w:eastAsia="Calibri" w:hAnsi="Calibri"/>
          <w:b/>
          <w:bCs/>
          <w:color w:val="D34817"/>
          <w:sz w:val="30"/>
          <w:szCs w:val="30"/>
        </w:rPr>
        <w:t xml:space="preserve">Document Control</w:t>
      </w:r>
      <w:bookmarkEnd w:id="102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 (BRD/PRD) — Phoneme HR Suite: Candidate Search to Onboarding Module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PHN-HR-2026-01-BRDPRD, Version 2.0</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Management project workspace</w:t>
            </w:r>
          </w:p>
        </w:tc>
      </w:tr>
    </w:tbl>
    <w:p>
      <w:pPr>
        <w:spacing w:after="160"/>
      </w:pPr>
    </w:p>
    <w:p>
      <w:pPr>
        <w:pStyle w:val="Heading1"/>
        <w:spacing w:after="140" w:before="320"/>
      </w:pPr>
      <w:bookmarkStart w:name="bm_21_authorization" w:id="1021"/>
      <w:r>
        <w:rPr>
          <w:rFonts w:ascii="Calibri" w:cs="Calibri" w:eastAsia="Calibri" w:hAnsi="Calibri"/>
          <w:b/>
          <w:bCs/>
          <w:color w:val="D34817"/>
          <w:sz w:val="30"/>
          <w:szCs w:val="30"/>
        </w:rPr>
        <w:t xml:space="preserve">Authorization</w:t>
      </w:r>
      <w:bookmarkEnd w:id="1021"/>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2_change_log" w:id="1022"/>
      <w:r>
        <w:rPr>
          <w:rFonts w:ascii="Calibri" w:cs="Calibri" w:eastAsia="Calibri" w:hAnsi="Calibri"/>
          <w:b/>
          <w:bCs/>
          <w:color w:val="D34817"/>
          <w:sz w:val="30"/>
          <w:szCs w:val="30"/>
        </w:rPr>
        <w:t xml:space="preserve">Change Log</w:t>
      </w:r>
      <w:bookmarkEnd w:id="102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03-Sep-2026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Initial BRD/PRD draft; Module 1 &amp; 2 requirements locked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Rebuilt on the standard Phoneme corporate template; renamed to BRD/PRD; trimmed to requirements-only scope — pricing, commercial terms, project management, and infrastructure sizing moved out to the Technical Design and consolidated Proposal documents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1, 3, 4, 5, 6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critical/high review findings: replaced "locked" language with a formal Draft/Reviewed/Approved Baseline/Superseded status lifecycle (Section 1.2); stated the Release 1 boundary as Modules 1-2 only, with Modules 3-10 marked as roadmap (Section 1.3, 3, 4.3); added the staffing-agency/multi-client tenant model as an in-scope Release 1 requirement and resolved the corresponding open dependency; excluded soft-skill/behavioral signals entirely from the screening-stage scoring matrix per business decision, removing the prior contradiction with the locked no-numeric-soft-skill-scoring rule (Section 4.1); reworked the JD-freeze process flow to reflect a draft-then-freeze scoring matrix rather than a matrix generated only at the freeze moment; added requirement IDs (HR-M1-FR-xxx / HR-M2-FR-xxx) and an Acceptance Scenarios table to both Module 1 and Module 2 (Section 4.1, 4.2); corrected the resume-format claim to PDF/DOCX only, matching the Technical Design (Section 4.2); added measurable, testable acceptance thresholds and a traceability-register requirement (Section 5); updated Naukri RMS/LinkedIn Talent Solutions references to reflect their proposed-adapter-contract status pending vendor confirmation</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bl>
    <w:p>
      <w:pPr>
        <w:spacing w:after="160"/>
      </w:pPr>
    </w:p>
    <w:p>
      <w:pPr>
        <w:pStyle w:val="Heading1"/>
        <w:spacing w:after="140" w:before="320"/>
      </w:pPr>
      <w:bookmarkStart w:name="bm_23_client_sign_off" w:id="1023"/>
      <w:r>
        <w:rPr>
          <w:rFonts w:ascii="Calibri" w:cs="Calibri" w:eastAsia="Calibri" w:hAnsi="Calibri"/>
          <w:b/>
          <w:bCs/>
          <w:color w:val="D34817"/>
          <w:sz w:val="30"/>
          <w:szCs w:val="30"/>
        </w:rPr>
        <w:t xml:space="preserve">Client Sign Off</w:t>
      </w:r>
      <w:bookmarkEnd w:id="1023"/>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19_table_of_contents" w:id="1019"/>
      <w:r>
        <w:rPr>
          <w:rFonts w:ascii="Calibri" w:cs="Calibri" w:eastAsia="Calibri" w:hAnsi="Calibri"/>
          <w:b/>
          <w:bCs/>
          <w:color w:val="D34817"/>
          <w:sz w:val="30"/>
          <w:szCs w:val="30"/>
        </w:rPr>
        <w:t xml:space="preserve">Table of Contents</w:t>
      </w:r>
      <w:bookmarkEnd w:id="1019"/>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Overview</w:t>
      </w:r>
      <w:r>
        <w:rPr>
          <w:rFonts w:ascii="Calibri" w:cs="Calibri" w:eastAsia="Calibri" w:hAnsi="Calibri"/>
          <w:sz w:val="19"/>
          <w:szCs w:val="19"/>
        </w:rPr>
        <w:t xml:space="preserve">	</w:t>
      </w:r>
      <w:r>
        <w:fldChar w:fldCharType="begin" w:dirty="true"/>
        <w:instrText xml:space="preserve">PAGEREF bm_1_1_1_overview</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Purpose</w:t>
      </w:r>
      <w:r>
        <w:rPr>
          <w:rFonts w:ascii="Calibri" w:cs="Calibri" w:eastAsia="Calibri" w:hAnsi="Calibri"/>
          <w:sz w:val="19"/>
          <w:szCs w:val="19"/>
        </w:rPr>
        <w:t xml:space="preserve">	</w:t>
      </w:r>
      <w:r>
        <w:fldChar w:fldCharType="begin" w:dirty="true"/>
        <w:instrText xml:space="preserve">PAGEREF bm_2_1_2_purpose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Scope</w:t>
      </w:r>
      <w:r>
        <w:rPr>
          <w:rFonts w:ascii="Calibri" w:cs="Calibri" w:eastAsia="Calibri" w:hAnsi="Calibri"/>
          <w:sz w:val="19"/>
          <w:szCs w:val="19"/>
        </w:rPr>
        <w:t xml:space="preserve">	</w:t>
      </w:r>
      <w:r>
        <w:fldChar w:fldCharType="begin" w:dirty="true"/>
        <w:instrText xml:space="preserve">PAGEREF bm_3_1_3_scope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References</w:t>
      </w:r>
      <w:r>
        <w:rPr>
          <w:rFonts w:ascii="Calibri" w:cs="Calibri" w:eastAsia="Calibri" w:hAnsi="Calibri"/>
          <w:sz w:val="19"/>
          <w:szCs w:val="19"/>
        </w:rPr>
        <w:t xml:space="preserve">	</w:t>
      </w:r>
      <w:r>
        <w:fldChar w:fldCharType="begin" w:dirty="true"/>
        <w:instrText xml:space="preserve">PAGEREF bm_4_1_4_references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1.5 Abbreviations</w:t>
      </w:r>
      <w:r>
        <w:rPr>
          <w:rFonts w:ascii="Calibri" w:cs="Calibri" w:eastAsia="Calibri" w:hAnsi="Calibri"/>
          <w:sz w:val="19"/>
          <w:szCs w:val="19"/>
        </w:rPr>
        <w:t xml:space="preserve">	</w:t>
      </w:r>
      <w:r>
        <w:fldChar w:fldCharType="begin" w:dirty="true"/>
        <w:instrText xml:space="preserve">PAGEREF bm_5_1_5_abbreviations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Overall Description / Background</w:t>
      </w:r>
      <w:r>
        <w:rPr>
          <w:rFonts w:ascii="Calibri" w:cs="Calibri" w:eastAsia="Calibri" w:hAnsi="Calibri"/>
          <w:sz w:val="19"/>
          <w:szCs w:val="19"/>
        </w:rPr>
        <w:t xml:space="preserve">	</w:t>
      </w:r>
      <w:r>
        <w:fldChar w:fldCharType="begin" w:dirty="true"/>
        <w:instrText xml:space="preserve">PAGEREF bm_6_2_overall_description_backgrou</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2.1 Background &amp; Problem Statement</w:t>
      </w:r>
      <w:r>
        <w:rPr>
          <w:rFonts w:ascii="Calibri" w:cs="Calibri" w:eastAsia="Calibri" w:hAnsi="Calibri"/>
          <w:sz w:val="19"/>
          <w:szCs w:val="19"/>
        </w:rPr>
        <w:t xml:space="preserve">	</w:t>
      </w:r>
      <w:r>
        <w:fldChar w:fldCharType="begin" w:dirty="true"/>
        <w:instrText xml:space="preserve">PAGEREF bm_7_2_1_background_problem_stateme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2.2 Business Objectives</w:t>
      </w:r>
      <w:r>
        <w:rPr>
          <w:rFonts w:ascii="Calibri" w:cs="Calibri" w:eastAsia="Calibri" w:hAnsi="Calibri"/>
          <w:sz w:val="19"/>
          <w:szCs w:val="19"/>
        </w:rPr>
        <w:t xml:space="preserve">	</w:t>
      </w:r>
      <w:r>
        <w:fldChar w:fldCharType="begin" w:dirty="true"/>
        <w:instrText xml:space="preserve">PAGEREF bm_8_2_2_business_objectives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2.3 Target Market &amp; Personas</w:t>
      </w:r>
      <w:r>
        <w:rPr>
          <w:rFonts w:ascii="Calibri" w:cs="Calibri" w:eastAsia="Calibri" w:hAnsi="Calibri"/>
          <w:sz w:val="19"/>
          <w:szCs w:val="19"/>
        </w:rPr>
        <w:t xml:space="preserve">	</w:t>
      </w:r>
      <w:r>
        <w:fldChar w:fldCharType="begin" w:dirty="true"/>
        <w:instrText xml:space="preserve">PAGEREF bm_9_2_3_target_market_personas</w:instrText>
        <w:fldChar w:fldCharType="end"/>
      </w:r>
    </w:p>
    <w:p>
      <w:pPr>
        <w:tabs>
          <w:tab w:val="right" w:pos="9350" w:leader="dot"/>
        </w:tabs>
        <w:spacing w:after="60" w:line="240"/>
      </w:pPr>
      <w:r>
        <w:rPr>
          <w:rFonts w:ascii="Calibri" w:cs="Calibri" w:eastAsia="Calibri" w:hAnsi="Calibri"/>
          <w:b/>
          <w:bCs/>
          <w:color w:val="000000"/>
          <w:sz w:val="21"/>
          <w:szCs w:val="21"/>
        </w:rPr>
        <w:t xml:space="preserve">3. Proposed Solution — Overview</w:t>
      </w:r>
      <w:r>
        <w:rPr>
          <w:rFonts w:ascii="Calibri" w:cs="Calibri" w:eastAsia="Calibri" w:hAnsi="Calibri"/>
          <w:sz w:val="19"/>
          <w:szCs w:val="19"/>
        </w:rPr>
        <w:t xml:space="preserve">	</w:t>
      </w:r>
      <w:r>
        <w:fldChar w:fldCharType="begin" w:dirty="true"/>
        <w:instrText xml:space="preserve">PAGEREF bm_10_3_proposed_solution_overview</w:instrText>
        <w:fldChar w:fldCharType="end"/>
      </w:r>
    </w:p>
    <w:p>
      <w:pPr>
        <w:tabs>
          <w:tab w:val="right" w:pos="9350" w:leader="dot"/>
        </w:tabs>
        <w:spacing w:after="60" w:line="240"/>
      </w:pPr>
      <w:r>
        <w:rPr>
          <w:rFonts w:ascii="Calibri" w:cs="Calibri" w:eastAsia="Calibri" w:hAnsi="Calibri"/>
          <w:b/>
          <w:bCs/>
          <w:color w:val="000000"/>
          <w:sz w:val="21"/>
          <w:szCs w:val="21"/>
        </w:rPr>
        <w:t xml:space="preserve">4. Specific Requirements</w:t>
      </w:r>
      <w:r>
        <w:rPr>
          <w:rFonts w:ascii="Calibri" w:cs="Calibri" w:eastAsia="Calibri" w:hAnsi="Calibri"/>
          <w:sz w:val="19"/>
          <w:szCs w:val="19"/>
        </w:rPr>
        <w:t xml:space="preserve">	</w:t>
      </w:r>
      <w:r>
        <w:fldChar w:fldCharType="begin" w:dirty="true"/>
        <w:instrText xml:space="preserve">PAGEREF bm_11_4_specific_requirements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4.1 Module 1 — Job Description (JD) Intake &amp; Freezing  —  Status: Approved Baseline v2.0 (supersedes v1.0)</w:t>
      </w:r>
      <w:r>
        <w:rPr>
          <w:rFonts w:ascii="Calibri" w:cs="Calibri" w:eastAsia="Calibri" w:hAnsi="Calibri"/>
          <w:sz w:val="19"/>
          <w:szCs w:val="19"/>
        </w:rPr>
        <w:t xml:space="preserve">	</w:t>
      </w:r>
      <w:r>
        <w:fldChar w:fldCharType="begin" w:dirty="true"/>
        <w:instrText xml:space="preserve">PAGEREF bm_12_4_1_module_1_job_description_j</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4.2 Module 2 — Candidate Sourcing &amp; Resume Aggregation  —  Status: Approved Baseline v2.0 (supersedes v1.0)</w:t>
      </w:r>
      <w:r>
        <w:rPr>
          <w:rFonts w:ascii="Calibri" w:cs="Calibri" w:eastAsia="Calibri" w:hAnsi="Calibri"/>
          <w:sz w:val="19"/>
          <w:szCs w:val="19"/>
        </w:rPr>
        <w:t xml:space="preserve">	</w:t>
      </w:r>
      <w:r>
        <w:fldChar w:fldCharType="begin" w:dirty="true"/>
        <w:instrText xml:space="preserve">PAGEREF bm_13_4_2_module_2_candidate_sourcin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4.3 Modules 3–10 — Requirement-Level Scope (Draft, roadmap — not part of Release 1)</w:t>
      </w:r>
      <w:r>
        <w:rPr>
          <w:rFonts w:ascii="Calibri" w:cs="Calibri" w:eastAsia="Calibri" w:hAnsi="Calibri"/>
          <w:sz w:val="19"/>
          <w:szCs w:val="19"/>
        </w:rPr>
        <w:t xml:space="preserve">	</w:t>
      </w:r>
      <w:r>
        <w:fldChar w:fldCharType="begin" w:dirty="true"/>
        <w:instrText xml:space="preserve">PAGEREF bm_14_4_3_modules_3_10_requirement_l</w:instrText>
        <w:fldChar w:fldCharType="end"/>
      </w:r>
    </w:p>
    <w:p>
      <w:pPr>
        <w:tabs>
          <w:tab w:val="right" w:pos="9350" w:leader="dot"/>
        </w:tabs>
        <w:spacing w:after="60" w:line="240"/>
      </w:pPr>
      <w:r>
        <w:rPr>
          <w:rFonts w:ascii="Calibri" w:cs="Calibri" w:eastAsia="Calibri" w:hAnsi="Calibri"/>
          <w:b/>
          <w:bCs/>
          <w:color w:val="000000"/>
          <w:sz w:val="21"/>
          <w:szCs w:val="21"/>
        </w:rPr>
        <w:t xml:space="preserve">5. Acceptance Criteria</w:t>
      </w:r>
      <w:r>
        <w:rPr>
          <w:rFonts w:ascii="Calibri" w:cs="Calibri" w:eastAsia="Calibri" w:hAnsi="Calibri"/>
          <w:sz w:val="19"/>
          <w:szCs w:val="19"/>
        </w:rPr>
        <w:t xml:space="preserve">	</w:t>
      </w:r>
      <w:r>
        <w:fldChar w:fldCharType="begin" w:dirty="true"/>
        <w:instrText xml:space="preserve">PAGEREF bm_15_5_acceptance_criteria</w:instrText>
        <w:fldChar w:fldCharType="end"/>
      </w:r>
    </w:p>
    <w:p>
      <w:pPr>
        <w:tabs>
          <w:tab w:val="right" w:pos="9350" w:leader="dot"/>
        </w:tabs>
        <w:spacing w:after="60" w:line="240"/>
      </w:pPr>
      <w:r>
        <w:rPr>
          <w:rFonts w:ascii="Calibri" w:cs="Calibri" w:eastAsia="Calibri" w:hAnsi="Calibri"/>
          <w:b/>
          <w:bCs/>
          <w:color w:val="000000"/>
          <w:sz w:val="21"/>
          <w:szCs w:val="21"/>
        </w:rPr>
        <w:t xml:space="preserve">6. Dependencies from Stakeholder Side</w:t>
      </w:r>
      <w:r>
        <w:rPr>
          <w:rFonts w:ascii="Calibri" w:cs="Calibri" w:eastAsia="Calibri" w:hAnsi="Calibri"/>
          <w:sz w:val="19"/>
          <w:szCs w:val="19"/>
        </w:rPr>
        <w:t xml:space="preserve">	</w:t>
      </w:r>
      <w:r>
        <w:fldChar w:fldCharType="begin" w:dirty="true"/>
        <w:instrText xml:space="preserve">PAGEREF bm_16_6_dependencies_from_stakeholde</w:instrText>
        <w:fldChar w:fldCharType="end"/>
      </w:r>
    </w:p>
    <w:p>
      <w:pPr>
        <w:tabs>
          <w:tab w:val="right" w:pos="9350" w:leader="dot"/>
        </w:tabs>
        <w:spacing w:after="60" w:line="240"/>
      </w:pPr>
      <w:r>
        <w:rPr>
          <w:rFonts w:ascii="Calibri" w:cs="Calibri" w:eastAsia="Calibri" w:hAnsi="Calibri"/>
          <w:b/>
          <w:bCs/>
          <w:color w:val="000000"/>
          <w:sz w:val="21"/>
          <w:szCs w:val="21"/>
        </w:rPr>
        <w:t xml:space="preserve">7. Key Risks</w:t>
      </w:r>
      <w:r>
        <w:rPr>
          <w:rFonts w:ascii="Calibri" w:cs="Calibri" w:eastAsia="Calibri" w:hAnsi="Calibri"/>
          <w:sz w:val="19"/>
          <w:szCs w:val="19"/>
        </w:rPr>
        <w:t xml:space="preserve">	</w:t>
      </w:r>
      <w:r>
        <w:fldChar w:fldCharType="begin" w:dirty="true"/>
        <w:instrText xml:space="preserve">PAGEREF bm_17_7_key_risks</w:instrText>
        <w:fldChar w:fldCharType="end"/>
      </w:r>
    </w:p>
    <w:p>
      <w:pPr>
        <w:tabs>
          <w:tab w:val="right" w:pos="9350" w:leader="dot"/>
        </w:tabs>
        <w:spacing w:after="60" w:line="240"/>
      </w:pPr>
      <w:r>
        <w:rPr>
          <w:rFonts w:ascii="Calibri" w:cs="Calibri" w:eastAsia="Calibri" w:hAnsi="Calibri"/>
          <w:b/>
          <w:bCs/>
          <w:color w:val="000000"/>
          <w:sz w:val="21"/>
          <w:szCs w:val="21"/>
        </w:rPr>
        <w:t xml:space="preserve">8. Road Ahead — SDLC Sequence</w:t>
      </w:r>
      <w:r>
        <w:rPr>
          <w:rFonts w:ascii="Calibri" w:cs="Calibri" w:eastAsia="Calibri" w:hAnsi="Calibri"/>
          <w:sz w:val="19"/>
          <w:szCs w:val="19"/>
        </w:rPr>
        <w:t xml:space="preserve">	</w:t>
      </w:r>
      <w:r>
        <w:fldChar w:fldCharType="begin" w:dirty="true"/>
        <w:instrText xml:space="preserve">PAGEREF bm_18_8_road_ahead_sdlc_sequence</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overview" w:id="1001"/>
      <w:r>
        <w:rPr>
          <w:rFonts w:ascii="Calibri" w:cs="Calibri" w:eastAsia="Calibri" w:hAnsi="Calibri"/>
          <w:b/>
          <w:bCs/>
          <w:color w:val="404040"/>
          <w:sz w:val="24"/>
          <w:szCs w:val="24"/>
        </w:rPr>
        <w:t xml:space="preserve">1.1 Overview</w:t>
      </w:r>
      <w:bookmarkEnd w:id="1001"/>
    </w:p>
    <w:p>
      <w:pPr>
        <w:spacing w:after="160" w:line="300"/>
        <w:jc w:val="both"/>
      </w:pPr>
      <w:r>
        <w:rPr>
          <w:rFonts w:ascii="Calibri" w:cs="Calibri" w:eastAsia="Calibri" w:hAnsi="Calibri"/>
          <w:color w:val="1A1A1A"/>
          <w:sz w:val="22"/>
          <w:szCs w:val="22"/>
        </w:rPr>
        <w:t xml:space="preserve">Phoneme HR Suite is a B2B, multi-tenant SaaS HR module being scoped to automate the full talent lifecycle — from candidate search through onboarding completion — for companies with 50–2,000 employees and recruitment/staffing agencies, in India first. Today, HR and talent teams run this process across a disconnected set of spreadsheets, inboxes, and 2–3 unconnected point tools; Phoneme HR Suite replaces that patchwork with a single system of record covering ten connected process modules under one candidate record, one audit trail, and one set of role-based permissions per tenant company.</w:t>
      </w:r>
    </w:p>
    <w:p>
      <w:pPr>
        <w:pStyle w:val="Heading2"/>
        <w:spacing w:after="100" w:before="220"/>
      </w:pPr>
      <w:bookmarkStart w:name="bm_2_1_2_purpose" w:id="1002"/>
      <w:r>
        <w:rPr>
          <w:rFonts w:ascii="Calibri" w:cs="Calibri" w:eastAsia="Calibri" w:hAnsi="Calibri"/>
          <w:b/>
          <w:bCs/>
          <w:color w:val="404040"/>
          <w:sz w:val="24"/>
          <w:szCs w:val="24"/>
        </w:rPr>
        <w:t xml:space="preserve">1.2 Purpose</w:t>
      </w:r>
      <w:bookmarkEnd w:id="1002"/>
    </w:p>
    <w:p>
      <w:pPr>
        <w:spacing w:after="160" w:line="300"/>
        <w:jc w:val="both"/>
      </w:pPr>
      <w:r>
        <w:rPr>
          <w:rFonts w:ascii="Calibri" w:cs="Calibri" w:eastAsia="Calibri" w:hAnsi="Calibri"/>
          <w:color w:val="1A1A1A"/>
          <w:sz w:val="22"/>
          <w:szCs w:val="22"/>
        </w:rPr>
        <w:t xml:space="preserve">This is a living Business Requirements Document (BRD) and Product Requirements Document (PRD) — requirements only. It carries no pricing, commercial terms, or delivery-plan detail; those belong to the Technical Design documents and the consolidated Proposal that follow once every module's requirements are frozen (see Section 8). Each module's requirement set moves through a formal status lifecycle — Draft → Reviewed → Approved Baseline → (on later revision) Superseded — rather than a single informal "locked" label; an Approved Baseline is a versioned, dated approval, not a permanent or unreviewable state, and any revision after approval is tracked as a new baseline version superseding the prior one, never a silent overwrite. Two of the ten process modules — JD Intake &amp; Freezing, and Candidate Sourcing &amp; Resume Aggregation — carry an Approved Baseline (v2.0, superseding v1.0) to build-ready requirement detail in Section 4; the remaining eight are scoped at requirement level (Draft) and will reach Approved Baseline in the same sequence as work proceeds.</w:t>
      </w:r>
    </w:p>
    <w:p>
      <w:pPr>
        <w:pStyle w:val="Heading2"/>
        <w:spacing w:after="100" w:before="220"/>
      </w:pPr>
      <w:bookmarkStart w:name="bm_3_1_3_scope" w:id="1003"/>
      <w:r>
        <w:rPr>
          <w:rFonts w:ascii="Calibri" w:cs="Calibri" w:eastAsia="Calibri" w:hAnsi="Calibri"/>
          <w:b/>
          <w:bCs/>
          <w:color w:val="404040"/>
          <w:sz w:val="24"/>
          <w:szCs w:val="24"/>
        </w:rPr>
        <w:t xml:space="preserve">1.3 Scope</w:t>
      </w:r>
      <w:bookmarkEnd w:id="1003"/>
    </w:p>
    <w:p>
      <w:pPr>
        <w:spacing w:after="160" w:line="300"/>
        <w:jc w:val="both"/>
      </w:pPr>
      <w:r>
        <w:rPr>
          <w:rFonts w:ascii="Calibri" w:cs="Calibri" w:eastAsia="Calibri" w:hAnsi="Calibri"/>
          <w:color w:val="1A1A1A"/>
          <w:sz w:val="22"/>
          <w:szCs w:val="22"/>
        </w:rPr>
        <w:t xml:space="preserve">Release 1 boundary: the build-ready scope of this document, and of the companion Technical Design Document, is Module 1 (JD Intake &amp; Freezing) and Module 2 (Sourcing &amp; Resume Aggregation) only. Modules 3–10 remain requirement-level roadmap content (Section 4.3) and are explicitly out of scope for Release 1 build work — they are not implied to ship alongside Modules 1–2. Release 1 also includes, as an in-scope (not deferred) requirement, the staffing-agency / multi-client tenant model: a tenant may operate as a direct employer or as a staffing agency managing requisitions and candidates on behalf of multiple end-client companies, and this distinction is reflected throughout the Module 1 and Module 2 requirements below.</w:t>
      </w:r>
    </w:p>
    <w:p>
      <w:pPr>
        <w:spacing w:after="160" w:line="300"/>
        <w:jc w:val="both"/>
      </w:pPr>
      <w:r>
        <w:rPr>
          <w:rFonts w:ascii="Calibri" w:cs="Calibri" w:eastAsia="Calibri" w:hAnsi="Calibri"/>
          <w:color w:val="1A1A1A"/>
          <w:sz w:val="22"/>
          <w:szCs w:val="22"/>
        </w:rPr>
        <w:t xml:space="preserve">In scope for requirements across the full ten-module roadmap: JD intake and freezing (AI-generated variants, auto-generated weighted scoring matrix), multi-channel candidate sourcing, automated screening and scoring, candidate pre-interview data capture, multi-round interview management, selection and background verification, offer management with KRA/KPI generation and e-signature, onboarding, and the downstream payroll and appraisal modules the hiring record feeds into. Explicitly out of scope for this document: architecture/API design (Technical Design stage), pricing and commercial terms (Proposal stage), and project timeline/resourcing (Project Management stage).</w:t>
      </w:r>
    </w:p>
    <w:p>
      <w:pPr>
        <w:pStyle w:val="Heading2"/>
        <w:spacing w:after="100" w:before="220"/>
      </w:pPr>
      <w:bookmarkStart w:name="bm_4_1_4_references" w:id="1004"/>
      <w:r>
        <w:rPr>
          <w:rFonts w:ascii="Calibri" w:cs="Calibri" w:eastAsia="Calibri" w:hAnsi="Calibri"/>
          <w:b/>
          <w:bCs/>
          <w:color w:val="404040"/>
          <w:sz w:val="24"/>
          <w:szCs w:val="24"/>
        </w:rPr>
        <w:t xml:space="preserve">1.4 References</w:t>
      </w:r>
      <w:bookmarkEnd w:id="1004"/>
    </w:p>
    <w:p>
      <w:pPr>
        <w:pStyle w:val="ListParagraph"/>
        <w:numPr>
          <w:ilvl w:val="0"/>
          <w:numId w:val="2"/>
        </w:numPr>
        <w:spacing w:after="80" w:line="280"/>
      </w:pPr>
      <w:r>
        <w:rPr>
          <w:rFonts w:ascii="Calibri" w:cs="Calibri" w:eastAsia="Calibri" w:hAnsi="Calibri"/>
          <w:color w:val="1A1A1A"/>
          <w:sz w:val="22"/>
          <w:szCs w:val="22"/>
        </w:rPr>
        <w:t xml:space="preserve">Digital Personal Data Protection Act, 2023 (India) — governs candidate and employee personal data handling throughout this product.</w:t>
      </w:r>
    </w:p>
    <w:p>
      <w:pPr>
        <w:pStyle w:val="ListParagraph"/>
        <w:numPr>
          <w:ilvl w:val="0"/>
          <w:numId w:val="2"/>
        </w:numPr>
        <w:spacing w:after="80" w:line="280"/>
      </w:pPr>
      <w:r>
        <w:rPr>
          <w:rFonts w:ascii="Calibri" w:cs="Calibri" w:eastAsia="Calibri" w:hAnsi="Calibri"/>
          <w:color w:val="1A1A1A"/>
          <w:sz w:val="22"/>
          <w:szCs w:val="22"/>
        </w:rPr>
        <w:t xml:space="preserve">Naukri RMS, LinkedIn Talent Solutions, and equivalent official job-board employer integrations — the sourcing-channel standard adopted in Section 4.2, pending vendor/product-tier confirmation (Section 6).</w:t>
      </w:r>
    </w:p>
    <w:p>
      <w:pPr>
        <w:pStyle w:val="ListParagraph"/>
        <w:numPr>
          <w:ilvl w:val="0"/>
          <w:numId w:val="2"/>
        </w:numPr>
        <w:spacing w:after="80" w:line="280"/>
      </w:pPr>
      <w:r>
        <w:rPr>
          <w:rFonts w:ascii="Calibri" w:cs="Calibri" w:eastAsia="Calibri" w:hAnsi="Calibri"/>
          <w:color w:val="1A1A1A"/>
          <w:sz w:val="22"/>
          <w:szCs w:val="22"/>
        </w:rPr>
        <w:t xml:space="preserve">India's RBI Account Aggregator framework and licensed income-verification providers (e.g. Perfios, HyperVerge) — the compliant alternative adopted for candidate income verification in the future Background Verification module.</w:t>
      </w:r>
    </w:p>
    <w:p>
      <w:pPr>
        <w:pStyle w:val="ListParagraph"/>
        <w:numPr>
          <w:ilvl w:val="0"/>
          <w:numId w:val="2"/>
        </w:numPr>
        <w:spacing w:after="80" w:line="280"/>
      </w:pPr>
      <w:r>
        <w:rPr>
          <w:rFonts w:ascii="Calibri" w:cs="Calibri" w:eastAsia="Calibri" w:hAnsi="Calibri"/>
          <w:color w:val="1A1A1A"/>
          <w:sz w:val="22"/>
          <w:szCs w:val="22"/>
        </w:rPr>
        <w:t xml:space="preserve">Industry benchmarking of current ATS/HRMS platforms (Darwinbox, Keka, Zoho Recruit, Zimyo, NeoRecruit, greytHR) — informing the differentiators noted throughout Section 4.</w:t>
      </w:r>
    </w:p>
    <w:p>
      <w:pPr>
        <w:pStyle w:val="Heading2"/>
        <w:spacing w:after="100" w:before="220"/>
      </w:pPr>
      <w:bookmarkStart w:name="bm_5_1_5_abbreviations" w:id="1005"/>
      <w:r>
        <w:rPr>
          <w:rFonts w:ascii="Calibri" w:cs="Calibri" w:eastAsia="Calibri" w:hAnsi="Calibri"/>
          <w:b/>
          <w:bCs/>
          <w:color w:val="404040"/>
          <w:sz w:val="24"/>
          <w:szCs w:val="24"/>
        </w:rPr>
        <w:t xml:space="preserve">1.5 Abbreviations</w:t>
      </w:r>
      <w:bookmarkEnd w:id="100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ATS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Applicant Tracking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BGV</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KRA / KPI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Key Result Area / Key Performance Indicator</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Digital Personal Data Protection Act, 2023 (India)</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MVP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Minimum Viable Product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Management System (job-board employer integration)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BRD / PRD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w:t>
            </w:r>
          </w:p>
        </w:tc>
      </w:tr>
    </w:tbl>
    <w:p>
      <w:pPr>
        <w:spacing w:after="200"/>
      </w:pPr>
    </w:p>
    <w:p>
      <w:pPr>
        <w:pStyle w:val="Heading1"/>
        <w:spacing w:after="140" w:before="320"/>
      </w:pPr>
      <w:bookmarkStart w:name="bm_6_2_overall_description_backgrou" w:id="1006"/>
      <w:r>
        <w:rPr>
          <w:rFonts w:ascii="Calibri" w:cs="Calibri" w:eastAsia="Calibri" w:hAnsi="Calibri"/>
          <w:b/>
          <w:bCs/>
          <w:color w:val="D34817"/>
          <w:sz w:val="30"/>
          <w:szCs w:val="30"/>
        </w:rPr>
        <w:t xml:space="preserve">2. Overall Description / Background</w:t>
      </w:r>
      <w:bookmarkEnd w:id="1006"/>
    </w:p>
    <w:p>
      <w:pPr>
        <w:pStyle w:val="Heading2"/>
        <w:spacing w:after="100" w:before="220"/>
      </w:pPr>
      <w:bookmarkStart w:name="bm_7_2_1_background_problem_stateme" w:id="1007"/>
      <w:r>
        <w:rPr>
          <w:rFonts w:ascii="Calibri" w:cs="Calibri" w:eastAsia="Calibri" w:hAnsi="Calibri"/>
          <w:b/>
          <w:bCs/>
          <w:color w:val="404040"/>
          <w:sz w:val="24"/>
          <w:szCs w:val="24"/>
        </w:rPr>
        <w:t xml:space="preserve">2.1 Background &amp; Problem Statement</w:t>
      </w:r>
      <w:bookmarkEnd w:id="1007"/>
    </w:p>
    <w:p>
      <w:pPr>
        <w:spacing w:after="160" w:line="300"/>
        <w:jc w:val="both"/>
      </w:pPr>
      <w:r>
        <w:rPr>
          <w:rFonts w:ascii="Calibri" w:cs="Calibri" w:eastAsia="Calibri" w:hAnsi="Calibri"/>
          <w:color w:val="1A1A1A"/>
          <w:sz w:val="22"/>
          <w:szCs w:val="22"/>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no single source of truth on candidate status; slow, manually-chased handoffs between offer acceptance and day-one readiness; compliance exposure from candidate PII scattered across personal inboxes with no consistent retention trail; and no structured hiring analytics for leadership to act on.</w:t>
      </w:r>
    </w:p>
    <w:p>
      <w:pPr>
        <w:pStyle w:val="Heading2"/>
        <w:spacing w:after="100" w:before="220"/>
      </w:pPr>
      <w:bookmarkStart w:name="bm_8_2_2_business_objectives" w:id="1008"/>
      <w:r>
        <w:rPr>
          <w:rFonts w:ascii="Calibri" w:cs="Calibri" w:eastAsia="Calibri" w:hAnsi="Calibri"/>
          <w:b/>
          <w:bCs/>
          <w:color w:val="404040"/>
          <w:sz w:val="24"/>
          <w:szCs w:val="24"/>
        </w:rPr>
        <w:t xml:space="preserve">2.2 Business Objectives</w:t>
      </w:r>
      <w:bookmarkEnd w:id="100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Objective</w:t>
            </w:r>
          </w:p>
        </w:tc>
        <w:tc>
          <w:tcPr>
            <w:tcW w:type="dxa" w:w="6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How Phoneme HR Suite addresses it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time-to-hire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Single pipeline with automated stage transitions, scheduling, and reminders removes manual chase-up delay</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time-to-productive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onboarding checklists and cross-team task assignment starting the moment an offer is accepted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compliance risk</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Centralised, access-controlled candidate records with consent capture, retention policy, and audit trail, aligned to the DPDP Act 2023</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Create a defensible data moat</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pipeline event captured as structured data from day one, supporting future AI-matching features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Land-and-expand within accounts</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Positioned as the first module of a broader Phoneme HR suite (payroll, performance) sharing one tenant and employee record</w:t>
            </w:r>
          </w:p>
        </w:tc>
      </w:tr>
    </w:tbl>
    <w:p>
      <w:pPr>
        <w:pStyle w:val="Heading2"/>
        <w:spacing w:after="100" w:before="220"/>
      </w:pPr>
      <w:bookmarkStart w:name="bm_9_2_3_target_market_personas" w:id="1009"/>
      <w:r>
        <w:rPr>
          <w:rFonts w:ascii="Calibri" w:cs="Calibri" w:eastAsia="Calibri" w:hAnsi="Calibri"/>
          <w:b/>
          <w:bCs/>
          <w:color w:val="404040"/>
          <w:sz w:val="24"/>
          <w:szCs w:val="24"/>
        </w:rPr>
        <w:t xml:space="preserve">2.3 Target Market &amp; Personas</w:t>
      </w:r>
      <w:bookmarkEnd w:id="1009"/>
    </w:p>
    <w:p>
      <w:pPr>
        <w:spacing w:after="160" w:line="300"/>
        <w:jc w:val="both"/>
      </w:pPr>
      <w:r>
        <w:rPr>
          <w:rFonts w:ascii="Calibri" w:cs="Calibri" w:eastAsia="Calibri" w:hAnsi="Calibri"/>
          <w:color w:val="1A1A1A"/>
          <w:sz w:val="22"/>
          <w:szCs w:val="22"/>
        </w:rPr>
        <w:t xml:space="preserve">Primary segment: companies with 50–2,000 employees in India, plus recruitment/staffing agencies managing multiple client pipelines. Primary buyer and daily user: the HR Manager / Talent Acquisition Lead. Day-to-day users span Recruiters, Hiring Managers, Interview Panelists, HR Ops/Onboarding Coordinators, and — on the candidate-facing side — the applicant and new hire themselves, interacting through a token-based portal with no account creation required.</w:t>
      </w:r>
    </w:p>
    <w:p>
      <w:pPr>
        <w:spacing w:after="200"/>
      </w:pPr>
    </w:p>
    <w:p>
      <w:pPr>
        <w:pStyle w:val="Heading1"/>
        <w:spacing w:after="140" w:before="320"/>
      </w:pPr>
      <w:bookmarkStart w:name="bm_10_3_proposed_solution_overview" w:id="1010"/>
      <w:r>
        <w:rPr>
          <w:rFonts w:ascii="Calibri" w:cs="Calibri" w:eastAsia="Calibri" w:hAnsi="Calibri"/>
          <w:b/>
          <w:bCs/>
          <w:color w:val="D34817"/>
          <w:sz w:val="30"/>
          <w:szCs w:val="30"/>
        </w:rPr>
        <w:t xml:space="preserve">3. Proposed Solution — Overview</w:t>
      </w:r>
      <w:bookmarkEnd w:id="1010"/>
    </w:p>
    <w:p>
      <w:pPr>
        <w:spacing w:after="160" w:line="300"/>
        <w:jc w:val="both"/>
      </w:pPr>
      <w:r>
        <w:rPr>
          <w:rFonts w:ascii="Calibri" w:cs="Calibri" w:eastAsia="Calibri" w:hAnsi="Calibri"/>
          <w:color w:val="1A1A1A"/>
          <w:sz w:val="22"/>
          <w:szCs w:val="22"/>
        </w:rPr>
        <w:t xml:space="preserve">The solution is structured as ten sequential, connected process modules, each owning a distinct stage of the talent lifecycle and handing structured data — not free text — to the next. Full architecture and technology decisions for each module are captured in that module's Technical Design document, not here. Modules 1 and 2 are the Release 1 build scope (Section 1.3); Modules 3–10 are roadmap content, not part of Release 1.</w:t>
      </w:r>
    </w:p>
    <w:p>
      <w:pPr>
        <w:pStyle w:val="ListParagraph"/>
        <w:numPr>
          <w:ilvl w:val="0"/>
          <w:numId w:val="3"/>
        </w:numPr>
        <w:spacing w:after="80" w:line="280"/>
      </w:pPr>
      <w:r>
        <w:rPr>
          <w:rFonts w:ascii="Calibri" w:cs="Calibri" w:eastAsia="Calibri" w:hAnsi="Calibri"/>
          <w:color w:val="1A1A1A"/>
          <w:sz w:val="22"/>
          <w:szCs w:val="22"/>
        </w:rPr>
        <w:t xml:space="preserve">Job Description (JD) Intake &amp; Freezing — Approved Baseline v2.0, Release 1 (Section 4.1)</w:t>
      </w:r>
    </w:p>
    <w:p>
      <w:pPr>
        <w:pStyle w:val="ListParagraph"/>
        <w:numPr>
          <w:ilvl w:val="0"/>
          <w:numId w:val="3"/>
        </w:numPr>
        <w:spacing w:after="80" w:line="280"/>
      </w:pPr>
      <w:r>
        <w:rPr>
          <w:rFonts w:ascii="Calibri" w:cs="Calibri" w:eastAsia="Calibri" w:hAnsi="Calibri"/>
          <w:color w:val="1A1A1A"/>
          <w:sz w:val="22"/>
          <w:szCs w:val="22"/>
        </w:rPr>
        <w:t xml:space="preserve">Candidate Sourcing &amp; Resume Aggregation — Approved Baseline v2.0, Release 1 (Section 4.2)</w:t>
      </w:r>
    </w:p>
    <w:p>
      <w:pPr>
        <w:pStyle w:val="ListParagraph"/>
        <w:numPr>
          <w:ilvl w:val="0"/>
          <w:numId w:val="3"/>
        </w:numPr>
        <w:spacing w:after="80" w:line="280"/>
      </w:pPr>
      <w:r>
        <w:rPr>
          <w:rFonts w:ascii="Calibri" w:cs="Calibri" w:eastAsia="Calibri" w:hAnsi="Calibri"/>
          <w:color w:val="1A1A1A"/>
          <w:sz w:val="22"/>
          <w:szCs w:val="22"/>
        </w:rPr>
        <w:t xml:space="preserve">Screening &amp; Shortlisting — roadmap; scored against the Module 1 matrix, threshold-gated auto-advancement</w:t>
      </w:r>
    </w:p>
    <w:p>
      <w:pPr>
        <w:pStyle w:val="ListParagraph"/>
        <w:numPr>
          <w:ilvl w:val="0"/>
          <w:numId w:val="3"/>
        </w:numPr>
        <w:spacing w:after="80" w:line="280"/>
      </w:pPr>
      <w:r>
        <w:rPr>
          <w:rFonts w:ascii="Calibri" w:cs="Calibri" w:eastAsia="Calibri" w:hAnsi="Calibri"/>
          <w:color w:val="1A1A1A"/>
          <w:sz w:val="22"/>
          <w:szCs w:val="22"/>
        </w:rPr>
        <w:t xml:space="preserve">Candidate Pre-Interview Data Capture — roadmap; token-based portal, expected CTC, project write-ups</w:t>
      </w:r>
    </w:p>
    <w:p>
      <w:pPr>
        <w:pStyle w:val="ListParagraph"/>
        <w:numPr>
          <w:ilvl w:val="0"/>
          <w:numId w:val="3"/>
        </w:numPr>
        <w:spacing w:after="80" w:line="280"/>
      </w:pPr>
      <w:r>
        <w:rPr>
          <w:rFonts w:ascii="Calibri" w:cs="Calibri" w:eastAsia="Calibri" w:hAnsi="Calibri"/>
          <w:color w:val="1A1A1A"/>
          <w:sz w:val="22"/>
          <w:szCs w:val="22"/>
        </w:rPr>
        <w:t xml:space="preserve">Interview Management — roadmap; multi-round, structured interviewer scorecards, panel decision rollup</w:t>
      </w:r>
    </w:p>
    <w:p>
      <w:pPr>
        <w:pStyle w:val="ListParagraph"/>
        <w:numPr>
          <w:ilvl w:val="0"/>
          <w:numId w:val="3"/>
        </w:numPr>
        <w:spacing w:after="80" w:line="280"/>
      </w:pPr>
      <w:r>
        <w:rPr>
          <w:rFonts w:ascii="Calibri" w:cs="Calibri" w:eastAsia="Calibri" w:hAnsi="Calibri"/>
          <w:color w:val="1A1A1A"/>
          <w:sz w:val="22"/>
          <w:szCs w:val="22"/>
        </w:rPr>
        <w:t xml:space="preserve">Selection &amp; Background Verification — roadmap; consent-gated identity/employment/income verification via licensed vendors</w:t>
      </w:r>
    </w:p>
    <w:p>
      <w:pPr>
        <w:pStyle w:val="ListParagraph"/>
        <w:numPr>
          <w:ilvl w:val="0"/>
          <w:numId w:val="3"/>
        </w:numPr>
        <w:spacing w:after="80" w:line="280"/>
      </w:pPr>
      <w:r>
        <w:rPr>
          <w:rFonts w:ascii="Calibri" w:cs="Calibri" w:eastAsia="Calibri" w:hAnsi="Calibri"/>
          <w:color w:val="1A1A1A"/>
          <w:sz w:val="22"/>
          <w:szCs w:val="22"/>
        </w:rPr>
        <w:t xml:space="preserve">Offer Management, KRA/KPI &amp; E-Sign — roadmap; auto-generated offer letter and compensation breakup, e-signature, hire-to-payroll handoff</w:t>
      </w:r>
    </w:p>
    <w:p>
      <w:pPr>
        <w:pStyle w:val="ListParagraph"/>
        <w:numPr>
          <w:ilvl w:val="0"/>
          <w:numId w:val="3"/>
        </w:numPr>
        <w:spacing w:after="80" w:line="280"/>
      </w:pPr>
      <w:r>
        <w:rPr>
          <w:rFonts w:ascii="Calibri" w:cs="Calibri" w:eastAsia="Calibri" w:hAnsi="Calibri"/>
          <w:color w:val="1A1A1A"/>
          <w:sz w:val="22"/>
          <w:szCs w:val="22"/>
        </w:rPr>
        <w:t xml:space="preserve">Onboarding — roadmap; cross-team asset/IT/documentation checklist, day-one readiness dashboard</w:t>
      </w:r>
    </w:p>
    <w:p>
      <w:pPr>
        <w:pStyle w:val="ListParagraph"/>
        <w:numPr>
          <w:ilvl w:val="0"/>
          <w:numId w:val="3"/>
        </w:numPr>
        <w:spacing w:after="80" w:line="280"/>
      </w:pPr>
      <w:r>
        <w:rPr>
          <w:rFonts w:ascii="Calibri" w:cs="Calibri" w:eastAsia="Calibri" w:hAnsi="Calibri"/>
          <w:color w:val="1A1A1A"/>
          <w:sz w:val="22"/>
          <w:szCs w:val="22"/>
        </w:rPr>
        <w:t xml:space="preserve">Payroll &amp; Compensation — roadmap; salary slips, full-and-final settlement, loans, employee expenses</w:t>
      </w:r>
    </w:p>
    <w:p>
      <w:pPr>
        <w:pStyle w:val="ListParagraph"/>
        <w:numPr>
          <w:ilvl w:val="0"/>
          <w:numId w:val="3"/>
        </w:numPr>
        <w:spacing w:after="80" w:line="280"/>
      </w:pPr>
      <w:r>
        <w:rPr>
          <w:rFonts w:ascii="Calibri" w:cs="Calibri" w:eastAsia="Calibri" w:hAnsi="Calibri"/>
          <w:color w:val="1A1A1A"/>
          <w:sz w:val="22"/>
          <w:szCs w:val="22"/>
        </w:rPr>
        <w:t xml:space="preserve">Appraisal — roadmap; continuous KRA/KPI tracking feeding the annual review cycle</w:t>
      </w:r>
    </w:p>
    <w:p>
      <w:pPr>
        <w:spacing w:after="200"/>
      </w:pPr>
    </w:p>
    <w:p>
      <w:pPr>
        <w:pStyle w:val="Heading1"/>
        <w:spacing w:after="140" w:before="320"/>
      </w:pPr>
      <w:bookmarkStart w:name="bm_11_4_specific_requirements" w:id="1011"/>
      <w:r>
        <w:rPr>
          <w:rFonts w:ascii="Calibri" w:cs="Calibri" w:eastAsia="Calibri" w:hAnsi="Calibri"/>
          <w:b/>
          <w:bCs/>
          <w:color w:val="D34817"/>
          <w:sz w:val="30"/>
          <w:szCs w:val="30"/>
        </w:rPr>
        <w:t xml:space="preserve">4. Specific Requirements</w:t>
      </w:r>
      <w:bookmarkEnd w:id="1011"/>
    </w:p>
    <w:p>
      <w:pPr>
        <w:spacing w:after="160" w:line="300"/>
        <w:jc w:val="both"/>
      </w:pPr>
      <w:r>
        <w:rPr>
          <w:rFonts w:ascii="Calibri" w:cs="Calibri" w:eastAsia="Calibri" w:hAnsi="Calibri"/>
          <w:color w:val="1A1A1A"/>
          <w:sz w:val="22"/>
          <w:szCs w:val="22"/>
        </w:rPr>
        <w:t xml:space="preserve">This section carries full requirement detail for the two modules that have reached Approved Baseline to date, followed by the current requirement-level (Draft) scope for the remaining eight modules.</w:t>
      </w:r>
    </w:p>
    <w:p>
      <w:pPr>
        <w:pStyle w:val="Heading2"/>
        <w:spacing w:after="100" w:before="220"/>
      </w:pPr>
      <w:bookmarkStart w:name="bm_12_4_1_module_1_job_description_j" w:id="1012"/>
      <w:r>
        <w:rPr>
          <w:rFonts w:ascii="Calibri" w:cs="Calibri" w:eastAsia="Calibri" w:hAnsi="Calibri"/>
          <w:b/>
          <w:bCs/>
          <w:color w:val="404040"/>
          <w:sz w:val="24"/>
          <w:szCs w:val="24"/>
        </w:rPr>
        <w:t xml:space="preserve">4.1 Module 1 — Job Description (JD) Intake &amp; Freezing  —  Status: Approved Baseline v2.0 (supersedes v1.0)</w:t>
      </w:r>
      <w:bookmarkEnd w:id="1012"/>
    </w:p>
    <w:p>
      <w:pPr>
        <w:spacing w:after="160" w:line="300"/>
        <w:jc w:val="both"/>
      </w:pPr>
      <w:r>
        <w:rPr>
          <w:rFonts w:ascii="Calibri" w:cs="Calibri" w:eastAsia="Calibri" w:hAnsi="Calibri"/>
          <w:color w:val="1A1A1A"/>
          <w:sz w:val="22"/>
          <w:szCs w:val="22"/>
        </w:rPr>
        <w:t xml:space="preserve">A hiring manager sends a rough, free-text brief (by email or portal); the system converts it into structured JD data, generates multiple polished JD variants alongside an editable draft weighted scoring matrix, routes them for manager review and sign-off, and — at freeze — approves the JD version and its then-current matrix together, becoming the baseline every downstream module scores against. Release 1 includes the staffing-agency / multi-client tenant model: for an agency tenant, every requisition is raised against one of its end-client companies (Section 1.3); for a direct-employer tenant, no client selection applies.</w:t>
      </w:r>
    </w:p>
    <w:p>
      <w:pPr>
        <w:pStyle w:val="Heading3"/>
        <w:spacing w:after="80" w:before="160"/>
      </w:pPr>
      <w:r>
        <w:rPr>
          <w:rFonts w:ascii="Calibri" w:cs="Calibri" w:eastAsia="Calibri" w:hAnsi="Calibri"/>
          <w:b/>
          <w:bCs/>
          <w:color w:val="000000"/>
          <w:sz w:val="22"/>
          <w:szCs w:val="22"/>
        </w:rPr>
        <w:t xml:space="preserve">Process Flow</w:t>
      </w:r>
    </w:p>
    <w:p>
      <w:pPr>
        <w:pStyle w:val="ListParagraph"/>
        <w:numPr>
          <w:ilvl w:val="0"/>
          <w:numId w:val="4"/>
        </w:numPr>
        <w:spacing w:after="80" w:line="280"/>
      </w:pPr>
      <w:r>
        <w:rPr>
          <w:rFonts w:ascii="Calibri" w:cs="Calibri" w:eastAsia="Calibri" w:hAnsi="Calibri"/>
          <w:color w:val="1A1A1A"/>
          <w:sz w:val="22"/>
          <w:szCs w:val="22"/>
        </w:rPr>
        <w:t xml:space="preserve">Manager submits a rough brief — by email to a dedicated intake address, or directly in the portal.</w:t>
      </w:r>
    </w:p>
    <w:p>
      <w:pPr>
        <w:pStyle w:val="ListParagraph"/>
        <w:numPr>
          <w:ilvl w:val="0"/>
          <w:numId w:val="4"/>
        </w:numPr>
        <w:spacing w:after="80" w:line="280"/>
      </w:pPr>
      <w:r>
        <w:rPr>
          <w:rFonts w:ascii="Calibri" w:cs="Calibri" w:eastAsia="Calibri" w:hAnsi="Calibri"/>
          <w:color w:val="1A1A1A"/>
          <w:sz w:val="22"/>
          <w:szCs w:val="22"/>
        </w:rPr>
        <w:t xml:space="preserve">System runs NLP extraction on the brief into the structured JD Intake Schema; low-confidence fields are flagged for manager confirmation rather than silently guessed.</w:t>
      </w:r>
    </w:p>
    <w:p>
      <w:pPr>
        <w:pStyle w:val="ListParagraph"/>
        <w:numPr>
          <w:ilvl w:val="0"/>
          <w:numId w:val="4"/>
        </w:numPr>
        <w:spacing w:after="80" w:line="280"/>
      </w:pPr>
      <w:r>
        <w:rPr>
          <w:rFonts w:ascii="Calibri" w:cs="Calibri" w:eastAsia="Calibri" w:hAnsi="Calibri"/>
          <w:color w:val="1A1A1A"/>
          <w:sz w:val="22"/>
          <w:szCs w:val="22"/>
        </w:rPr>
        <w:t xml:space="preserve">System generates 2–3 JD variants — a formal/corporate version, a candidate-friendly version, and a condensed job-board version.</w:t>
      </w:r>
    </w:p>
    <w:p>
      <w:pPr>
        <w:pStyle w:val="ListParagraph"/>
        <w:numPr>
          <w:ilvl w:val="0"/>
          <w:numId w:val="4"/>
        </w:numPr>
        <w:spacing w:after="80" w:line="280"/>
      </w:pPr>
      <w:r>
        <w:rPr>
          <w:rFonts w:ascii="Calibri" w:cs="Calibri" w:eastAsia="Calibri" w:hAnsi="Calibri"/>
          <w:color w:val="1A1A1A"/>
          <w:sz w:val="22"/>
          <w:szCs w:val="22"/>
        </w:rPr>
        <w:t xml:space="preserve">All variants are emailed to the manager (with a portal link) and appear in the portal's Pending JD Approval queue.</w:t>
      </w:r>
    </w:p>
    <w:p>
      <w:pPr>
        <w:pStyle w:val="ListParagraph"/>
        <w:numPr>
          <w:ilvl w:val="0"/>
          <w:numId w:val="4"/>
        </w:numPr>
        <w:spacing w:after="80" w:line="280"/>
      </w:pPr>
      <w:r>
        <w:rPr>
          <w:rFonts w:ascii="Calibri" w:cs="Calibri" w:eastAsia="Calibri" w:hAnsi="Calibri"/>
          <w:color w:val="1A1A1A"/>
          <w:sz w:val="22"/>
          <w:szCs w:val="22"/>
        </w:rPr>
        <w:t xml:space="preserve">Manager reviews by replying on the email in plain text (NLP-parsed back into structured diffs) or editing directly in the portal — both are first-class review paths.</w:t>
      </w:r>
    </w:p>
    <w:p>
      <w:pPr>
        <w:pStyle w:val="ListParagraph"/>
        <w:numPr>
          <w:ilvl w:val="0"/>
          <w:numId w:val="4"/>
        </w:numPr>
        <w:spacing w:after="80" w:line="280"/>
      </w:pPr>
      <w:r>
        <w:rPr>
          <w:rFonts w:ascii="Calibri" w:cs="Calibri" w:eastAsia="Calibri" w:hAnsi="Calibri"/>
          <w:color w:val="1A1A1A"/>
          <w:sz w:val="22"/>
          <w:szCs w:val="22"/>
        </w:rPr>
        <w:t xml:space="preserve">A configurable SLA (e.g. 3 business days) triggers a reminder, then an HR escalation, if the manager does not respond.</w:t>
      </w:r>
    </w:p>
    <w:p>
      <w:pPr>
        <w:pStyle w:val="ListParagraph"/>
        <w:numPr>
          <w:ilvl w:val="0"/>
          <w:numId w:val="4"/>
        </w:numPr>
        <w:spacing w:after="80" w:line="280"/>
      </w:pPr>
      <w:r>
        <w:rPr>
          <w:rFonts w:ascii="Calibri" w:cs="Calibri" w:eastAsia="Calibri" w:hAnsi="Calibri"/>
          <w:color w:val="1A1A1A"/>
          <w:sz w:val="22"/>
          <w:szCs w:val="22"/>
        </w:rPr>
        <w:t xml:space="preserve">Manager reviews and, once satisfied, adjusts the auto-generated draft scoring matrix (weights per category) directly in the portal — the draft matrix is generated alongside the JD variants in step 3 and remains editable through every review round, not only at the final moment.</w:t>
      </w:r>
    </w:p>
    <w:p>
      <w:pPr>
        <w:pStyle w:val="ListParagraph"/>
        <w:numPr>
          <w:ilvl w:val="0"/>
          <w:numId w:val="4"/>
        </w:numPr>
        <w:spacing w:after="80" w:line="280"/>
      </w:pPr>
      <w:r>
        <w:rPr>
          <w:rFonts w:ascii="Calibri" w:cs="Calibri" w:eastAsia="Calibri" w:hAnsi="Calibri"/>
          <w:color w:val="1A1A1A"/>
          <w:sz w:val="22"/>
          <w:szCs w:val="22"/>
        </w:rPr>
        <w:t xml:space="preserve">Manager freezes: the currently Pending-Approval JD version and its bound draft matrix are approved together in one action. The newly Approved version becomes JobRequisition's current version; if an earlier version was previously Approved, it is marked Superseded (its content retained, never deleted or overwritten) rather than replaced in place.</w:t>
      </w:r>
    </w:p>
    <w:p>
      <w:pPr>
        <w:pStyle w:val="ListParagraph"/>
        <w:numPr>
          <w:ilvl w:val="0"/>
          <w:numId w:val="4"/>
        </w:numPr>
        <w:spacing w:after="80" w:line="280"/>
      </w:pPr>
      <w:r>
        <w:rPr>
          <w:rFonts w:ascii="Calibri" w:cs="Calibri" w:eastAsia="Calibri" w:hAnsi="Calibri"/>
          <w:color w:val="1A1A1A"/>
          <w:sz w:val="22"/>
          <w:szCs w:val="22"/>
        </w:rPr>
        <w:t xml:space="preserve">A JD may be revised after an initial freeze (e.g. a role's requirements change): the same review/adjustment/freeze loop (steps 5–8) runs again and produces a new Approved version, superseding the one before it — this is a normal, supported path, not an exception.</w:t>
      </w:r>
    </w:p>
    <w:p>
      <w:pPr>
        <w:pStyle w:val="Heading3"/>
        <w:spacing w:after="80" w:before="160"/>
      </w:pPr>
      <w:r>
        <w:rPr>
          <w:rFonts w:ascii="Calibri" w:cs="Calibri" w:eastAsia="Calibri" w:hAnsi="Calibri"/>
          <w:b/>
          <w:bCs/>
          <w:color w:val="000000"/>
          <w:sz w:val="22"/>
          <w:szCs w:val="22"/>
        </w:rPr>
        <w:t xml:space="preserve">Scoring Matrix — Default Weight Bands</w:t>
      </w:r>
    </w:p>
    <w:p>
      <w:pPr>
        <w:spacing w:after="160" w:line="300"/>
        <w:jc w:val="both"/>
      </w:pPr>
      <w:r>
        <w:rPr>
          <w:rFonts w:ascii="Calibri" w:cs="Calibri" w:eastAsia="Calibri" w:hAnsi="Calibri"/>
          <w:color w:val="1A1A1A"/>
          <w:sz w:val="22"/>
          <w:szCs w:val="22"/>
        </w:rPr>
        <w:t xml:space="preserve">Business decision (Release 1): soft-skill / behavioral signals are excluded entirely from the scoring matrix at JD-freeze and screening stage — no numeric weight, band, or proxy score is generated for them at this stage. They are captured as free text on the JD brief where relevant, and are assessed only qualitatively, by a human interviewer, at the structured interview stage (Module 5). The weight bands below cover only the categories that are numerically scored at screening; a matrix's weights must sum to exactly 100% before it can be approved.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Category</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Default weight band</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tool/technical skills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35–55%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Experience &amp; seniority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25–40%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Domain/analytical competency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15–30%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Education fit</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Free-text brief ingestion (email + portal)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NLP extraction into the structured JD Intake Schema, with low-confidence fields flagged for manager confirmation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Multi-variant JD generation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 2–3 JD versions (formal, candidate-friendly, condensed) from structured data</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 portal review loop</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approves/edits via direct email reply (NLP-parsed) or in-portal editor — both converge on the same draft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versioning &amp; audit trail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edit stored as a version with author and timestamp; an Approved version is immutable and only ever superseded, never overwritten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SLA &amp; escalation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Configurable reminder/escalation timer if a manager doesn't respond to a pending JD</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Draft-then-freeze weighted scoring matrix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Matrix generated as an editable draft alongside the JD variants (not only at freeze), weights adjustable by the manager through every review round, approved atomically with the JD version at freeze; weights must sum to exactly 100% to approve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Staffing-agency / multi-client requisitions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requisition is raised against a specific end-client company; a direct-employer tenant has no client selection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templates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Save an Approved JD + matrix as a reusable template for recurring roles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An Approved JD version and its matrix are immutable; any further change creates a new version through the same review/approval loop and, on its own approval, supersedes the prior Approved version rather than overwriting it.</w:t>
      </w:r>
    </w:p>
    <w:p>
      <w:pPr>
        <w:pStyle w:val="ListParagraph"/>
        <w:numPr>
          <w:ilvl w:val="0"/>
          <w:numId w:val="2"/>
        </w:numPr>
        <w:spacing w:after="80" w:line="280"/>
      </w:pPr>
      <w:r>
        <w:rPr>
          <w:rFonts w:ascii="Calibri" w:cs="Calibri" w:eastAsia="Calibri" w:hAnsi="Calibri"/>
          <w:color w:val="1A1A1A"/>
          <w:sz w:val="22"/>
          <w:szCs w:val="22"/>
        </w:rPr>
        <w:t xml:space="preserve">Manager can approve/edit by direct email reply (parsed by NLP) or in-portal — both are first-class; a low-confidence email parse always routes to a portal confirmation step rather than auto-applying.</w:t>
      </w:r>
    </w:p>
    <w:p>
      <w:pPr>
        <w:pStyle w:val="ListParagraph"/>
        <w:numPr>
          <w:ilvl w:val="0"/>
          <w:numId w:val="2"/>
        </w:numPr>
        <w:spacing w:after="80" w:line="280"/>
      </w:pPr>
      <w:r>
        <w:rPr>
          <w:rFonts w:ascii="Calibri" w:cs="Calibri" w:eastAsia="Calibri" w:hAnsi="Calibri"/>
          <w:color w:val="1A1A1A"/>
          <w:sz w:val="22"/>
          <w:szCs w:val="22"/>
        </w:rPr>
        <w:t xml:space="preserve">The scoring matrix is generated as an editable draft alongside the JD variants and remains editable by the manager through every review round; freezing approves the JD version and its then-current draft matrix together in one action — no matrix goes live without a human setting eyes on the weights, and the weights must sum to exactly 100%.</w:t>
      </w:r>
    </w:p>
    <w:p>
      <w:pPr>
        <w:pStyle w:val="ListParagraph"/>
        <w:numPr>
          <w:ilvl w:val="0"/>
          <w:numId w:val="2"/>
        </w:numPr>
        <w:spacing w:after="80" w:line="280"/>
      </w:pPr>
      <w:r>
        <w:rPr>
          <w:rFonts w:ascii="Calibri" w:cs="Calibri" w:eastAsia="Calibri" w:hAnsi="Calibri"/>
          <w:color w:val="1A1A1A"/>
          <w:sz w:val="22"/>
          <w:szCs w:val="22"/>
        </w:rPr>
        <w:t xml:space="preserve">Soft skills are captured as text at JD/resume stage only and are excluded entirely from the numeric screening-stage scoring matrix; they are assessed solely through qualitative human judgment at the structured interview stage (Module 5).</w:t>
      </w:r>
    </w:p>
    <w:p>
      <w:pPr>
        <w:pStyle w:val="ListParagraph"/>
        <w:numPr>
          <w:ilvl w:val="0"/>
          <w:numId w:val="2"/>
        </w:numPr>
        <w:spacing w:after="80" w:line="280"/>
      </w:pPr>
      <w:r>
        <w:rPr>
          <w:rFonts w:ascii="Calibri" w:cs="Calibri" w:eastAsia="Calibri" w:hAnsi="Calibri"/>
          <w:color w:val="1A1A1A"/>
          <w:sz w:val="22"/>
          <w:szCs w:val="22"/>
        </w:rPr>
        <w:t xml:space="preserve">Release 1 includes the staffing-agency / multi-client tenant model: an agency tenant's requisition must specify an end-client company; a direct-employer tenant's does not.</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succeeds; new JD version and matrix set to Approved; prior Approved version (if any) set to Superseded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do not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request rejected with the offending total returned; no state change to the requisition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managers attempt to freeze the same requisition simultaneously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Exactly one freeze succeeds atomically; the second is rejected against the now-current state, not silently overwritten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edits a JD after it has already been Approved (frozen)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edit to the Approved version is rejected; the edit instead opens a new Draft/Revising version through the standard review loop</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repeats an identical freeze request already applied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Second request is a no-op against the same Approved version — no duplicate version or duplicate matrix is created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manager submits a brief without selecting a 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a client selection is required before the brief is accepted</w:t>
            </w:r>
          </w:p>
        </w:tc>
      </w:tr>
    </w:tbl>
    <w:p>
      <w:pPr>
        <w:pStyle w:val="Heading2"/>
        <w:spacing w:after="100" w:before="220"/>
      </w:pPr>
      <w:bookmarkStart w:name="bm_13_4_2_module_2_candidate_sourcin" w:id="1013"/>
      <w:r>
        <w:rPr>
          <w:rFonts w:ascii="Calibri" w:cs="Calibri" w:eastAsia="Calibri" w:hAnsi="Calibri"/>
          <w:b/>
          <w:bCs/>
          <w:color w:val="404040"/>
          <w:sz w:val="24"/>
          <w:szCs w:val="24"/>
        </w:rPr>
        <w:t xml:space="preserve">4.2 Module 2 — Candidate Sourcing &amp; Resume Aggregation  —  Status: Approved Baseline v2.0 (supersedes v1.0)</w:t>
      </w:r>
      <w:bookmarkEnd w:id="1013"/>
    </w:p>
    <w:p>
      <w:pPr>
        <w:spacing w:after="160" w:line="300"/>
        <w:jc w:val="both"/>
      </w:pPr>
      <w:r>
        <w:rPr>
          <w:rFonts w:ascii="Calibri" w:cs="Calibri" w:eastAsia="Calibri" w:hAnsi="Calibri"/>
          <w:color w:val="1A1A1A"/>
          <w:sz w:val="22"/>
          <w:szCs w:val="22"/>
        </w:rPr>
        <w:t xml:space="preserve">Once a JD is frozen (Approved), it is published to sourcing channels and resumes begin flowing into the system — via job-board integration, direct email, or manual upload — into one unified, deduplicated candidate pool scoped to the owning tenant and, for an agency tenant, its specific end-client.</w:t>
      </w:r>
    </w:p>
    <w:p>
      <w:pPr>
        <w:spacing w:after="140" w:line="280"/>
        <w:jc w:val="both"/>
      </w:pPr>
      <w:r>
        <w:rPr>
          <w:rFonts w:ascii="Calibri" w:cs="Calibri" w:eastAsia="Calibri" w:hAnsi="Calibri"/>
          <w:b/>
          <w:bCs/>
          <w:color w:val="000000"/>
          <w:sz w:val="22"/>
          <w:szCs w:val="22"/>
        </w:rPr>
        <w:t xml:space="preserve">Approved decision: </w:t>
      </w:r>
      <w:r>
        <w:rPr>
          <w:rFonts w:ascii="Calibri" w:cs="Calibri" w:eastAsia="Calibri" w:hAnsi="Calibri"/>
          <w:color w:val="1A1A1A"/>
          <w:sz w:val="22"/>
          <w:szCs w:val="22"/>
        </w:rPr>
        <w:t xml:space="preserve">resumes are ingested only through official, contracted integrations — job-board recruiter APIs / RMS partnerships (Naukri RMS, LinkedIn Talent Solutions, and equivalent) — plus direct email intake and manual upload. Unauthorized scraping of job-board pages is explicitly out of scope, since it violates most job boards' terms of service and creates an ongoing legal and account-suspension risk. Where a target board has no official API, the fallback is manual upload — never scraping. Naukri RMS and LinkedIn Talent Solutions are, as of this baseline, proposed adapter contracts pending vendor/product-tier confirmation (Section 6) — not yet confirmed vendor capabilities.</w:t>
      </w:r>
    </w:p>
    <w:p>
      <w:pPr>
        <w:pStyle w:val="Heading3"/>
        <w:spacing w:after="80" w:before="160"/>
      </w:pPr>
      <w:r>
        <w:rPr>
          <w:rFonts w:ascii="Calibri" w:cs="Calibri" w:eastAsia="Calibri" w:hAnsi="Calibri"/>
          <w:b/>
          <w:bCs/>
          <w:color w:val="000000"/>
          <w:sz w:val="22"/>
          <w:szCs w:val="22"/>
        </w:rPr>
        <w:t xml:space="preserve">Sourcing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Channel</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Ingestion method (Approved)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(Recruiter Management System) API integration — pending vendor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 Talent Solutions API integration — exact product pending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Niche job boards (e.g. iimjobs)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Official employer API where available; manual upload otherwise</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email intake</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inbox parsing — attachment extraction + resume parsing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Manual upload</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Recruiter-driven single/bulk upload — universal fallback</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Employee referral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attributed at intake</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Multi-channel job posting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Publish an Approved requisition to the careers page and contracted job-board integrations from one action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Job-board API integration (not scraping)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 LinkedIn Talent Solutions / equivalent official integrations only</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intake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Dedicated per-(tenant, client) inbox auto-parses incoming resumes/attachments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Extract structured fields (contact, experience, skills, education) from PDF and DOCX resumes, Release 1's supported formats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Unified resume inbox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 consolidated view across all channels, scoped to (tenant, client), instead of separate per-source screens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 detection with conflict handling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Flag likely-duplicate candidates on intake and link rather than duplicate; conflicting evidence routes to a recruiter for manual review rather than an automatic decision, and every resolution (linked, rejected, or later reversed) is retained for audit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database search</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Full-text and filtered search across the caller's (tenant, client)-scoped candidate pool</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capture &amp; attribution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captured at intake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No unauthorized scraping of any job-board site, under any circumstance — sourcing channels ship only via official, contracted API/RMS integrations, direct email intake, or manual upload.</w:t>
      </w:r>
    </w:p>
    <w:p>
      <w:pPr>
        <w:pStyle w:val="ListParagraph"/>
        <w:numPr>
          <w:ilvl w:val="0"/>
          <w:numId w:val="2"/>
        </w:numPr>
        <w:spacing w:after="80" w:line="280"/>
      </w:pPr>
      <w:r>
        <w:rPr>
          <w:rFonts w:ascii="Calibri" w:cs="Calibri" w:eastAsia="Calibri" w:hAnsi="Calibri"/>
          <w:color w:val="1A1A1A"/>
          <w:sz w:val="22"/>
          <w:szCs w:val="22"/>
        </w:rPr>
        <w:t xml:space="preserve">A job board with no official API integration path falls back to manual upload/email intake rather than being scraped.</w:t>
      </w:r>
    </w:p>
    <w:p>
      <w:pPr>
        <w:pStyle w:val="ListParagraph"/>
        <w:numPr>
          <w:ilvl w:val="0"/>
          <w:numId w:val="2"/>
        </w:numPr>
        <w:spacing w:after="80" w:line="280"/>
      </w:pPr>
      <w:r>
        <w:rPr>
          <w:rFonts w:ascii="Calibri" w:cs="Calibri" w:eastAsia="Calibri" w:hAnsi="Calibri"/>
          <w:color w:val="1A1A1A"/>
          <w:sz w:val="22"/>
          <w:szCs w:val="22"/>
        </w:rPr>
        <w:t xml:space="preserve">Every incoming resume, regardless of channel, lands in one unified resume inbox scoped to its owning (tenant, client) and tagged by source.</w:t>
      </w:r>
    </w:p>
    <w:p>
      <w:pPr>
        <w:pStyle w:val="ListParagraph"/>
        <w:numPr>
          <w:ilvl w:val="0"/>
          <w:numId w:val="2"/>
        </w:numPr>
        <w:spacing w:after="80" w:line="280"/>
      </w:pPr>
      <w:r>
        <w:rPr>
          <w:rFonts w:ascii="Calibri" w:cs="Calibri" w:eastAsia="Calibri" w:hAnsi="Calibri"/>
          <w:color w:val="1A1A1A"/>
          <w:sz w:val="22"/>
          <w:szCs w:val="22"/>
        </w:rPr>
        <w:t xml:space="preserve">Duplicate detection runs at intake, before a candidate reaches the screening queue, scoped within (tenant, client) — the same person applying through two different agency clients is not treated as a duplicate, by design.</w:t>
      </w:r>
    </w:p>
    <w:p>
      <w:pPr>
        <w:pStyle w:val="ListParagraph"/>
        <w:numPr>
          <w:ilvl w:val="0"/>
          <w:numId w:val="2"/>
        </w:numPr>
        <w:spacing w:after="80" w:line="280"/>
      </w:pPr>
      <w:r>
        <w:rPr>
          <w:rFonts w:ascii="Calibri" w:cs="Calibri" w:eastAsia="Calibri" w:hAnsi="Calibri"/>
          <w:color w:val="1A1A1A"/>
          <w:sz w:val="22"/>
          <w:szCs w:val="22"/>
        </w:rPr>
        <w:t xml:space="preserve">Release 1 supports PDF and DOCX resumes only; other formats (.doc, .rtf, .pages, scanned images) are rejected at intake with an explicit unsupported-format error and routed to a manual structured-entry fallback rather than silently dropped or misparsed — this corrects an earlier, broader "any resume format" claim.</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vendor confirms the exact contracted integration product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Section 6 open dependency closes; Naukri RMS / LinkedIn Talent Solutions status in this document is updated from proposed to confirmed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uploads a scanned (image-only) or password-protected PDF</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File is detected as unparseable rather than silently producing an empty or garbled parse; routed to the manual structured-entry fallback</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resumes match on email but disagree on candidate name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Routed to a recruiter review queue as a conflict, not auto-linked and not auto-rejected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finds an auto-link was incorrect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can reverse the link; the original decision is retained for audit and the two candidate records are split back apart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 recruiter searches the unified inbox</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Results are limited to the recruiter's authorized (tenant, client) scope; client is resolved from the recruiter's session, never accepted as a caller-supplied filter</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requisition is published for an agency's end-client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The requisition's channel adapters use that end-client's own configured vendor credentials, not the agency's default or another client's</w:t>
            </w:r>
          </w:p>
        </w:tc>
      </w:tr>
    </w:tbl>
    <w:p>
      <w:pPr>
        <w:pStyle w:val="Heading2"/>
        <w:spacing w:after="100" w:before="220"/>
      </w:pPr>
      <w:bookmarkStart w:name="bm_14_4_3_modules_3_10_requirement_l" w:id="1014"/>
      <w:r>
        <w:rPr>
          <w:rFonts w:ascii="Calibri" w:cs="Calibri" w:eastAsia="Calibri" w:hAnsi="Calibri"/>
          <w:b/>
          <w:bCs/>
          <w:color w:val="404040"/>
          <w:sz w:val="24"/>
          <w:szCs w:val="24"/>
        </w:rPr>
        <w:t xml:space="preserve">4.3 Modules 3–10 — Requirement-Level Scope (Draft, roadmap — not part of Release 1)</w:t>
      </w:r>
      <w:bookmarkEnd w:id="1014"/>
    </w:p>
    <w:p>
      <w:pPr>
        <w:spacing w:after="160" w:line="300"/>
        <w:jc w:val="both"/>
      </w:pPr>
      <w:r>
        <w:rPr>
          <w:rFonts w:ascii="Calibri" w:cs="Calibri" w:eastAsia="Calibri" w:hAnsi="Calibri"/>
          <w:color w:val="1A1A1A"/>
          <w:sz w:val="22"/>
          <w:szCs w:val="22"/>
        </w:rPr>
        <w:t xml:space="preserve">The remaining modules are scoped to product-requirement level below and will each be elaborated to Approved Baseline detail, following the same process demonstrated for Modules 1–2, as they are brought into a future release.</w:t>
      </w:r>
    </w:p>
    <w:p>
      <w:pPr>
        <w:pStyle w:val="Heading3"/>
        <w:spacing w:after="80" w:before="160"/>
      </w:pPr>
      <w:r>
        <w:rPr>
          <w:rFonts w:ascii="Calibri" w:cs="Calibri" w:eastAsia="Calibri" w:hAnsi="Calibri"/>
          <w:b/>
          <w:bCs/>
          <w:color w:val="000000"/>
          <w:sz w:val="22"/>
          <w:szCs w:val="22"/>
        </w:rPr>
        <w:t xml:space="preserve">Module 3 — Screening &amp; Shortlisting</w:t>
      </w:r>
    </w:p>
    <w:p>
      <w:pPr>
        <w:pStyle w:val="ListParagraph"/>
        <w:numPr>
          <w:ilvl w:val="0"/>
          <w:numId w:val="2"/>
        </w:numPr>
        <w:spacing w:after="80" w:line="280"/>
      </w:pPr>
      <w:r>
        <w:rPr>
          <w:rFonts w:ascii="Calibri" w:cs="Calibri" w:eastAsia="Calibri" w:hAnsi="Calibri"/>
          <w:color w:val="1A1A1A"/>
          <w:sz w:val="22"/>
          <w:szCs w:val="22"/>
        </w:rPr>
        <w:t xml:space="preserve">Candidates are scored against the Module 1 weighted matrix as they enter the pipeline; knockout criteria reject automatically, others are ranked with visible score reasoning.</w:t>
      </w:r>
    </w:p>
    <w:p>
      <w:pPr>
        <w:pStyle w:val="ListParagraph"/>
        <w:numPr>
          <w:ilvl w:val="0"/>
          <w:numId w:val="2"/>
        </w:numPr>
        <w:spacing w:after="80" w:line="280"/>
      </w:pPr>
      <w:r>
        <w:rPr>
          <w:rFonts w:ascii="Calibri" w:cs="Calibri" w:eastAsia="Calibri" w:hAnsi="Calibri"/>
          <w:color w:val="1A1A1A"/>
          <w:sz w:val="22"/>
          <w:szCs w:val="22"/>
        </w:rPr>
        <w:t xml:space="preserve">Configurable per-requisition threshold moves a candidate to Screened status and triggers an automatic notification email.</w:t>
      </w:r>
    </w:p>
    <w:p>
      <w:pPr>
        <w:pStyle w:val="Heading3"/>
        <w:spacing w:after="80" w:before="160"/>
      </w:pPr>
      <w:r>
        <w:rPr>
          <w:rFonts w:ascii="Calibri" w:cs="Calibri" w:eastAsia="Calibri" w:hAnsi="Calibri"/>
          <w:b/>
          <w:bCs/>
          <w:color w:val="000000"/>
          <w:sz w:val="22"/>
          <w:szCs w:val="22"/>
        </w:rPr>
        <w:t xml:space="preserve">Module 4 — Candidate Pre-Interview Data Capture</w:t>
      </w:r>
    </w:p>
    <w:p>
      <w:pPr>
        <w:pStyle w:val="ListParagraph"/>
        <w:numPr>
          <w:ilvl w:val="0"/>
          <w:numId w:val="2"/>
        </w:numPr>
        <w:spacing w:after="80" w:line="280"/>
      </w:pPr>
      <w:r>
        <w:rPr>
          <w:rFonts w:ascii="Calibri" w:cs="Calibri" w:eastAsia="Calibri" w:hAnsi="Calibri"/>
          <w:color w:val="1A1A1A"/>
          <w:sz w:val="22"/>
          <w:szCs w:val="22"/>
        </w:rPr>
        <w:t xml:space="preserve">Token/magic-link portal login (no account creation); role-configurable form (expected CTC, reason for change, project write-ups).</w:t>
      </w:r>
    </w:p>
    <w:p>
      <w:pPr>
        <w:pStyle w:val="ListParagraph"/>
        <w:numPr>
          <w:ilvl w:val="0"/>
          <w:numId w:val="2"/>
        </w:numPr>
        <w:spacing w:after="80" w:line="280"/>
      </w:pPr>
      <w:r>
        <w:rPr>
          <w:rFonts w:ascii="Calibri" w:cs="Calibri" w:eastAsia="Calibri" w:hAnsi="Calibri"/>
          <w:color w:val="1A1A1A"/>
          <w:sz w:val="22"/>
          <w:szCs w:val="22"/>
        </w:rPr>
        <w:t xml:space="preserve">Submission triggers interview scheduling and candidate notification of interview details.</w:t>
      </w:r>
    </w:p>
    <w:p>
      <w:pPr>
        <w:pStyle w:val="Heading3"/>
        <w:spacing w:after="80" w:before="160"/>
      </w:pPr>
      <w:r>
        <w:rPr>
          <w:rFonts w:ascii="Calibri" w:cs="Calibri" w:eastAsia="Calibri" w:hAnsi="Calibri"/>
          <w:b/>
          <w:bCs/>
          <w:color w:val="000000"/>
          <w:sz w:val="22"/>
          <w:szCs w:val="22"/>
        </w:rPr>
        <w:t xml:space="preserve">Module 5 — Interview Management</w:t>
      </w:r>
    </w:p>
    <w:p>
      <w:pPr>
        <w:pStyle w:val="ListParagraph"/>
        <w:numPr>
          <w:ilvl w:val="0"/>
          <w:numId w:val="2"/>
        </w:numPr>
        <w:spacing w:after="80" w:line="280"/>
      </w:pPr>
      <w:r>
        <w:rPr>
          <w:rFonts w:ascii="Calibri" w:cs="Calibri" w:eastAsia="Calibri" w:hAnsi="Calibri"/>
          <w:color w:val="1A1A1A"/>
          <w:sz w:val="22"/>
          <w:szCs w:val="22"/>
        </w:rPr>
        <w:t xml:space="preserve">Multi-round (typically 2–3) structured interviews with scorecards tied to JD competencies; panel decision rollup before advancing to the next round.</w:t>
      </w:r>
    </w:p>
    <w:p>
      <w:pPr>
        <w:pStyle w:val="ListParagraph"/>
        <w:numPr>
          <w:ilvl w:val="0"/>
          <w:numId w:val="2"/>
        </w:numPr>
        <w:spacing w:after="80" w:line="280"/>
      </w:pPr>
      <w:r>
        <w:rPr>
          <w:rFonts w:ascii="Calibri" w:cs="Calibri" w:eastAsia="Calibri" w:hAnsi="Calibri"/>
          <w:color w:val="1A1A1A"/>
          <w:sz w:val="22"/>
          <w:szCs w:val="22"/>
        </w:rPr>
        <w:t xml:space="preserve">Candidate portal status updates in step with internal round outcomes.</w:t>
      </w:r>
    </w:p>
    <w:p>
      <w:pPr>
        <w:pStyle w:val="Heading3"/>
        <w:spacing w:after="80" w:before="160"/>
      </w:pPr>
      <w:r>
        <w:rPr>
          <w:rFonts w:ascii="Calibri" w:cs="Calibri" w:eastAsia="Calibri" w:hAnsi="Calibri"/>
          <w:b/>
          <w:bCs/>
          <w:color w:val="000000"/>
          <w:sz w:val="22"/>
          <w:szCs w:val="22"/>
        </w:rPr>
        <w:t xml:space="preserve">Module 6 — Selection &amp; Background Verification</w:t>
      </w:r>
    </w:p>
    <w:p>
      <w:pPr>
        <w:pStyle w:val="ListParagraph"/>
        <w:numPr>
          <w:ilvl w:val="0"/>
          <w:numId w:val="2"/>
        </w:numPr>
        <w:spacing w:after="80" w:line="280"/>
      </w:pPr>
      <w:r>
        <w:rPr>
          <w:rFonts w:ascii="Calibri" w:cs="Calibri" w:eastAsia="Calibri" w:hAnsi="Calibri"/>
          <w:color w:val="1A1A1A"/>
          <w:sz w:val="22"/>
          <w:szCs w:val="22"/>
        </w:rPr>
        <w:t xml:space="preserve">Triggered at SELECTED status. Consent capture is a hard gate before any check begins.</w:t>
      </w:r>
    </w:p>
    <w:p>
      <w:pPr>
        <w:pStyle w:val="ListParagraph"/>
        <w:numPr>
          <w:ilvl w:val="0"/>
          <w:numId w:val="2"/>
        </w:numPr>
        <w:spacing w:after="80" w:line="280"/>
      </w:pPr>
      <w:r>
        <w:rPr>
          <w:rFonts w:ascii="Calibri" w:cs="Calibri" w:eastAsia="Calibri" w:hAnsi="Calibri"/>
          <w:color w:val="1A1A1A"/>
          <w:sz w:val="22"/>
          <w:szCs w:val="22"/>
        </w:rPr>
        <w:t xml:space="preserve">Identity, address, education, and employment checks via a licensed BGV vendor integration.</w:t>
      </w:r>
    </w:p>
    <w:p>
      <w:pPr>
        <w:pStyle w:val="ListParagraph"/>
        <w:numPr>
          <w:ilvl w:val="0"/>
          <w:numId w:val="2"/>
        </w:numPr>
        <w:spacing w:after="80" w:line="280"/>
      </w:pPr>
      <w:r>
        <w:rPr>
          <w:rFonts w:ascii="Calibri" w:cs="Calibri" w:eastAsia="Calibri" w:hAnsi="Calibri"/>
          <w:color w:val="1A1A1A"/>
          <w:sz w:val="22"/>
          <w:szCs w:val="22"/>
        </w:rPr>
        <w:t xml:space="preserve">Income verification via India's Account Aggregator framework or a consented provider (e.g. Perfios, HyperVerge) — candidate-authorized data pull, not inbox scanning.</w:t>
      </w:r>
    </w:p>
    <w:p>
      <w:pPr>
        <w:pStyle w:val="Heading3"/>
        <w:spacing w:after="80" w:before="160"/>
      </w:pPr>
      <w:r>
        <w:rPr>
          <w:rFonts w:ascii="Calibri" w:cs="Calibri" w:eastAsia="Calibri" w:hAnsi="Calibri"/>
          <w:b/>
          <w:bCs/>
          <w:color w:val="000000"/>
          <w:sz w:val="22"/>
          <w:szCs w:val="22"/>
        </w:rPr>
        <w:t xml:space="preserve">Module 7 — Offer Management, KRA/KPI &amp; E-Sign</w:t>
      </w:r>
    </w:p>
    <w:p>
      <w:pPr>
        <w:pStyle w:val="ListParagraph"/>
        <w:numPr>
          <w:ilvl w:val="0"/>
          <w:numId w:val="2"/>
        </w:numPr>
        <w:spacing w:after="80" w:line="280"/>
      </w:pPr>
      <w:r>
        <w:rPr>
          <w:rFonts w:ascii="Calibri" w:cs="Calibri" w:eastAsia="Calibri" w:hAnsi="Calibri"/>
          <w:color w:val="1A1A1A"/>
          <w:sz w:val="22"/>
          <w:szCs w:val="22"/>
        </w:rPr>
        <w:t xml:space="preserve">Offer letter and compensation breakup auto-populated from candidate, role, and approved comp data; role-based KRA/KPI template attached automatically.</w:t>
      </w:r>
    </w:p>
    <w:p>
      <w:pPr>
        <w:pStyle w:val="ListParagraph"/>
        <w:numPr>
          <w:ilvl w:val="0"/>
          <w:numId w:val="2"/>
        </w:numPr>
        <w:spacing w:after="80" w:line="280"/>
      </w:pPr>
      <w:r>
        <w:rPr>
          <w:rFonts w:ascii="Calibri" w:cs="Calibri" w:eastAsia="Calibri" w:hAnsi="Calibri"/>
          <w:color w:val="1A1A1A"/>
          <w:sz w:val="22"/>
          <w:szCs w:val="22"/>
        </w:rPr>
        <w:t xml:space="preserve">E-signature integration with tracked status; accepted offer auto-closes the requisition and copies the comp structure into the Payroll module.</w:t>
      </w:r>
    </w:p>
    <w:p>
      <w:pPr>
        <w:pStyle w:val="Heading3"/>
        <w:spacing w:after="80" w:before="160"/>
      </w:pPr>
      <w:r>
        <w:rPr>
          <w:rFonts w:ascii="Calibri" w:cs="Calibri" w:eastAsia="Calibri" w:hAnsi="Calibri"/>
          <w:b/>
          <w:bCs/>
          <w:color w:val="000000"/>
          <w:sz w:val="22"/>
          <w:szCs w:val="22"/>
        </w:rPr>
        <w:t xml:space="preserve">Module 8 — Onboarding</w:t>
      </w:r>
    </w:p>
    <w:p>
      <w:pPr>
        <w:pStyle w:val="ListParagraph"/>
        <w:numPr>
          <w:ilvl w:val="0"/>
          <w:numId w:val="2"/>
        </w:numPr>
        <w:spacing w:after="80" w:line="280"/>
      </w:pPr>
      <w:r>
        <w:rPr>
          <w:rFonts w:ascii="Calibri" w:cs="Calibri" w:eastAsia="Calibri" w:hAnsi="Calibri"/>
          <w:color w:val="1A1A1A"/>
          <w:sz w:val="22"/>
          <w:szCs w:val="22"/>
        </w:rPr>
        <w:t xml:space="preserve">Cross-team checklist (IT provisioning, ID card, facilities, HR paperwork) auto-assigned on offer signature, with a day-one readiness dashboard.</w:t>
      </w:r>
    </w:p>
    <w:p>
      <w:pPr>
        <w:pStyle w:val="ListParagraph"/>
        <w:numPr>
          <w:ilvl w:val="0"/>
          <w:numId w:val="2"/>
        </w:numPr>
        <w:spacing w:after="80" w:line="280"/>
      </w:pPr>
      <w:r>
        <w:rPr>
          <w:rFonts w:ascii="Calibri" w:cs="Calibri" w:eastAsia="Calibri" w:hAnsi="Calibri"/>
          <w:color w:val="1A1A1A"/>
          <w:sz w:val="22"/>
          <w:szCs w:val="22"/>
        </w:rPr>
        <w:t xml:space="preserve">Onboarding completion converts the candidate record into an employee record — the seam into Modules 9 and 10.</w:t>
      </w:r>
    </w:p>
    <w:p>
      <w:pPr>
        <w:pStyle w:val="Heading3"/>
        <w:spacing w:after="80" w:before="160"/>
      </w:pPr>
      <w:r>
        <w:rPr>
          <w:rFonts w:ascii="Calibri" w:cs="Calibri" w:eastAsia="Calibri" w:hAnsi="Calibri"/>
          <w:b/>
          <w:bCs/>
          <w:color w:val="000000"/>
          <w:sz w:val="22"/>
          <w:szCs w:val="22"/>
        </w:rPr>
        <w:t xml:space="preserve">Module 9 — Payroll &amp; Compensation</w:t>
      </w:r>
    </w:p>
    <w:p>
      <w:pPr>
        <w:pStyle w:val="ListParagraph"/>
        <w:numPr>
          <w:ilvl w:val="0"/>
          <w:numId w:val="2"/>
        </w:numPr>
        <w:spacing w:after="80" w:line="280"/>
      </w:pPr>
      <w:r>
        <w:rPr>
          <w:rFonts w:ascii="Calibri" w:cs="Calibri" w:eastAsia="Calibri" w:hAnsi="Calibri"/>
          <w:color w:val="1A1A1A"/>
          <w:sz w:val="22"/>
          <w:szCs w:val="22"/>
        </w:rPr>
        <w:t xml:space="preserve">Monthly salary slip generation, full-and-final settlement, loan/advance tracking, and employee expense reimbursement, with India statutory compliance (PF, ESI, professional tax, TDS).</w:t>
      </w:r>
    </w:p>
    <w:p>
      <w:pPr>
        <w:pStyle w:val="Heading3"/>
        <w:spacing w:after="80" w:before="160"/>
      </w:pPr>
      <w:r>
        <w:rPr>
          <w:rFonts w:ascii="Calibri" w:cs="Calibri" w:eastAsia="Calibri" w:hAnsi="Calibri"/>
          <w:b/>
          <w:bCs/>
          <w:color w:val="000000"/>
          <w:sz w:val="22"/>
          <w:szCs w:val="22"/>
        </w:rPr>
        <w:t xml:space="preserve">Module 10 — Appraisal</w:t>
      </w:r>
    </w:p>
    <w:p>
      <w:pPr>
        <w:pStyle w:val="ListParagraph"/>
        <w:numPr>
          <w:ilvl w:val="0"/>
          <w:numId w:val="2"/>
        </w:numPr>
        <w:spacing w:after="80" w:line="280"/>
      </w:pPr>
      <w:r>
        <w:rPr>
          <w:rFonts w:ascii="Calibri" w:cs="Calibri" w:eastAsia="Calibri" w:hAnsi="Calibri"/>
          <w:color w:val="1A1A1A"/>
          <w:sz w:val="22"/>
          <w:szCs w:val="22"/>
        </w:rPr>
        <w:t xml:space="preserve">Continuous tracking against the KRA/KPIs set at offer stage, feeding an annual appraisal cycle rather than a once-a-year reconstruction exercise.</w:t>
      </w:r>
    </w:p>
    <w:p>
      <w:pPr>
        <w:spacing w:after="200"/>
      </w:pPr>
    </w:p>
    <w:p>
      <w:pPr>
        <w:pStyle w:val="Heading1"/>
        <w:spacing w:after="140" w:before="320"/>
      </w:pPr>
      <w:bookmarkStart w:name="bm_15_5_acceptance_criteria" w:id="1015"/>
      <w:r>
        <w:rPr>
          <w:rFonts w:ascii="Calibri" w:cs="Calibri" w:eastAsia="Calibri" w:hAnsi="Calibri"/>
          <w:b/>
          <w:bCs/>
          <w:color w:val="D34817"/>
          <w:sz w:val="30"/>
          <w:szCs w:val="30"/>
        </w:rPr>
        <w:t xml:space="preserve">5. Acceptance Criteria</w:t>
      </w:r>
      <w:bookmarkEnd w:id="1015"/>
    </w:p>
    <w:p>
      <w:pPr>
        <w:spacing w:after="160" w:line="300"/>
        <w:jc w:val="both"/>
      </w:pPr>
      <w:r>
        <w:rPr>
          <w:rFonts w:ascii="Calibri" w:cs="Calibri" w:eastAsia="Calibri" w:hAnsi="Calibri"/>
          <w:color w:val="1A1A1A"/>
          <w:sz w:val="22"/>
          <w:szCs w:val="22"/>
        </w:rPr>
        <w:t xml:space="preserve">Measurable, testable targets — a qualitative statement such as "search should be fast" is not acceptance-testable on its own and is avoided below in favor of a stated threshold.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Criterion</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Threshold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(tenant)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No cross-tenant data access under automated isolation testing, across the database, message-queue, search-index, object-storage, and webhook layers (TDD Section 5.3)</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(agency client)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For an agency tenant, no cross-client data access within the same tenant under the same automated isolation testing — a Client Stakeholder or agency recruiter scoped to one client never sees another client's requisitions or candidates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Role-based access control, encryption at rest and in transit, full audit log of candidate-PII access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2023 alignment verified at each module baseline — consent gates, retention policy, data-principal rights workflow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Scoring-matrix integrity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matrix cannot reach Approved status with weights that do not sum to exactly 100%; 100% of freeze attempts with an invalid total are rejected, not silently normalized (HR-M1-FR-006)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Duplicate-detection precision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False-positive auto-link rate on exact-key (email/phone) matches held to a stated, tenant-visible target once Module 2 is in production; any conflicting-evidence case routes to manual review rather than auto-linking (HR-M2-FR-006)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100% of PDF/DOCX uploads either parse successfully or are routed to the manual fallback — none silently dropped or left in an unknown state (HR-M2-FR-004)</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 acceptance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module's requirements are accepted (reach Approved Baseline) only once its Feature List, Approved Decisions, and Acceptance Scenarios (Section 4.1/4.2) are unambiguous enough for the Technical Design stage to begin without open questions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Traceability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requirement ID in Section 4.1/4.2 has a corresponding row in the Requirement Traceability Register (a companion living document), linking it to its Technical Design reference(s) and test coverage before the module is considered build-ready</w:t>
            </w:r>
          </w:p>
        </w:tc>
      </w:tr>
    </w:tbl>
    <w:p>
      <w:pPr>
        <w:spacing w:after="200"/>
      </w:pPr>
    </w:p>
    <w:p>
      <w:pPr>
        <w:pStyle w:val="Heading1"/>
        <w:spacing w:after="140" w:before="320"/>
      </w:pPr>
      <w:bookmarkStart w:name="bm_16_6_dependencies_from_stakeholde" w:id="1016"/>
      <w:r>
        <w:rPr>
          <w:rFonts w:ascii="Calibri" w:cs="Calibri" w:eastAsia="Calibri" w:hAnsi="Calibri"/>
          <w:b/>
          <w:bCs/>
          <w:color w:val="D34817"/>
          <w:sz w:val="30"/>
          <w:szCs w:val="30"/>
        </w:rPr>
        <w:t xml:space="preserve">6. Dependencies from Stakeholder Side</w:t>
      </w:r>
      <w:bookmarkEnd w:id="1016"/>
    </w:p>
    <w:p>
      <w:pPr>
        <w:spacing w:after="160" w:line="300"/>
        <w:jc w:val="both"/>
      </w:pPr>
      <w:r>
        <w:rPr>
          <w:rFonts w:ascii="Calibri" w:cs="Calibri" w:eastAsia="Calibri" w:hAnsi="Calibri"/>
          <w:color w:val="1A1A1A"/>
          <w:sz w:val="22"/>
          <w:szCs w:val="22"/>
        </w:rPr>
        <w:t xml:space="preserve">The following decisions are needed from Phoneme leadership/stakeholders before remaining modules can reach Approved Baseline. The staffing-agency multi-client priority question from the prior baseline is resolved — it is in scope for Release 1 (Section 1.3) — and is removed from this list.</w:t>
      </w:r>
    </w:p>
    <w:p>
      <w:pPr>
        <w:pStyle w:val="ListParagraph"/>
        <w:numPr>
          <w:ilvl w:val="0"/>
          <w:numId w:val="5"/>
        </w:numPr>
        <w:spacing w:after="80" w:line="280"/>
      </w:pPr>
      <w:r>
        <w:rPr>
          <w:rFonts w:ascii="Calibri" w:cs="Calibri" w:eastAsia="Calibri" w:hAnsi="Calibri"/>
          <w:color w:val="1A1A1A"/>
          <w:sz w:val="22"/>
          <w:szCs w:val="22"/>
        </w:rPr>
        <w:t xml:space="preserve">Target launch timeline and team size for the Release 1 build.</w:t>
      </w:r>
    </w:p>
    <w:p>
      <w:pPr>
        <w:pStyle w:val="ListParagraph"/>
        <w:numPr>
          <w:ilvl w:val="0"/>
          <w:numId w:val="5"/>
        </w:numPr>
        <w:spacing w:after="80" w:line="280"/>
      </w:pPr>
      <w:r>
        <w:rPr>
          <w:rFonts w:ascii="Calibri" w:cs="Calibri" w:eastAsia="Calibri" w:hAnsi="Calibri"/>
          <w:color w:val="1A1A1A"/>
          <w:sz w:val="22"/>
          <w:szCs w:val="22"/>
        </w:rPr>
        <w:t xml:space="preserve">Pricing/packaging model (per-seat, per-employee, or per-tenant flat fee) — to be resolved before the consolidated Proposal document (Section 8) is generated.</w:t>
      </w:r>
    </w:p>
    <w:p>
      <w:pPr>
        <w:pStyle w:val="ListParagraph"/>
        <w:numPr>
          <w:ilvl w:val="0"/>
          <w:numId w:val="5"/>
        </w:numPr>
        <w:spacing w:after="80" w:line="280"/>
      </w:pPr>
      <w:r>
        <w:rPr>
          <w:rFonts w:ascii="Calibri" w:cs="Calibri" w:eastAsia="Calibri" w:hAnsi="Calibri"/>
          <w:color w:val="1A1A1A"/>
          <w:sz w:val="22"/>
          <w:szCs w:val="22"/>
        </w:rPr>
        <w:t xml:space="preserve">First 2–3 design-partner customers to validate the workflow before general availability.</w:t>
      </w:r>
    </w:p>
    <w:p>
      <w:pPr>
        <w:pStyle w:val="ListParagraph"/>
        <w:numPr>
          <w:ilvl w:val="0"/>
          <w:numId w:val="5"/>
        </w:numPr>
        <w:spacing w:after="80" w:line="280"/>
      </w:pPr>
      <w:r>
        <w:rPr>
          <w:rFonts w:ascii="Calibri" w:cs="Calibri" w:eastAsia="Calibri" w:hAnsi="Calibri"/>
          <w:color w:val="1A1A1A"/>
          <w:sz w:val="22"/>
          <w:szCs w:val="22"/>
        </w:rPr>
        <w:t xml:space="preserve">Naukri RMS contracted-plan confirmation (push vs. poll availability) and LinkedIn Talent Solutions product-tier confirmation (Recruiter System Connect, Apply Connect, or another) — both integrations are proposed adapter contracts pending this vendor-feasibility gate (Section 4.2).</w:t>
      </w:r>
    </w:p>
    <w:p>
      <w:pPr>
        <w:pStyle w:val="ListParagraph"/>
        <w:numPr>
          <w:ilvl w:val="0"/>
          <w:numId w:val="5"/>
        </w:numPr>
        <w:spacing w:after="80" w:line="280"/>
      </w:pPr>
      <w:r>
        <w:rPr>
          <w:rFonts w:ascii="Calibri" w:cs="Calibri" w:eastAsia="Calibri" w:hAnsi="Calibri"/>
          <w:color w:val="1A1A1A"/>
          <w:sz w:val="22"/>
          <w:szCs w:val="22"/>
        </w:rPr>
        <w:t xml:space="preserve">Scope of the Client Stakeholder read-only portal role for agency end-clients — what an end-client contact may view of their own requisitions/pipeline is not yet defined.</w:t>
      </w:r>
    </w:p>
    <w:p>
      <w:pPr>
        <w:pStyle w:val="ListParagraph"/>
        <w:numPr>
          <w:ilvl w:val="0"/>
          <w:numId w:val="5"/>
        </w:numPr>
        <w:spacing w:after="80" w:line="280"/>
      </w:pPr>
      <w:r>
        <w:rPr>
          <w:rFonts w:ascii="Calibri" w:cs="Calibri" w:eastAsia="Calibri" w:hAnsi="Calibri"/>
          <w:color w:val="1A1A1A"/>
          <w:sz w:val="22"/>
          <w:szCs w:val="22"/>
        </w:rPr>
        <w:t xml:space="preserve">Preferred e-signature and background-verification vendors — informs the Module 6 and Module 7 Technical Design.</w:t>
      </w:r>
    </w:p>
    <w:p>
      <w:pPr>
        <w:pStyle w:val="ListParagraph"/>
        <w:numPr>
          <w:ilvl w:val="0"/>
          <w:numId w:val="5"/>
        </w:numPr>
        <w:spacing w:after="80" w:line="280"/>
      </w:pPr>
      <w:r>
        <w:rPr>
          <w:rFonts w:ascii="Calibri" w:cs="Calibri" w:eastAsia="Calibri" w:hAnsi="Calibri"/>
          <w:color w:val="1A1A1A"/>
          <w:sz w:val="22"/>
          <w:szCs w:val="22"/>
        </w:rPr>
        <w:t xml:space="preserve">Confirmation of the Module 6 income-verification approach (Account Aggregator framework vs. a specific licensed vendor).</w:t>
      </w:r>
    </w:p>
    <w:p>
      <w:pPr>
        <w:pStyle w:val="ListParagraph"/>
        <w:numPr>
          <w:ilvl w:val="0"/>
          <w:numId w:val="5"/>
        </w:numPr>
        <w:spacing w:after="80" w:line="280"/>
      </w:pPr>
      <w:r>
        <w:rPr>
          <w:rFonts w:ascii="Calibri" w:cs="Calibri" w:eastAsia="Calibri" w:hAnsi="Calibri"/>
          <w:color w:val="1A1A1A"/>
          <w:sz w:val="22"/>
          <w:szCs w:val="22"/>
        </w:rPr>
        <w:t xml:space="preserve">Confirmation of the product/brand name before it appears in customer-facing UI (working name used throughout this document: Phoneme HR Suite).</w:t>
      </w:r>
    </w:p>
    <w:p>
      <w:pPr>
        <w:spacing w:after="200"/>
      </w:pPr>
    </w:p>
    <w:p>
      <w:pPr>
        <w:pStyle w:val="Heading1"/>
        <w:spacing w:after="140" w:before="320"/>
      </w:pPr>
      <w:bookmarkStart w:name="bm_17_7_key_risks" w:id="1017"/>
      <w:r>
        <w:rPr>
          <w:rFonts w:ascii="Calibri" w:cs="Calibri" w:eastAsia="Calibri" w:hAnsi="Calibri"/>
          <w:b/>
          <w:bCs/>
          <w:color w:val="D34817"/>
          <w:sz w:val="30"/>
          <w:szCs w:val="30"/>
        </w:rPr>
        <w:t xml:space="preserve">7. Key Risks</w:t>
      </w:r>
      <w:bookmarkEnd w:id="101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Risk</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Impact</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Mitigation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Scope creep across ten modules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Delays first shippable release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Module-by-module requirement locking and a firm MVP scope boundary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Third-party integration availability/cost (BGV, e-sign, job boards)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Blocks specific module features if a vendor contract stalls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Common adapter layer (defined at Technical Design stage) so a vendor swap is cheap; shortlist two vendors per category early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compliance gaps found late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Legal/reputational risk with enterprise customers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 checklist reviewed at every module lock, not deferred to a pre-launch audit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Multi-tenant data leakage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Catastrophic trust failure for a B2B SaaS product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Tenant-scoping enforced at the data-access layer plus a standing automated cross-tenant isolation test suite</w:t>
            </w:r>
          </w:p>
        </w:tc>
      </w:tr>
    </w:tbl>
    <w:p>
      <w:pPr>
        <w:spacing w:after="200"/>
      </w:pPr>
    </w:p>
    <w:p>
      <w:pPr>
        <w:pStyle w:val="Heading1"/>
        <w:spacing w:after="140" w:before="320"/>
      </w:pPr>
      <w:bookmarkStart w:name="bm_18_8_road_ahead_sdlc_sequence" w:id="1018"/>
      <w:r>
        <w:rPr>
          <w:rFonts w:ascii="Calibri" w:cs="Calibri" w:eastAsia="Calibri" w:hAnsi="Calibri"/>
          <w:b/>
          <w:bCs/>
          <w:color w:val="D34817"/>
          <w:sz w:val="30"/>
          <w:szCs w:val="30"/>
        </w:rPr>
        <w:t xml:space="preserve">8. Road Ahead — SDLC Sequence</w:t>
      </w:r>
      <w:bookmarkEnd w:id="1018"/>
    </w:p>
    <w:p>
      <w:pPr>
        <w:spacing w:after="160" w:line="300"/>
        <w:jc w:val="both"/>
      </w:pPr>
      <w:r>
        <w:rPr>
          <w:rFonts w:ascii="Calibri" w:cs="Calibri" w:eastAsia="Calibri" w:hAnsi="Calibri"/>
          <w:color w:val="1A1A1A"/>
          <w:sz w:val="22"/>
          <w:szCs w:val="22"/>
        </w:rPr>
        <w:t xml:space="preserve">This BRD/PRD is the first of a set of documents produced per module as the SDLC proceeds. The sequence for each module is: (1) BRD/PRD — this document, requirements only; (2) Technical Design — data schema, API contracts, and integration specs, produced once a module's requirements reach Approved Baseline; (3) UX/screen specification, where a module has a significant user-facing surface; (4) Test/acceptance plan, developed alongside the Technical Design rather than only after it. Once every module has cleared all applicable stages, a single consolidated Proposal document — carrying pricing, commercial terms, and delivery plan — is generated from this material for presentation to B2B customers. A Requirement Traceability Register (Section 5) is maintained as a living companion document from this baseline onward, linking each requirement ID through design, build, and test evidence.</w:t>
      </w:r>
    </w:p>
    <w:p>
      <w:pPr>
        <w:pStyle w:val="ListParagraph"/>
        <w:numPr>
          <w:ilvl w:val="0"/>
          <w:numId w:val="2"/>
        </w:numPr>
        <w:spacing w:after="80" w:line="280"/>
      </w:pPr>
      <w:r>
        <w:rPr>
          <w:rFonts w:ascii="Calibri" w:cs="Calibri" w:eastAsia="Calibri" w:hAnsi="Calibri"/>
          <w:color w:val="1A1A1A"/>
          <w:sz w:val="22"/>
          <w:szCs w:val="22"/>
        </w:rPr>
        <w:t xml:space="preserve">Modules 1 &amp; 2: Approved Baseline v2.0 (this document) — Technical Design v2.0 complete (see the companion Technical Design Document); Release 1 build scope.</w:t>
      </w:r>
    </w:p>
    <w:p>
      <w:pPr>
        <w:pStyle w:val="ListParagraph"/>
        <w:numPr>
          <w:ilvl w:val="0"/>
          <w:numId w:val="2"/>
        </w:numPr>
        <w:spacing w:after="80" w:line="280"/>
      </w:pPr>
      <w:r>
        <w:rPr>
          <w:rFonts w:ascii="Calibri" w:cs="Calibri" w:eastAsia="Calibri" w:hAnsi="Calibri"/>
          <w:color w:val="1A1A1A"/>
          <w:sz w:val="22"/>
          <w:szCs w:val="22"/>
        </w:rPr>
        <w:t xml:space="preserve">Module 3 onward: requirements to reach Approved Baseline in sequence, following the same process demonstrated for Modules 1 &amp; 2, as they are brought into a future release.</w:t>
      </w:r>
    </w:p>
    <w:p>
      <w:pPr>
        <w:pStyle w:val="ListParagraph"/>
        <w:numPr>
          <w:ilvl w:val="0"/>
          <w:numId w:val="2"/>
        </w:numPr>
        <w:spacing w:after="80" w:line="280"/>
      </w:pPr>
      <w:r>
        <w:rPr>
          <w:rFonts w:ascii="Calibri" w:cs="Calibri" w:eastAsia="Calibri" w:hAnsi="Calibri"/>
          <w:color w:val="1A1A1A"/>
          <w:sz w:val="22"/>
          <w:szCs w:val="22"/>
        </w:rPr>
        <w:t xml:space="preserve">Final Proposal document: generated only once all module-level documents across all applicable stages are frozen, incorporating the pricing and commercial-terms decisions from Section 6.</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2026-09-15T06:42:09.070Z</dcterms:created>
  <dcterms:modified xsi:type="dcterms:W3CDTF">2026-09-15T06:42:09.071Z</dcterms:modified>
</cp:coreProperties>
</file>

<file path=docProps/custom.xml><?xml version="1.0" encoding="utf-8"?>
<Properties xmlns="http://schemas.openxmlformats.org/officeDocument/2006/custom-properties" xmlns:vt="http://schemas.openxmlformats.org/officeDocument/2006/docPropsVTypes"/>
</file>