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Calibri" w:cs="Calibri" w:eastAsia="Calibri" w:hAnsi="Calibri"/>
          <w:b/>
          <w:bCs/>
          <w:color w:val="C0602A"/>
          <w:spacing w:val="20"/>
          <w:sz w:val="32"/>
          <w:szCs w:val="32"/>
        </w:rPr>
        <w:t xml:space="preserve">PHONEME HR SUITE</w:t>
      </w:r>
    </w:p>
    <w:p>
      <w:pPr>
        <w:spacing w:after="100"/>
        <w:jc w:val="center"/>
      </w:pPr>
      <w:r>
        <w:rPr>
          <w:rFonts w:ascii="Calibri" w:cs="Calibri" w:eastAsia="Calibri" w:hAnsi="Calibri"/>
          <w:b/>
          <w:bCs/>
          <w:color w:val="1F3552"/>
          <w:sz w:val="56"/>
          <w:szCs w:val="56"/>
        </w:rPr>
        <w:t xml:space="preserve">Candidate Search to Onboarding Module</w:t>
      </w:r>
    </w:p>
    <w:p>
      <w:pPr>
        <w:spacing w:after="600"/>
        <w:jc w:val="center"/>
      </w:pPr>
      <w:r>
        <w:rPr>
          <w:rFonts w:ascii="Calibri" w:cs="Calibri" w:eastAsia="Calibri" w:hAnsi="Calibri"/>
          <w:color w:val="5B6470"/>
          <w:sz w:val="26"/>
          <w:szCs w:val="26"/>
        </w:rPr>
        <w:t xml:space="preserve">Business Requirements Document (BRD) &amp; Product Requirements Document (PRD)</w:t>
      </w:r>
    </w:p>
    <w:p>
      <w:pPr>
        <w:spacing w:after="1600"/>
      </w:pPr>
    </w:p>
    <w:p>
      <w:pPr>
        <w:spacing w:after="60"/>
        <w:jc w:val="center"/>
      </w:pPr>
      <w:r>
        <w:rPr>
          <w:rFonts w:ascii="Calibri" w:cs="Calibri" w:eastAsia="Calibri" w:hAnsi="Calibri"/>
          <w:color w:val="333333"/>
          <w:sz w:val="22"/>
          <w:szCs w:val="22"/>
        </w:rPr>
        <w:t xml:space="preserve">Prepared for: Phoneme Solutions Pvt. Ltd.</w:t>
      </w:r>
    </w:p>
    <w:p>
      <w:pPr>
        <w:spacing w:after="60"/>
        <w:jc w:val="center"/>
      </w:pPr>
      <w:r>
        <w:rPr>
          <w:rFonts w:ascii="Calibri" w:cs="Calibri" w:eastAsia="Calibri" w:hAnsi="Calibri"/>
          <w:color w:val="333333"/>
          <w:sz w:val="22"/>
          <w:szCs w:val="22"/>
        </w:rPr>
        <w:t xml:space="preserve">Prepared by: Anuj — Product &amp; Engineering</w:t>
      </w:r>
    </w:p>
    <w:p>
      <w:pPr>
        <w:spacing w:after="60"/>
        <w:jc w:val="center"/>
      </w:pPr>
      <w:r>
        <w:rPr>
          <w:rFonts w:ascii="Calibri" w:cs="Calibri" w:eastAsia="Calibri" w:hAnsi="Calibri"/>
          <w:color w:val="333333"/>
          <w:sz w:val="22"/>
          <w:szCs w:val="22"/>
        </w:rPr>
        <w:t xml:space="preserve">Version: 0.1 (Draft for review)</w:t>
      </w:r>
    </w:p>
    <w:p>
      <w:pPr>
        <w:spacing w:after="60"/>
        <w:jc w:val="center"/>
      </w:pPr>
      <w:r>
        <w:rPr>
          <w:rFonts w:ascii="Calibri" w:cs="Calibri" w:eastAsia="Calibri" w:hAnsi="Calibri"/>
          <w:color w:val="333333"/>
          <w:sz w:val="22"/>
          <w:szCs w:val="22"/>
        </w:rPr>
        <w:t xml:space="preserve">Date: September 3, 2026</w:t>
      </w:r>
    </w:p>
    <w:p>
      <w:pPr>
        <w:spacing w:after="60"/>
        <w:jc w:val="center"/>
      </w:pPr>
      <w:r>
        <w:rPr>
          <w:rFonts w:ascii="Calibri" w:cs="Calibri" w:eastAsia="Calibri" w:hAnsi="Calibri"/>
          <w:i/>
          <w:iCs/>
          <w:color w:val="5B6470"/>
          <w:sz w:val="20"/>
          <w:szCs w:val="20"/>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pBdr>
          <w:bottom w:val="single" w:color="1F3552" w:sz="6" w:space="4"/>
        </w:pBdr>
        <w:spacing w:after="160" w:before="360"/>
      </w:pPr>
      <w:r>
        <w:rPr>
          <w:rFonts w:ascii="Calibri" w:cs="Calibri" w:eastAsia="Calibri" w:hAnsi="Calibri"/>
          <w:b/>
          <w:bCs/>
          <w:color w:val="1F3552"/>
          <w:sz w:val="30"/>
          <w:szCs w:val="30"/>
        </w:rPr>
        <w:t xml:space="preserve">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Field</w:t>
            </w:r>
          </w:p>
        </w:tc>
        <w:tc>
          <w:tcPr>
            <w:tcW w:type="dxa" w:w="68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Value</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Document title</w:t>
            </w:r>
          </w:p>
        </w:tc>
        <w:tc>
          <w:tcPr>
            <w:tcW w:type="dxa" w:w="6800"/>
            <w:tcMar>
              <w:top w:type="dxa" w:w="80"/>
              <w:left w:type="dxa" w:w="100"/>
              <w:bottom w:type="dxa" w:w="80"/>
              <w:right w:type="dxa" w:w="100"/>
            </w:tcMar>
          </w:tcPr>
          <w:p>
            <w:pPr>
              <w:spacing w:after="40"/>
            </w:pPr>
            <w:r>
              <w:rPr>
                <w:rFonts w:ascii="Calibri" w:cs="Calibri" w:eastAsia="Calibri" w:hAnsi="Calibri"/>
                <w:sz w:val="19"/>
                <w:szCs w:val="19"/>
              </w:rPr>
              <w:t xml:space="preserve">Candidate Search to Onboarding Module — BRD &amp; PRD</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Product</w:t>
            </w:r>
          </w:p>
        </w:tc>
        <w:tc>
          <w:tcPr>
            <w:tcW w:type="dxa" w:w="6800"/>
            <w:tcMar>
              <w:top w:type="dxa" w:w="80"/>
              <w:left w:type="dxa" w:w="100"/>
              <w:bottom w:type="dxa" w:w="80"/>
              <w:right w:type="dxa" w:w="100"/>
            </w:tcMar>
          </w:tcPr>
          <w:p>
            <w:pPr>
              <w:spacing w:after="40"/>
            </w:pPr>
            <w:r>
              <w:rPr>
                <w:rFonts w:ascii="Calibri" w:cs="Calibri" w:eastAsia="Calibri" w:hAnsi="Calibri"/>
                <w:sz w:val="19"/>
                <w:szCs w:val="19"/>
              </w:rPr>
              <w:t xml:space="preserve">Phoneme HR Suite (working name)</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Owner</w:t>
            </w:r>
          </w:p>
        </w:tc>
        <w:tc>
          <w:tcPr>
            <w:tcW w:type="dxa" w:w="6800"/>
            <w:tcMar>
              <w:top w:type="dxa" w:w="80"/>
              <w:left w:type="dxa" w:w="100"/>
              <w:bottom w:type="dxa" w:w="80"/>
              <w:right w:type="dxa" w:w="100"/>
            </w:tcMar>
          </w:tcPr>
          <w:p>
            <w:pPr>
              <w:spacing w:after="40"/>
            </w:pPr>
            <w:r>
              <w:rPr>
                <w:rFonts w:ascii="Calibri" w:cs="Calibri" w:eastAsia="Calibri" w:hAnsi="Calibri"/>
                <w:sz w:val="19"/>
                <w:szCs w:val="19"/>
              </w:rPr>
              <w:t xml:space="preserve">Anuj</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Status</w:t>
            </w:r>
          </w:p>
        </w:tc>
        <w:tc>
          <w:tcPr>
            <w:tcW w:type="dxa" w:w="6800"/>
            <w:tcMar>
              <w:top w:type="dxa" w:w="80"/>
              <w:left w:type="dxa" w:w="100"/>
              <w:bottom w:type="dxa" w:w="80"/>
              <w:right w:type="dxa" w:w="100"/>
            </w:tcMar>
          </w:tcPr>
          <w:p>
            <w:pPr>
              <w:spacing w:after="40"/>
            </w:pPr>
            <w:r>
              <w:rPr>
                <w:rFonts w:ascii="Calibri" w:cs="Calibri" w:eastAsia="Calibri" w:hAnsi="Calibri"/>
                <w:sz w:val="19"/>
                <w:szCs w:val="19"/>
              </w:rPr>
              <w:t xml:space="preserve">Draft — pending stakeholder review and sign-off</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Version</w:t>
            </w:r>
          </w:p>
        </w:tc>
        <w:tc>
          <w:tcPr>
            <w:tcW w:type="dxa" w:w="6800"/>
            <w:tcMar>
              <w:top w:type="dxa" w:w="80"/>
              <w:left w:type="dxa" w:w="100"/>
              <w:bottom w:type="dxa" w:w="80"/>
              <w:right w:type="dxa" w:w="100"/>
            </w:tcMar>
          </w:tcPr>
          <w:p>
            <w:pPr>
              <w:spacing w:after="40"/>
            </w:pPr>
            <w:r>
              <w:rPr>
                <w:rFonts w:ascii="Calibri" w:cs="Calibri" w:eastAsia="Calibri" w:hAnsi="Calibri"/>
                <w:sz w:val="19"/>
                <w:szCs w:val="19"/>
              </w:rPr>
              <w:t xml:space="preserve">0.1</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Next review</w:t>
            </w:r>
          </w:p>
        </w:tc>
        <w:tc>
          <w:tcPr>
            <w:tcW w:type="dxa" w:w="6800"/>
            <w:tcMar>
              <w:top w:type="dxa" w:w="80"/>
              <w:left w:type="dxa" w:w="100"/>
              <w:bottom w:type="dxa" w:w="80"/>
              <w:right w:type="dxa" w:w="100"/>
            </w:tcMar>
          </w:tcPr>
          <w:p>
            <w:pPr>
              <w:spacing w:after="40"/>
            </w:pPr>
            <w:r>
              <w:rPr>
                <w:rFonts w:ascii="Calibri" w:cs="Calibri" w:eastAsia="Calibri" w:hAnsi="Calibri"/>
                <w:sz w:val="19"/>
                <w:szCs w:val="19"/>
              </w:rPr>
              <w:t xml:space="preserve">After first stakeholder walkthrough</w:t>
            </w:r>
          </w:p>
        </w:tc>
      </w:tr>
    </w:tbl>
    <w:p>
      <w:pPr>
        <w:spacing w:after="160"/>
      </w:pPr>
    </w:p>
    <w:p>
      <w:pPr>
        <w:pStyle w:val="Heading3"/>
        <w:spacing w:after="100" w:before="200"/>
      </w:pPr>
      <w:r>
        <w:rPr>
          <w:rFonts w:ascii="Calibri" w:cs="Calibri" w:eastAsia="Calibri" w:hAnsi="Calibri"/>
          <w:b/>
          <w:bCs/>
          <w:color w:val="C0602A"/>
          <w:sz w:val="21"/>
          <w:szCs w:val="21"/>
        </w:rPr>
        <w:t xml:space="preserve">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200"/>
        <w:gridCol w:w="3400"/>
      </w:tblGrid>
      <w:tr>
        <w:trPr>
          <w:tblHeader/>
        </w:trPr>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Version</w:t>
            </w:r>
          </w:p>
        </w:tc>
        <w:tc>
          <w:tcPr>
            <w:tcW w:type="dxa" w:w="1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Date</w:t>
            </w:r>
          </w:p>
        </w:tc>
        <w:tc>
          <w:tcPr>
            <w:tcW w:type="dxa" w:w="3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Author</w:t>
            </w:r>
          </w:p>
        </w:tc>
        <w:tc>
          <w:tcPr>
            <w:tcW w:type="dxa" w:w="3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Summary of changes</w:t>
            </w:r>
          </w:p>
        </w:tc>
      </w:tr>
      <w:tr>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0.1</w:t>
            </w:r>
          </w:p>
        </w:tc>
        <w:tc>
          <w:tcPr>
            <w:tcW w:type="dxa" w:w="1600"/>
            <w:tcMar>
              <w:top w:type="dxa" w:w="80"/>
              <w:left w:type="dxa" w:w="100"/>
              <w:bottom w:type="dxa" w:w="80"/>
              <w:right w:type="dxa" w:w="100"/>
            </w:tcMar>
          </w:tcPr>
          <w:p>
            <w:pPr>
              <w:spacing w:after="40"/>
            </w:pPr>
            <w:r>
              <w:rPr>
                <w:rFonts w:ascii="Calibri" w:cs="Calibri" w:eastAsia="Calibri" w:hAnsi="Calibri"/>
                <w:sz w:val="19"/>
                <w:szCs w:val="19"/>
              </w:rPr>
              <w:t xml:space="preserve">03-Sep-2026</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Anuj / Claude (drafting support)</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Initial draft for internal review</w:t>
            </w:r>
          </w:p>
        </w:tc>
      </w:tr>
    </w:tbl>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How to Use This Document</w:t>
      </w:r>
    </w:p>
    <w:p>
      <w:pPr>
        <w:spacing w:after="160" w:line="300"/>
      </w:pPr>
      <w:r>
        <w:rPr>
          <w:rFonts w:ascii="Calibri" w:cs="Calibri" w:eastAsia="Calibri" w:hAnsi="Calibri"/>
          <w:color w:val="222222"/>
          <w:sz w:val="21"/>
          <w:szCs w:val="21"/>
        </w:rPr>
        <w:t xml:space="preserve">This document is deliberately split into two linked halves. Section 2 is the Business Requirements Document (BRD): it answers why this product should exist, who it is for, and how success will be measured — the material a founder, investor, or business stakeholder needs to sign off on before engineering starts. Sections 3 onward form the Product Requirements Document (PRD): the feature-level breakdown, user roles, functional and non-functional requirements, data model, and architecture recommendation that engineering and design will build from.</w:t>
      </w:r>
    </w:p>
    <w:p>
      <w:pPr>
        <w:spacing w:after="160" w:line="300"/>
      </w:pPr>
      <w:r>
        <w:rPr>
          <w:rFonts w:ascii="Calibri" w:cs="Calibri" w:eastAsia="Calibri" w:hAnsi="Calibri"/>
          <w:color w:val="222222"/>
          <w:sz w:val="21"/>
          <w:szCs w:val="21"/>
        </w:rPr>
        <w:t xml:space="preserve">Treat this as a living draft, not a spec frozen in stone. The intent of this pass is to get every stakeholder looking at the same list of features and the same scope boundary, so that disagreements surface now — on paper — rather than mid-sprint. Section 9 (SDLC Roadmap) lays out exactly how this document turns into a shippable MVP, and Section 10 lists the specific decisions that still need a yes/no before requirements can be considered frozen.</w:t>
      </w:r>
    </w:p>
    <w:p>
      <w:pPr>
        <w:pStyle w:val="Heading1"/>
        <w:pBdr>
          <w:bottom w:val="single" w:color="1F3552" w:sz="6" w:space="4"/>
        </w:pBdr>
        <w:spacing w:after="160" w:before="360"/>
      </w:pPr>
      <w:r>
        <w:rPr>
          <w:rFonts w:ascii="Calibri" w:cs="Calibri" w:eastAsia="Calibri" w:hAnsi="Calibri"/>
          <w:b/>
          <w:bCs/>
          <w:color w:val="1F3552"/>
          <w:sz w:val="30"/>
          <w:szCs w:val="30"/>
        </w:rPr>
        <w:t xml:space="preserve">1. Executive Summary</w:t>
      </w:r>
    </w:p>
    <w:p>
      <w:pPr>
        <w:spacing w:after="160" w:line="300"/>
      </w:pPr>
      <w:r>
        <w:rPr>
          <w:rFonts w:ascii="Calibri" w:cs="Calibri" w:eastAsia="Calibri" w:hAnsi="Calibri"/>
          <w:color w:val="222222"/>
          <w:sz w:val="21"/>
          <w:szCs w:val="21"/>
        </w:rPr>
        <w:t xml:space="preserve">Phoneme is building a B2B, multi-tenant SaaS HR module that automates the full talent lifecycle from candidate search through onboarding completion. The product is aimed at small-to-mid-size companies (50–2,000 employees) and staffing/recruitment agencies in India and internationally, who today stitch together spreadsheets, email threads, and 2–3 disconnected point tools (job boards, a scheduling tool, a document e-sign tool) to hire and onboard people.</w:t>
      </w:r>
    </w:p>
    <w:p>
      <w:pPr>
        <w:spacing w:after="160" w:line="300"/>
      </w:pPr>
      <w:r>
        <w:rPr>
          <w:rFonts w:ascii="Calibri" w:cs="Calibri" w:eastAsia="Calibri" w:hAnsi="Calibri"/>
          <w:color w:val="222222"/>
          <w:sz w:val="21"/>
          <w:szCs w:val="21"/>
        </w:rPr>
        <w:t xml:space="preserve">The module covers seven connected stages — job requisition, candidate sourcing/search, screening &amp; shortlisting, interview scheduling, offer management, background verification, and onboarding — unified under one candidate record, one audit trail, and one set of role-based permissions per tenant company. It is designed API-first so it can later plug into a broader Phoneme HR suite (payroll, performance, exit management) without rearchitecting.</w:t>
      </w:r>
    </w:p>
    <w:p>
      <w:pPr>
        <w:spacing w:after="120" w:line="280"/>
      </w:pPr>
      <w:r>
        <w:rPr>
          <w:rFonts w:ascii="Calibri" w:cs="Calibri" w:eastAsia="Calibri" w:hAnsi="Calibri"/>
          <w:b/>
          <w:bCs/>
          <w:color w:val="1F3552"/>
          <w:sz w:val="21"/>
          <w:szCs w:val="21"/>
        </w:rPr>
        <w:t xml:space="preserve">Primary business goal: </w:t>
      </w:r>
      <w:r>
        <w:rPr>
          <w:rFonts w:ascii="Calibri" w:cs="Calibri" w:eastAsia="Calibri" w:hAnsi="Calibri"/>
          <w:color w:val="222222"/>
          <w:sz w:val="21"/>
          <w:szCs w:val="21"/>
        </w:rPr>
        <w:t xml:space="preserve">reduce average time-to-hire and time-to-productive for Phoneme's HR SaaS customers by giving recruiters and HR teams a single system of record instead of a patchwork of tools.</w:t>
      </w:r>
    </w:p>
    <w:p>
      <w:pPr>
        <w:spacing w:after="120" w:line="280"/>
      </w:pPr>
      <w:r>
        <w:rPr>
          <w:rFonts w:ascii="Calibri" w:cs="Calibri" w:eastAsia="Calibri" w:hAnsi="Calibri"/>
          <w:b/>
          <w:bCs/>
          <w:color w:val="1F3552"/>
          <w:sz w:val="21"/>
          <w:szCs w:val="21"/>
        </w:rPr>
        <w:t xml:space="preserve">This document's goal: </w:t>
      </w:r>
      <w:r>
        <w:rPr>
          <w:rFonts w:ascii="Calibri" w:cs="Calibri" w:eastAsia="Calibri" w:hAnsi="Calibri"/>
          <w:color w:val="222222"/>
          <w:sz w:val="21"/>
          <w:szCs w:val="21"/>
        </w:rPr>
        <w:t xml:space="preserve">freeze the scope, feature list, and non-functional requirements for a buildable MVP, and hand engineering a clear starting brief.</w:t>
      </w:r>
    </w:p>
    <w:p>
      <w:pPr>
        <w:pStyle w:val="Heading1"/>
        <w:pBdr>
          <w:bottom w:val="single" w:color="1F3552" w:sz="6" w:space="4"/>
        </w:pBdr>
        <w:spacing w:after="160" w:before="360"/>
      </w:pPr>
      <w:r>
        <w:rPr>
          <w:rFonts w:ascii="Calibri" w:cs="Calibri" w:eastAsia="Calibri" w:hAnsi="Calibri"/>
          <w:b/>
          <w:bCs/>
          <w:color w:val="1F3552"/>
          <w:sz w:val="30"/>
          <w:szCs w:val="30"/>
        </w:rPr>
        <w:t xml:space="preserve">2. Business Requirements (BRD)</w:t>
      </w:r>
    </w:p>
    <w:p>
      <w:pPr>
        <w:pStyle w:val="Heading2"/>
        <w:spacing w:after="120" w:before="280"/>
      </w:pPr>
      <w:r>
        <w:rPr>
          <w:rFonts w:ascii="Calibri" w:cs="Calibri" w:eastAsia="Calibri" w:hAnsi="Calibri"/>
          <w:b/>
          <w:bCs/>
          <w:color w:val="1F3552"/>
          <w:sz w:val="24"/>
          <w:szCs w:val="24"/>
        </w:rPr>
        <w:t xml:space="preserve">2.1 Problem Statement</w:t>
      </w:r>
    </w:p>
    <w:p>
      <w:pPr>
        <w:spacing w:after="160" w:line="300"/>
      </w:pPr>
      <w:r>
        <w:rPr>
          <w:rFonts w:ascii="Calibri" w:cs="Calibri" w:eastAsia="Calibri" w:hAnsi="Calibri"/>
          <w:color w:val="222222"/>
          <w:sz w:val="21"/>
          <w:szCs w:val="21"/>
        </w:rPr>
        <w:t xml:space="preserve">HR and talent teams at small-to-mid-size companies currently run recruitment and onboarding across a disconnected set of tools: spreadsheets or free ATS tiers for pipeline tracking, WhatsApp/email for interview coordination, a separate e-sign tool for offer letters, and manual checklists for onboarding. This produces four recurring problems that Phoneme's customers have described:</w:t>
      </w:r>
    </w:p>
    <w:p>
      <w:pPr>
        <w:pStyle w:val="ListParagraph"/>
        <w:numPr>
          <w:ilvl w:val="0"/>
          <w:numId w:val="2"/>
        </w:numPr>
        <w:spacing w:after="80" w:line="280"/>
      </w:pPr>
      <w:r>
        <w:rPr>
          <w:rFonts w:ascii="Calibri" w:cs="Calibri" w:eastAsia="Calibri" w:hAnsi="Calibri"/>
          <w:color w:val="222222"/>
          <w:sz w:val="21"/>
          <w:szCs w:val="21"/>
        </w:rPr>
        <w:t xml:space="preserve">No single source of truth — candidate status lives in someone's inbox, not a system, so pipeline visibility depends on one person being reachable.</w:t>
      </w:r>
    </w:p>
    <w:p>
      <w:pPr>
        <w:pStyle w:val="ListParagraph"/>
        <w:numPr>
          <w:ilvl w:val="0"/>
          <w:numId w:val="2"/>
        </w:numPr>
        <w:spacing w:after="80" w:line="280"/>
      </w:pPr>
      <w:r>
        <w:rPr>
          <w:rFonts w:ascii="Calibri" w:cs="Calibri" w:eastAsia="Calibri" w:hAnsi="Calibri"/>
          <w:color w:val="222222"/>
          <w:sz w:val="21"/>
          <w:szCs w:val="21"/>
        </w:rPr>
        <w:t xml:space="preserve">Slow, manual handoffs — the handoff from “offer accepted” to “first day ready” (IT provisioning, documentation, induction scheduling) is chased manually and frequently slips.</w:t>
      </w:r>
    </w:p>
    <w:p>
      <w:pPr>
        <w:pStyle w:val="ListParagraph"/>
        <w:numPr>
          <w:ilvl w:val="0"/>
          <w:numId w:val="2"/>
        </w:numPr>
        <w:spacing w:after="80" w:line="280"/>
      </w:pPr>
      <w:r>
        <w:rPr>
          <w:rFonts w:ascii="Calibri" w:cs="Calibri" w:eastAsia="Calibri" w:hAnsi="Calibri"/>
          <w:color w:val="222222"/>
          <w:sz w:val="21"/>
          <w:szCs w:val="21"/>
        </w:rPr>
        <w:t xml:space="preserve">Compliance exposure — candidate PII (resumes, ID documents, background-check results) is scattered across personal inboxes and shared drives with no consistent retention or consent trail, a growing risk under India's DPDP Act, 2023.</w:t>
      </w:r>
    </w:p>
    <w:p>
      <w:pPr>
        <w:pStyle w:val="ListParagraph"/>
        <w:numPr>
          <w:ilvl w:val="0"/>
          <w:numId w:val="2"/>
        </w:numPr>
        <w:spacing w:after="80" w:line="280"/>
      </w:pPr>
      <w:r>
        <w:rPr>
          <w:rFonts w:ascii="Calibri" w:cs="Calibri" w:eastAsia="Calibri" w:hAnsi="Calibri"/>
          <w:color w:val="222222"/>
          <w:sz w:val="21"/>
          <w:szCs w:val="21"/>
        </w:rPr>
        <w:t xml:space="preserve">No hiring analytics — without structured data, leadership cannot answer basic questions like time-to-hire by role, source effectiveness, or offer-acceptance rate.</w:t>
      </w:r>
    </w:p>
    <w:p>
      <w:pPr>
        <w:pStyle w:val="Heading2"/>
        <w:spacing w:after="120" w:before="280"/>
      </w:pPr>
      <w:r>
        <w:rPr>
          <w:rFonts w:ascii="Calibri" w:cs="Calibri" w:eastAsia="Calibri" w:hAnsi="Calibri"/>
          <w:b/>
          <w:bCs/>
          <w:color w:val="1F3552"/>
          <w:sz w:val="24"/>
          <w:szCs w:val="24"/>
        </w:rPr>
        <w:t xml:space="preserve">2.2 Business Objectives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rPr>
          <w:tblHeader/>
        </w:trPr>
        <w:tc>
          <w:tcPr>
            <w:tcW w:type="dxa" w:w="20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Objective</w:t>
            </w:r>
          </w:p>
        </w:tc>
        <w:tc>
          <w:tcPr>
            <w:tcW w:type="dxa" w:w="3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Why it matters</w:t>
            </w:r>
          </w:p>
        </w:tc>
        <w:tc>
          <w:tcPr>
            <w:tcW w:type="dxa" w:w="38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How this product addresses it</w:t>
            </w:r>
          </w:p>
        </w:tc>
      </w:tr>
      <w:tr>
        <w:tc>
          <w:tcPr>
            <w:tcW w:type="dxa" w:w="2000"/>
            <w:tcMar>
              <w:top w:type="dxa" w:w="80"/>
              <w:left w:type="dxa" w:w="100"/>
              <w:bottom w:type="dxa" w:w="80"/>
              <w:right w:type="dxa" w:w="100"/>
            </w:tcMar>
          </w:tcPr>
          <w:p>
            <w:pPr>
              <w:spacing w:after="40"/>
            </w:pPr>
            <w:r>
              <w:rPr>
                <w:rFonts w:ascii="Calibri" w:cs="Calibri" w:eastAsia="Calibri" w:hAnsi="Calibri"/>
                <w:sz w:val="19"/>
                <w:szCs w:val="19"/>
              </w:rPr>
              <w:t xml:space="preserve">Reduce time-to-hire</w:t>
            </w:r>
          </w:p>
        </w:tc>
        <w:tc>
          <w:tcPr>
            <w:tcW w:type="dxa" w:w="3600"/>
            <w:tcMar>
              <w:top w:type="dxa" w:w="80"/>
              <w:left w:type="dxa" w:w="100"/>
              <w:bottom w:type="dxa" w:w="80"/>
              <w:right w:type="dxa" w:w="100"/>
            </w:tcMar>
          </w:tcPr>
          <w:p>
            <w:pPr>
              <w:spacing w:after="40"/>
            </w:pPr>
            <w:r>
              <w:rPr>
                <w:rFonts w:ascii="Calibri" w:cs="Calibri" w:eastAsia="Calibri" w:hAnsi="Calibri"/>
                <w:sz w:val="19"/>
                <w:szCs w:val="19"/>
              </w:rPr>
              <w:t xml:space="preserve">Every extra week a requisition stays open has a direct cost to the hiring company</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Single pipeline with automated stage transitions, scheduling, and reminders removes manual chase-up delay</w:t>
            </w:r>
          </w:p>
        </w:tc>
      </w:tr>
      <w:tr>
        <w:tc>
          <w:tcPr>
            <w:tcW w:type="dxa" w:w="2000"/>
            <w:tcMar>
              <w:top w:type="dxa" w:w="80"/>
              <w:left w:type="dxa" w:w="100"/>
              <w:bottom w:type="dxa" w:w="80"/>
              <w:right w:type="dxa" w:w="100"/>
            </w:tcMar>
          </w:tcPr>
          <w:p>
            <w:pPr>
              <w:spacing w:after="40"/>
            </w:pPr>
            <w:r>
              <w:rPr>
                <w:rFonts w:ascii="Calibri" w:cs="Calibri" w:eastAsia="Calibri" w:hAnsi="Calibri"/>
                <w:sz w:val="19"/>
                <w:szCs w:val="19"/>
              </w:rPr>
              <w:t xml:space="preserve">Reduce time-to-productive</w:t>
            </w:r>
          </w:p>
        </w:tc>
        <w:tc>
          <w:tcPr>
            <w:tcW w:type="dxa" w:w="3600"/>
            <w:tcMar>
              <w:top w:type="dxa" w:w="80"/>
              <w:left w:type="dxa" w:w="100"/>
              <w:bottom w:type="dxa" w:w="80"/>
              <w:right w:type="dxa" w:w="100"/>
            </w:tcMar>
          </w:tcPr>
          <w:p>
            <w:pPr>
              <w:spacing w:after="40"/>
            </w:pPr>
            <w:r>
              <w:rPr>
                <w:rFonts w:ascii="Calibri" w:cs="Calibri" w:eastAsia="Calibri" w:hAnsi="Calibri"/>
                <w:sz w:val="19"/>
                <w:szCs w:val="19"/>
              </w:rPr>
              <w:t xml:space="preserve">A new hire who isn't provisioned and inducted on day one is a lost week of productivity</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Automated onboarding checklists and task assignment starting the moment an offer is accepted</w:t>
            </w:r>
          </w:p>
        </w:tc>
      </w:tr>
      <w:tr>
        <w:tc>
          <w:tcPr>
            <w:tcW w:type="dxa" w:w="2000"/>
            <w:tcMar>
              <w:top w:type="dxa" w:w="80"/>
              <w:left w:type="dxa" w:w="100"/>
              <w:bottom w:type="dxa" w:w="80"/>
              <w:right w:type="dxa" w:w="100"/>
            </w:tcMar>
          </w:tcPr>
          <w:p>
            <w:pPr>
              <w:spacing w:after="40"/>
            </w:pPr>
            <w:r>
              <w:rPr>
                <w:rFonts w:ascii="Calibri" w:cs="Calibri" w:eastAsia="Calibri" w:hAnsi="Calibri"/>
                <w:sz w:val="19"/>
                <w:szCs w:val="19"/>
              </w:rPr>
              <w:t xml:space="preserve">Reduce compliance risk</w:t>
            </w:r>
          </w:p>
        </w:tc>
        <w:tc>
          <w:tcPr>
            <w:tcW w:type="dxa" w:w="3600"/>
            <w:tcMar>
              <w:top w:type="dxa" w:w="80"/>
              <w:left w:type="dxa" w:w="100"/>
              <w:bottom w:type="dxa" w:w="80"/>
              <w:right w:type="dxa" w:w="100"/>
            </w:tcMar>
          </w:tcPr>
          <w:p>
            <w:pPr>
              <w:spacing w:after="40"/>
            </w:pPr>
            <w:r>
              <w:rPr>
                <w:rFonts w:ascii="Calibri" w:cs="Calibri" w:eastAsia="Calibri" w:hAnsi="Calibri"/>
                <w:sz w:val="19"/>
                <w:szCs w:val="19"/>
              </w:rPr>
              <w:t xml:space="preserve">DPDP Act 2023 exposure on candidate/employee PII; enterprise customers will ask for this in due diligence</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Centralised, access-controlled candidate records with consent capture, retention policy, and audit trail</w:t>
            </w:r>
          </w:p>
        </w:tc>
      </w:tr>
      <w:tr>
        <w:tc>
          <w:tcPr>
            <w:tcW w:type="dxa" w:w="2000"/>
            <w:tcMar>
              <w:top w:type="dxa" w:w="80"/>
              <w:left w:type="dxa" w:w="100"/>
              <w:bottom w:type="dxa" w:w="80"/>
              <w:right w:type="dxa" w:w="100"/>
            </w:tcMar>
          </w:tcPr>
          <w:p>
            <w:pPr>
              <w:spacing w:after="40"/>
            </w:pPr>
            <w:r>
              <w:rPr>
                <w:rFonts w:ascii="Calibri" w:cs="Calibri" w:eastAsia="Calibri" w:hAnsi="Calibri"/>
                <w:sz w:val="19"/>
                <w:szCs w:val="19"/>
              </w:rPr>
              <w:t xml:space="preserve">Create a defensible data moat</w:t>
            </w:r>
          </w:p>
        </w:tc>
        <w:tc>
          <w:tcPr>
            <w:tcW w:type="dxa" w:w="3600"/>
            <w:tcMar>
              <w:top w:type="dxa" w:w="80"/>
              <w:left w:type="dxa" w:w="100"/>
              <w:bottom w:type="dxa" w:w="80"/>
              <w:right w:type="dxa" w:w="100"/>
            </w:tcMar>
          </w:tcPr>
          <w:p>
            <w:pPr>
              <w:spacing w:after="40"/>
            </w:pPr>
            <w:r>
              <w:rPr>
                <w:rFonts w:ascii="Calibri" w:cs="Calibri" w:eastAsia="Calibri" w:hAnsi="Calibri"/>
                <w:sz w:val="19"/>
                <w:szCs w:val="19"/>
              </w:rPr>
              <w:t xml:space="preserve">Structured hiring data becomes the training/benchmarking data for future AI matching features</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Every pipeline event is captured as structured data from day one, not free text</w:t>
            </w:r>
          </w:p>
        </w:tc>
      </w:tr>
      <w:tr>
        <w:tc>
          <w:tcPr>
            <w:tcW w:type="dxa" w:w="2000"/>
            <w:tcMar>
              <w:top w:type="dxa" w:w="80"/>
              <w:left w:type="dxa" w:w="100"/>
              <w:bottom w:type="dxa" w:w="80"/>
              <w:right w:type="dxa" w:w="100"/>
            </w:tcMar>
          </w:tcPr>
          <w:p>
            <w:pPr>
              <w:spacing w:after="40"/>
            </w:pPr>
            <w:r>
              <w:rPr>
                <w:rFonts w:ascii="Calibri" w:cs="Calibri" w:eastAsia="Calibri" w:hAnsi="Calibri"/>
                <w:sz w:val="19"/>
                <w:szCs w:val="19"/>
              </w:rPr>
              <w:t xml:space="preserve">Land-and-expand within accounts</w:t>
            </w:r>
          </w:p>
        </w:tc>
        <w:tc>
          <w:tcPr>
            <w:tcW w:type="dxa" w:w="3600"/>
            <w:tcMar>
              <w:top w:type="dxa" w:w="80"/>
              <w:left w:type="dxa" w:w="100"/>
              <w:bottom w:type="dxa" w:w="80"/>
              <w:right w:type="dxa" w:w="100"/>
            </w:tcMar>
          </w:tcPr>
          <w:p>
            <w:pPr>
              <w:spacing w:after="40"/>
            </w:pPr>
            <w:r>
              <w:rPr>
                <w:rFonts w:ascii="Calibri" w:cs="Calibri" w:eastAsia="Calibri" w:hAnsi="Calibri"/>
                <w:sz w:val="19"/>
                <w:szCs w:val="19"/>
              </w:rPr>
              <w:t xml:space="preserve">HR module is the highest-frequency entry point into a company's HR stack</w:t>
            </w:r>
          </w:p>
        </w:tc>
        <w:tc>
          <w:tcPr>
            <w:tcW w:type="dxa" w:w="3800"/>
            <w:tcMar>
              <w:top w:type="dxa" w:w="80"/>
              <w:left w:type="dxa" w:w="100"/>
              <w:bottom w:type="dxa" w:w="80"/>
              <w:right w:type="dxa" w:w="100"/>
            </w:tcMar>
          </w:tcPr>
          <w:p>
            <w:pPr>
              <w:spacing w:after="40"/>
            </w:pPr>
            <w:r>
              <w:rPr>
                <w:rFonts w:ascii="Calibri" w:cs="Calibri" w:eastAsia="Calibri" w:hAnsi="Calibri"/>
                <w:sz w:val="19"/>
                <w:szCs w:val="19"/>
              </w:rPr>
              <w:t xml:space="preserve">Design as the first module of a larger Phoneme HR suite (payroll, performance, exit) sharing one tenant and employee record</w:t>
            </w:r>
          </w:p>
        </w:tc>
      </w:tr>
    </w:tbl>
    <w:p>
      <w:pPr>
        <w:pStyle w:val="Heading2"/>
        <w:spacing w:after="120" w:before="280"/>
      </w:pPr>
      <w:r>
        <w:rPr>
          <w:rFonts w:ascii="Calibri" w:cs="Calibri" w:eastAsia="Calibri" w:hAnsi="Calibri"/>
          <w:b/>
          <w:bCs/>
          <w:color w:val="1F3552"/>
          <w:sz w:val="24"/>
          <w:szCs w:val="24"/>
        </w:rPr>
        <w:t xml:space="preserve">2.3 Target Market &amp; Buyer Personas</w:t>
      </w:r>
    </w:p>
    <w:p>
      <w:pPr>
        <w:pStyle w:val="Heading3"/>
        <w:spacing w:after="100" w:before="200"/>
      </w:pPr>
      <w:r>
        <w:rPr>
          <w:rFonts w:ascii="Calibri" w:cs="Calibri" w:eastAsia="Calibri" w:hAnsi="Calibri"/>
          <w:b/>
          <w:bCs/>
          <w:color w:val="C0602A"/>
          <w:sz w:val="21"/>
          <w:szCs w:val="21"/>
        </w:rPr>
        <w:t xml:space="preserve">Primary target segment</w:t>
      </w:r>
    </w:p>
    <w:p>
      <w:pPr>
        <w:spacing w:after="160" w:line="300"/>
      </w:pPr>
      <w:r>
        <w:rPr>
          <w:rFonts w:ascii="Calibri" w:cs="Calibri" w:eastAsia="Calibri" w:hAnsi="Calibri"/>
          <w:color w:val="222222"/>
          <w:sz w:val="21"/>
          <w:szCs w:val="21"/>
        </w:rPr>
        <w:t xml:space="preserve">B2B SaaS sold to companies with 50–2,000 employees in India first, with an architecture that does not block later international expansion. Two buyer types:</w:t>
      </w:r>
    </w:p>
    <w:p>
      <w:pPr>
        <w:spacing w:after="120" w:line="280"/>
      </w:pPr>
      <w:r>
        <w:rPr>
          <w:rFonts w:ascii="Calibri" w:cs="Calibri" w:eastAsia="Calibri" w:hAnsi="Calibri"/>
          <w:b/>
          <w:bCs/>
          <w:color w:val="1F3552"/>
          <w:sz w:val="21"/>
          <w:szCs w:val="21"/>
        </w:rPr>
        <w:t xml:space="preserve">HR Manager / Talent Acquisition Lead (primary buyer, primary daily user): </w:t>
      </w:r>
      <w:r>
        <w:rPr>
          <w:rFonts w:ascii="Calibri" w:cs="Calibri" w:eastAsia="Calibri" w:hAnsi="Calibri"/>
          <w:color w:val="222222"/>
          <w:sz w:val="21"/>
          <w:szCs w:val="21"/>
        </w:rPr>
        <w:t xml:space="preserve">owns the hiring budget and process; wants fewer tools, faster hiring, and clean audit trails for compliance reviews.</w:t>
      </w:r>
    </w:p>
    <w:p>
      <w:pPr>
        <w:spacing w:after="120" w:line="280"/>
      </w:pPr>
      <w:r>
        <w:rPr>
          <w:rFonts w:ascii="Calibri" w:cs="Calibri" w:eastAsia="Calibri" w:hAnsi="Calibri"/>
          <w:b/>
          <w:bCs/>
          <w:color w:val="1F3552"/>
          <w:sz w:val="21"/>
          <w:szCs w:val="21"/>
        </w:rPr>
        <w:t xml:space="preserve">Recruitment/Staffing Agency Owner (secondary segment): </w:t>
      </w:r>
      <w:r>
        <w:rPr>
          <w:rFonts w:ascii="Calibri" w:cs="Calibri" w:eastAsia="Calibri" w:hAnsi="Calibri"/>
          <w:color w:val="222222"/>
          <w:sz w:val="21"/>
          <w:szCs w:val="21"/>
        </w:rPr>
        <w:t xml:space="preserve">manages hiring pipelines for multiple client companies simultaneously; needs multi-client separation inside one account and candidate database reuse across searches.</w:t>
      </w:r>
    </w:p>
    <w:p>
      <w:pPr>
        <w:pStyle w:val="Heading3"/>
        <w:spacing w:after="100" w:before="200"/>
      </w:pPr>
      <w:r>
        <w:rPr>
          <w:rFonts w:ascii="Calibri" w:cs="Calibri" w:eastAsia="Calibri" w:hAnsi="Calibri"/>
          <w:b/>
          <w:bCs/>
          <w:color w:val="C0602A"/>
          <w:sz w:val="21"/>
          <w:szCs w:val="21"/>
        </w:rPr>
        <w:t xml:space="preserve">Personas who will use the product day-to-day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Persona</w:t>
            </w:r>
          </w:p>
        </w:tc>
        <w:tc>
          <w:tcPr>
            <w:tcW w:type="dxa" w:w="3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Goal</w:t>
            </w:r>
          </w:p>
        </w:tc>
        <w:tc>
          <w:tcPr>
            <w:tcW w:type="dxa" w:w="40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Primary pain today</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Recruiter / TA Specialist</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Fill open roles fast with qualified candidates</w:t>
            </w:r>
          </w:p>
        </w:tc>
        <w:tc>
          <w:tcPr>
            <w:tcW w:type="dxa" w:w="4000"/>
            <w:tcMar>
              <w:top w:type="dxa" w:w="80"/>
              <w:left w:type="dxa" w:w="100"/>
              <w:bottom w:type="dxa" w:w="80"/>
              <w:right w:type="dxa" w:w="100"/>
            </w:tcMar>
          </w:tcPr>
          <w:p>
            <w:pPr>
              <w:spacing w:after="40"/>
            </w:pPr>
            <w:r>
              <w:rPr>
                <w:rFonts w:ascii="Calibri" w:cs="Calibri" w:eastAsia="Calibri" w:hAnsi="Calibri"/>
                <w:sz w:val="19"/>
                <w:szCs w:val="19"/>
              </w:rPr>
              <w:t xml:space="preserve">Manually tracking 30+ candidates per req across spreadsheets and inboxes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Hiring Manager</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Review and decide on shortlisted candidates without chasing recruiters</w:t>
            </w:r>
          </w:p>
        </w:tc>
        <w:tc>
          <w:tcPr>
            <w:tcW w:type="dxa" w:w="4000"/>
            <w:tcMar>
              <w:top w:type="dxa" w:w="80"/>
              <w:left w:type="dxa" w:w="100"/>
              <w:bottom w:type="dxa" w:w="80"/>
              <w:right w:type="dxa" w:w="100"/>
            </w:tcMar>
          </w:tcPr>
          <w:p>
            <w:pPr>
              <w:spacing w:after="40"/>
            </w:pPr>
            <w:r>
              <w:rPr>
                <w:rFonts w:ascii="Calibri" w:cs="Calibri" w:eastAsia="Calibri" w:hAnsi="Calibri"/>
                <w:sz w:val="19"/>
                <w:szCs w:val="19"/>
              </w:rPr>
              <w:t xml:space="preserve">No visibility into pipeline status without pinging the recruiter</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Interview Panelist</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Give structured feedback quickly</w:t>
            </w:r>
          </w:p>
        </w:tc>
        <w:tc>
          <w:tcPr>
            <w:tcW w:type="dxa" w:w="4000"/>
            <w:tcMar>
              <w:top w:type="dxa" w:w="80"/>
              <w:left w:type="dxa" w:w="100"/>
              <w:bottom w:type="dxa" w:w="80"/>
              <w:right w:type="dxa" w:w="100"/>
            </w:tcMar>
          </w:tcPr>
          <w:p>
            <w:pPr>
              <w:spacing w:after="40"/>
            </w:pPr>
            <w:r>
              <w:rPr>
                <w:rFonts w:ascii="Calibri" w:cs="Calibri" w:eastAsia="Calibri" w:hAnsi="Calibri"/>
                <w:sz w:val="19"/>
                <w:szCs w:val="19"/>
              </w:rPr>
              <w:t xml:space="preserve">Feedback given informally over chat, gets lost or is inconsistent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HR Ops / Onboarding Coordinator</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Get a new hire fully set up for day one</w:t>
            </w:r>
          </w:p>
        </w:tc>
        <w:tc>
          <w:tcPr>
            <w:tcW w:type="dxa" w:w="4000"/>
            <w:tcMar>
              <w:top w:type="dxa" w:w="80"/>
              <w:left w:type="dxa" w:w="100"/>
              <w:bottom w:type="dxa" w:w="80"/>
              <w:right w:type="dxa" w:w="100"/>
            </w:tcMar>
          </w:tcPr>
          <w:p>
            <w:pPr>
              <w:spacing w:after="40"/>
            </w:pPr>
            <w:r>
              <w:rPr>
                <w:rFonts w:ascii="Calibri" w:cs="Calibri" w:eastAsia="Calibri" w:hAnsi="Calibri"/>
                <w:sz w:val="19"/>
                <w:szCs w:val="19"/>
              </w:rPr>
              <w:t xml:space="preserve">Manually chasing IT, facilities, and documentation across teams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New Hire (candidate, post-offer)</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Complete onboarding paperwork with minimal friction</w:t>
            </w:r>
          </w:p>
        </w:tc>
        <w:tc>
          <w:tcPr>
            <w:tcW w:type="dxa" w:w="4000"/>
            <w:tcMar>
              <w:top w:type="dxa" w:w="80"/>
              <w:left w:type="dxa" w:w="100"/>
              <w:bottom w:type="dxa" w:w="80"/>
              <w:right w:type="dxa" w:w="100"/>
            </w:tcMar>
          </w:tcPr>
          <w:p>
            <w:pPr>
              <w:spacing w:after="40"/>
            </w:pPr>
            <w:r>
              <w:rPr>
                <w:rFonts w:ascii="Calibri" w:cs="Calibri" w:eastAsia="Calibri" w:hAnsi="Calibri"/>
                <w:sz w:val="19"/>
                <w:szCs w:val="19"/>
              </w:rPr>
              <w:t xml:space="preserve">Emailing scanned documents back and forth, no visibility into what's left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Company Admin (tenant owner)</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Configure the account, manage users, control access</w:t>
            </w:r>
          </w:p>
        </w:tc>
        <w:tc>
          <w:tcPr>
            <w:tcW w:type="dxa" w:w="4000"/>
            <w:tcMar>
              <w:top w:type="dxa" w:w="80"/>
              <w:left w:type="dxa" w:w="100"/>
              <w:bottom w:type="dxa" w:w="80"/>
              <w:right w:type="dxa" w:w="100"/>
            </w:tcMar>
          </w:tcPr>
          <w:p>
            <w:pPr>
              <w:spacing w:after="40"/>
            </w:pPr>
            <w:r>
              <w:rPr>
                <w:rFonts w:ascii="Calibri" w:cs="Calibri" w:eastAsia="Calibri" w:hAnsi="Calibri"/>
                <w:sz w:val="19"/>
                <w:szCs w:val="19"/>
              </w:rPr>
              <w:t xml:space="preserve">N/A — net-new capability</w:t>
            </w:r>
          </w:p>
        </w:tc>
      </w:tr>
    </w:tbl>
    <w:p>
      <w:pPr>
        <w:pStyle w:val="Heading2"/>
        <w:spacing w:after="120" w:before="280"/>
      </w:pPr>
      <w:r>
        <w:rPr>
          <w:rFonts w:ascii="Calibri" w:cs="Calibri" w:eastAsia="Calibri" w:hAnsi="Calibri"/>
          <w:b/>
          <w:bCs/>
          <w:color w:val="1F3552"/>
          <w:sz w:val="24"/>
          <w:szCs w:val="24"/>
        </w:rPr>
        <w:t xml:space="preserve">2.4 Success Metrics</w:t>
      </w:r>
    </w:p>
    <w:p>
      <w:pPr>
        <w:spacing w:after="160" w:line="300"/>
      </w:pPr>
      <w:r>
        <w:rPr>
          <w:rFonts w:ascii="Calibri" w:cs="Calibri" w:eastAsia="Calibri" w:hAnsi="Calibri"/>
          <w:color w:val="222222"/>
          <w:sz w:val="21"/>
          <w:szCs w:val="21"/>
        </w:rPr>
        <w:t xml:space="preserve">These are the metrics this module should be able to report on natively — both as product-usage KPIs for Phoneme and as value metrics the customer sees in their own dashboard:</w:t>
      </w:r>
    </w:p>
    <w:p>
      <w:pPr>
        <w:pStyle w:val="ListParagraph"/>
        <w:numPr>
          <w:ilvl w:val="0"/>
          <w:numId w:val="3"/>
        </w:numPr>
        <w:spacing w:after="80" w:line="280"/>
      </w:pPr>
      <w:r>
        <w:rPr>
          <w:rFonts w:ascii="Calibri" w:cs="Calibri" w:eastAsia="Calibri" w:hAnsi="Calibri"/>
          <w:color w:val="222222"/>
          <w:sz w:val="21"/>
          <w:szCs w:val="21"/>
        </w:rPr>
        <w:t xml:space="preserve">Average time-to-hire (requisition opened → offer accepted), by role and department</w:t>
      </w:r>
    </w:p>
    <w:p>
      <w:pPr>
        <w:pStyle w:val="ListParagraph"/>
        <w:numPr>
          <w:ilvl w:val="0"/>
          <w:numId w:val="3"/>
        </w:numPr>
        <w:spacing w:after="80" w:line="280"/>
      </w:pPr>
      <w:r>
        <w:rPr>
          <w:rFonts w:ascii="Calibri" w:cs="Calibri" w:eastAsia="Calibri" w:hAnsi="Calibri"/>
          <w:color w:val="222222"/>
          <w:sz w:val="21"/>
          <w:szCs w:val="21"/>
        </w:rPr>
        <w:t xml:space="preserve">Average time-to-productive (offer accepted → onboarding checklist 100% complete)</w:t>
      </w:r>
    </w:p>
    <w:p>
      <w:pPr>
        <w:pStyle w:val="ListParagraph"/>
        <w:numPr>
          <w:ilvl w:val="0"/>
          <w:numId w:val="3"/>
        </w:numPr>
        <w:spacing w:after="80" w:line="280"/>
      </w:pPr>
      <w:r>
        <w:rPr>
          <w:rFonts w:ascii="Calibri" w:cs="Calibri" w:eastAsia="Calibri" w:hAnsi="Calibri"/>
          <w:color w:val="222222"/>
          <w:sz w:val="21"/>
          <w:szCs w:val="21"/>
        </w:rPr>
        <w:t xml:space="preserve">Offer-acceptance rate and drop-off rate by pipeline stage</w:t>
      </w:r>
    </w:p>
    <w:p>
      <w:pPr>
        <w:pStyle w:val="ListParagraph"/>
        <w:numPr>
          <w:ilvl w:val="0"/>
          <w:numId w:val="3"/>
        </w:numPr>
        <w:spacing w:after="80" w:line="280"/>
      </w:pPr>
      <w:r>
        <w:rPr>
          <w:rFonts w:ascii="Calibri" w:cs="Calibri" w:eastAsia="Calibri" w:hAnsi="Calibri"/>
          <w:color w:val="222222"/>
          <w:sz w:val="21"/>
          <w:szCs w:val="21"/>
        </w:rPr>
        <w:t xml:space="preserve">Source effectiveness (applications, shortlists, and hires per sourcing channel)</w:t>
      </w:r>
    </w:p>
    <w:p>
      <w:pPr>
        <w:pStyle w:val="ListParagraph"/>
        <w:numPr>
          <w:ilvl w:val="0"/>
          <w:numId w:val="3"/>
        </w:numPr>
        <w:spacing w:after="80" w:line="280"/>
      </w:pPr>
      <w:r>
        <w:rPr>
          <w:rFonts w:ascii="Calibri" w:cs="Calibri" w:eastAsia="Calibri" w:hAnsi="Calibri"/>
          <w:color w:val="222222"/>
          <w:sz w:val="21"/>
          <w:szCs w:val="21"/>
        </w:rPr>
        <w:t xml:space="preserve">Recruiter/tenant activation: % of invited users who complete a hiring cycle within 30 days</w:t>
      </w:r>
    </w:p>
    <w:p>
      <w:pPr>
        <w:pStyle w:val="ListParagraph"/>
        <w:numPr>
          <w:ilvl w:val="0"/>
          <w:numId w:val="3"/>
        </w:numPr>
        <w:spacing w:after="80" w:line="280"/>
      </w:pPr>
      <w:r>
        <w:rPr>
          <w:rFonts w:ascii="Calibri" w:cs="Calibri" w:eastAsia="Calibri" w:hAnsi="Calibri"/>
          <w:color w:val="222222"/>
          <w:sz w:val="21"/>
          <w:szCs w:val="21"/>
        </w:rPr>
        <w:t xml:space="preserve">Data completeness: % of candidate records with consent captured and required documents on file</w:t>
      </w:r>
    </w:p>
    <w:p>
      <w:pPr>
        <w:pStyle w:val="Heading2"/>
        <w:spacing w:after="120" w:before="280"/>
      </w:pPr>
      <w:r>
        <w:rPr>
          <w:rFonts w:ascii="Calibri" w:cs="Calibri" w:eastAsia="Calibri" w:hAnsi="Calibri"/>
          <w:b/>
          <w:bCs/>
          <w:color w:val="1F3552"/>
          <w:sz w:val="24"/>
          <w:szCs w:val="24"/>
        </w:rPr>
        <w:t xml:space="preserve">2.5 Assumptions</w:t>
      </w:r>
    </w:p>
    <w:p>
      <w:pPr>
        <w:pStyle w:val="ListParagraph"/>
        <w:numPr>
          <w:ilvl w:val="0"/>
          <w:numId w:val="3"/>
        </w:numPr>
        <w:spacing w:after="80" w:line="280"/>
      </w:pPr>
      <w:r>
        <w:rPr>
          <w:rFonts w:ascii="Calibri" w:cs="Calibri" w:eastAsia="Calibri" w:hAnsi="Calibri"/>
          <w:color w:val="222222"/>
          <w:sz w:val="21"/>
          <w:szCs w:val="21"/>
        </w:rPr>
        <w:t xml:space="preserve">Tenant companies will primarily hire for full-time and contract roles; complex union/collective-bargaining hiring rules are out of scope for MVP.</w:t>
      </w:r>
    </w:p>
    <w:p>
      <w:pPr>
        <w:pStyle w:val="ListParagraph"/>
        <w:numPr>
          <w:ilvl w:val="0"/>
          <w:numId w:val="3"/>
        </w:numPr>
        <w:spacing w:after="80" w:line="280"/>
      </w:pPr>
      <w:r>
        <w:rPr>
          <w:rFonts w:ascii="Calibri" w:cs="Calibri" w:eastAsia="Calibri" w:hAnsi="Calibri"/>
          <w:color w:val="222222"/>
          <w:sz w:val="21"/>
          <w:szCs w:val="21"/>
        </w:rPr>
        <w:t xml:space="preserve">Each tenant company self-manages its own users and role assignments after initial setup (no Phoneme-managed onboarding per tenant at scale).</w:t>
      </w:r>
    </w:p>
    <w:p>
      <w:pPr>
        <w:pStyle w:val="ListParagraph"/>
        <w:numPr>
          <w:ilvl w:val="0"/>
          <w:numId w:val="3"/>
        </w:numPr>
        <w:spacing w:after="80" w:line="280"/>
      </w:pPr>
      <w:r>
        <w:rPr>
          <w:rFonts w:ascii="Calibri" w:cs="Calibri" w:eastAsia="Calibri" w:hAnsi="Calibri"/>
          <w:color w:val="222222"/>
          <w:sz w:val="21"/>
          <w:szCs w:val="21"/>
        </w:rPr>
        <w:t xml:space="preserve">Candidates are not required to create a persistent account; a magic-link/token-based portal is sufficient for MVP.</w:t>
      </w:r>
    </w:p>
    <w:p>
      <w:pPr>
        <w:pStyle w:val="ListParagraph"/>
        <w:numPr>
          <w:ilvl w:val="0"/>
          <w:numId w:val="3"/>
        </w:numPr>
        <w:spacing w:after="80" w:line="280"/>
      </w:pPr>
      <w:r>
        <w:rPr>
          <w:rFonts w:ascii="Calibri" w:cs="Calibri" w:eastAsia="Calibri" w:hAnsi="Calibri"/>
          <w:color w:val="222222"/>
          <w:sz w:val="21"/>
          <w:szCs w:val="21"/>
        </w:rPr>
        <w:t xml:space="preserve">Background verification and e-signature will be delivered via third-party integrations, not built in-house, for MVP.</w:t>
      </w:r>
    </w:p>
    <w:p>
      <w:pPr>
        <w:pStyle w:val="Heading2"/>
        <w:spacing w:after="120" w:before="280"/>
      </w:pPr>
      <w:r>
        <w:rPr>
          <w:rFonts w:ascii="Calibri" w:cs="Calibri" w:eastAsia="Calibri" w:hAnsi="Calibri"/>
          <w:b/>
          <w:bCs/>
          <w:color w:val="1F3552"/>
          <w:sz w:val="24"/>
          <w:szCs w:val="24"/>
        </w:rPr>
        <w:t xml:space="preserve">2.6 Constraints</w:t>
      </w:r>
    </w:p>
    <w:p>
      <w:pPr>
        <w:pStyle w:val="ListParagraph"/>
        <w:numPr>
          <w:ilvl w:val="0"/>
          <w:numId w:val="3"/>
        </w:numPr>
        <w:spacing w:after="80" w:line="280"/>
      </w:pPr>
      <w:r>
        <w:rPr>
          <w:rFonts w:ascii="Calibri" w:cs="Calibri" w:eastAsia="Calibri" w:hAnsi="Calibri"/>
          <w:color w:val="222222"/>
          <w:sz w:val="21"/>
          <w:szCs w:val="21"/>
        </w:rPr>
        <w:t xml:space="preserve">Must comply with India's Digital Personal Data Protection Act, 2023 (DPDP Act) from day one, since candidate/employee PII is core to the product — see Section 6.</w:t>
      </w:r>
    </w:p>
    <w:p>
      <w:pPr>
        <w:pStyle w:val="ListParagraph"/>
        <w:numPr>
          <w:ilvl w:val="0"/>
          <w:numId w:val="3"/>
        </w:numPr>
        <w:spacing w:after="80" w:line="280"/>
      </w:pPr>
      <w:r>
        <w:rPr>
          <w:rFonts w:ascii="Calibri" w:cs="Calibri" w:eastAsia="Calibri" w:hAnsi="Calibri"/>
          <w:color w:val="222222"/>
          <w:sz w:val="21"/>
          <w:szCs w:val="21"/>
        </w:rPr>
        <w:t xml:space="preserve">Must support multi-tenant data isolation sufficient to satisfy enterprise customer security questionnaires even on a shared-infrastructure MVP.</w:t>
      </w:r>
    </w:p>
    <w:p>
      <w:pPr>
        <w:pStyle w:val="ListParagraph"/>
        <w:numPr>
          <w:ilvl w:val="0"/>
          <w:numId w:val="3"/>
        </w:numPr>
        <w:spacing w:after="80" w:line="280"/>
      </w:pPr>
      <w:r>
        <w:rPr>
          <w:rFonts w:ascii="Calibri" w:cs="Calibri" w:eastAsia="Calibri" w:hAnsi="Calibri"/>
          <w:color w:val="222222"/>
          <w:sz w:val="21"/>
          <w:szCs w:val="21"/>
        </w:rPr>
        <w:t xml:space="preserve">Initial team size and timeline (to be confirmed — see Section 10) constrain how much of the full pipeline ships in MVP vs. later phases.</w:t>
      </w:r>
    </w:p>
    <w:p>
      <w:pPr>
        <w:pStyle w:val="Heading2"/>
        <w:spacing w:after="120" w:before="280"/>
      </w:pPr>
      <w:r>
        <w:rPr>
          <w:rFonts w:ascii="Calibri" w:cs="Calibri" w:eastAsia="Calibri" w:hAnsi="Calibri"/>
          <w:b/>
          <w:bCs/>
          <w:color w:val="1F3552"/>
          <w:sz w:val="24"/>
          <w:szCs w:val="24"/>
        </w:rPr>
        <w:t xml:space="preserve">2.7 In Scope vs. Out of Scope (MVP)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In scope for MVP</w:t>
            </w:r>
          </w:p>
        </w:tc>
        <w:tc>
          <w:tcPr>
            <w:tcW w:type="dxa" w:w="47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Out of scope for MVP (later phases)</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Job requisition creation &amp; approval</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Payroll and compensation management</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Candidate sourcing/search, resume parsing, pipeline (Kanban) view</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Performance management, appraisals</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Screening, shortlisting, structured interview feedback</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Learning &amp; development / LMS</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Interview scheduling with calendar sync</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Employee exit/offboarding workflows</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Offer letter generation and e-sign integration</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Native AI resume-matching (v2; integrate a third-party API first)</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Background verification vendor integration (not in-house checks)</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Native video-interview recording/hosting</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Onboarding checklists, document collection, task assignment</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Deep native job-board posting network (start with 2–3 integrations)</w:t>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Role-based access control, multi-tenant admin console</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
            </w:r>
          </w:p>
        </w:tc>
      </w:tr>
      <w:tr>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Core hiring analytics dashboard</w:t>
            </w:r>
          </w:p>
        </w:tc>
        <w:tc>
          <w:tcPr>
            <w:tcW w:type="dxa" w:w="4700"/>
            <w:tcMar>
              <w:top w:type="dxa" w:w="80"/>
              <w:left w:type="dxa" w:w="100"/>
              <w:bottom w:type="dxa" w:w="80"/>
              <w:right w:type="dxa" w:w="100"/>
            </w:tcMar>
          </w:tcPr>
          <w:p>
            <w:pPr>
              <w:spacing w:after="40"/>
            </w:pPr>
            <w:r>
              <w:rPr>
                <w:rFonts w:ascii="Calibri" w:cs="Calibri" w:eastAsia="Calibri" w:hAnsi="Calibri"/>
                <w:sz w:val="19"/>
                <w:szCs w:val="19"/>
              </w:rPr>
              <w:t xml:space="preserve"/>
            </w:r>
          </w:p>
        </w:tc>
      </w:tr>
    </w:tbl>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3. Product Requirements (PRD)</w:t>
      </w:r>
    </w:p>
    <w:p>
      <w:pPr>
        <w:spacing w:after="160" w:line="300"/>
      </w:pPr>
      <w:r>
        <w:rPr>
          <w:rFonts w:ascii="Calibri" w:cs="Calibri" w:eastAsia="Calibri" w:hAnsi="Calibri"/>
          <w:color w:val="222222"/>
          <w:sz w:val="21"/>
          <w:szCs w:val="21"/>
        </w:rPr>
        <w:t xml:space="preserve">This section defines who uses the product (roles), what the product does (modules and features across the full pipeline), and the standards it must meet (non-functional requirements).</w:t>
      </w:r>
    </w:p>
    <w:p>
      <w:pPr>
        <w:pStyle w:val="Heading2"/>
        <w:spacing w:after="120" w:before="280"/>
      </w:pPr>
      <w:r>
        <w:rPr>
          <w:rFonts w:ascii="Calibri" w:cs="Calibri" w:eastAsia="Calibri" w:hAnsi="Calibri"/>
          <w:b/>
          <w:bCs/>
          <w:color w:val="1F3552"/>
          <w:sz w:val="24"/>
          <w:szCs w:val="24"/>
        </w:rPr>
        <w:t xml:space="preserve">3.1 User Roles &amp; Permissions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800"/>
      </w:tblGrid>
      <w:tr>
        <w:trPr>
          <w:tblHeader/>
        </w:trPr>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Role</w:t>
            </w:r>
          </w:p>
        </w:tc>
        <w:tc>
          <w:tcPr>
            <w:tcW w:type="dxa" w:w="2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Scope</w:t>
            </w:r>
          </w:p>
        </w:tc>
        <w:tc>
          <w:tcPr>
            <w:tcW w:type="dxa" w:w="48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Key permissions</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Tenant Super Admin</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Whole company account</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Manage billing, users, roles, integrations, data-retention settings</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HR Manager</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All requisitions &amp; candidates in tenant</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Create/approve requisitions, view all pipelines, run reports, configure onboarding templates</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Recruiter</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Assigned requisitions</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Manage sourcing, pipeline, scheduling, offers for assigned reqs</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Hiring Manager</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Requisitions they own</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Review candidates, give decisions, request changes, cannot edit tenant config</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Interview Panelist</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Assigned interviews only</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View candidate profile relevant to the interview, submit structured feedback</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Onboarding Coordinator</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Post-offer candidates</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Manage onboarding checklists, documents, task assignment to other departments</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Candidate (external, token-based)</w:t>
            </w:r>
          </w:p>
        </w:tc>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Own application/onboarding only</w:t>
            </w:r>
          </w:p>
        </w:tc>
        <w:tc>
          <w:tcPr>
            <w:tcW w:type="dxa" w:w="4800"/>
            <w:tcMar>
              <w:top w:type="dxa" w:w="80"/>
              <w:left w:type="dxa" w:w="100"/>
              <w:bottom w:type="dxa" w:w="80"/>
              <w:right w:type="dxa" w:w="100"/>
            </w:tcMar>
          </w:tcPr>
          <w:p>
            <w:pPr>
              <w:spacing w:after="40"/>
            </w:pPr>
            <w:r>
              <w:rPr>
                <w:rFonts w:ascii="Calibri" w:cs="Calibri" w:eastAsia="Calibri" w:hAnsi="Calibri"/>
                <w:sz w:val="19"/>
                <w:szCs w:val="19"/>
              </w:rPr>
              <w:t xml:space="preserve">View own status, upload documents, e-sign, complete onboarding forms</w:t>
            </w:r>
          </w:p>
        </w:tc>
      </w:tr>
    </w:tbl>
    <w:p>
      <w:pPr>
        <w:pStyle w:val="Heading2"/>
        <w:spacing w:after="120" w:before="280"/>
      </w:pPr>
      <w:r>
        <w:rPr>
          <w:rFonts w:ascii="Calibri" w:cs="Calibri" w:eastAsia="Calibri" w:hAnsi="Calibri"/>
          <w:b/>
          <w:bCs/>
          <w:color w:val="1F3552"/>
          <w:sz w:val="24"/>
          <w:szCs w:val="24"/>
        </w:rPr>
        <w:t xml:space="preserve">3.2 Module: Job Requisition &amp; Approval</w:t>
      </w:r>
    </w:p>
    <w:p>
      <w:pPr>
        <w:spacing w:after="160" w:line="300"/>
      </w:pPr>
      <w:r>
        <w:rPr>
          <w:rFonts w:ascii="Calibri" w:cs="Calibri" w:eastAsia="Calibri" w:hAnsi="Calibri"/>
          <w:color w:val="222222"/>
          <w:sz w:val="21"/>
          <w:szCs w:val="21"/>
        </w:rPr>
        <w:t xml:space="preserve">The entry point of the pipeline: a hiring manager or HR requests a new role, it is approved, and a requisition record is created that everything downstream attaches 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Create requisition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Structured form: role title, department, level, headcount, employment type, budget band, must-have skills, target start date</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Approval workflow</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Configurable approval chain (e.g. Hiring Manager → HR → Finance) with in-app + email notification</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Requisition templates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Save and reuse requisition templates for recurring roles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Requisition status tracking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Draft → Pending approval → Open → On hold → Closed/Filled, with history log</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bl>
    <w:p>
      <w:pPr>
        <w:spacing w:after="200"/>
      </w:pPr>
    </w:p>
    <w:p>
      <w:pPr>
        <w:pStyle w:val="Heading2"/>
        <w:spacing w:after="120" w:before="280"/>
      </w:pPr>
      <w:r>
        <w:rPr>
          <w:rFonts w:ascii="Calibri" w:cs="Calibri" w:eastAsia="Calibri" w:hAnsi="Calibri"/>
          <w:b/>
          <w:bCs/>
          <w:color w:val="1F3552"/>
          <w:sz w:val="24"/>
          <w:szCs w:val="24"/>
        </w:rPr>
        <w:t xml:space="preserve">3.3 Module: Candidate Sourcing &amp; Search</w:t>
      </w:r>
    </w:p>
    <w:p>
      <w:pPr>
        <w:spacing w:after="160" w:line="300"/>
      </w:pPr>
      <w:r>
        <w:rPr>
          <w:rFonts w:ascii="Calibri" w:cs="Calibri" w:eastAsia="Calibri" w:hAnsi="Calibri"/>
          <w:color w:val="222222"/>
          <w:sz w:val="21"/>
          <w:szCs w:val="21"/>
        </w:rPr>
        <w:t xml:space="preserve">Where candidates enter the system — from job-board postings, referrals, agency submissions, or manual upload — and become searchable across the tenant's talent pool.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Multi-channel job posting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Publish a requisition to a branded careers page and 2–3 integrated job boards from one action</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Resume upload &amp; parsing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Bulk or single resume upload with automatic parsing into structured candidate fields (contact, experience, skills, education)</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Candidate database search</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Full-text and filtered search (skills, experience, location, source, tags) across the tenant's entire historical candidate pool</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Referral capture</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Employee referral link/form that attributes candidates to a referrer and source</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5</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Duplicate detection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Flag likely-duplicate candidate records (by email/phone/resume similarity) on intake</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6</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Talent pool tagging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Tag/segment candidates (e.g. “silver medalist”, “future pipeline”) for later re-engagement</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Could-have (MVP+1)</w:t>
            </w:r>
          </w:p>
        </w:tc>
      </w:tr>
    </w:tbl>
    <w:p>
      <w:pPr>
        <w:spacing w:after="200"/>
      </w:pPr>
    </w:p>
    <w:p>
      <w:pPr>
        <w:pStyle w:val="Heading2"/>
        <w:spacing w:after="120" w:before="280"/>
      </w:pPr>
      <w:r>
        <w:rPr>
          <w:rFonts w:ascii="Calibri" w:cs="Calibri" w:eastAsia="Calibri" w:hAnsi="Calibri"/>
          <w:b/>
          <w:bCs/>
          <w:color w:val="1F3552"/>
          <w:sz w:val="24"/>
          <w:szCs w:val="24"/>
        </w:rPr>
        <w:t xml:space="preserve">3.4 Module: Screening &amp; Shortlisting</w:t>
      </w:r>
    </w:p>
    <w:p>
      <w:pPr>
        <w:spacing w:after="160" w:line="300"/>
      </w:pPr>
      <w:r>
        <w:rPr>
          <w:rFonts w:ascii="Calibri" w:cs="Calibri" w:eastAsia="Calibri" w:hAnsi="Calibri"/>
          <w:color w:val="222222"/>
          <w:sz w:val="21"/>
          <w:szCs w:val="21"/>
        </w:rPr>
        <w:t xml:space="preserve">Moving candidates through a defined pipeline with consistent, comparable evaluation before they reach an interview.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Configurable pipeline stages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Per-requisition Kanban pipeline with tenant-configurable stage names (e.g. Applied → Screening → Shortlisted → Interview → Offer → Hired)</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Drag-and-drop stage movement</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Move candidates between stages with mandatory reason/notes on rejection</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Screening questionnaire</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Attach knockout/scored questions to a requisition; candidate answers captured at application</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Resume scoring against requisition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Rank/score candidates against must-have skills extracted from the requisition (rules-based for MVP; AI-assisted in v2)</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5</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Bulk actions &amp; templated rejection emails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Reject/advance multiple candidates at once with a templated, brand-consistent email</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bl>
    <w:p>
      <w:pPr>
        <w:spacing w:after="200"/>
      </w:pPr>
    </w:p>
    <w:p>
      <w:pPr>
        <w:pStyle w:val="Heading2"/>
        <w:spacing w:after="120" w:before="280"/>
      </w:pPr>
      <w:r>
        <w:rPr>
          <w:rFonts w:ascii="Calibri" w:cs="Calibri" w:eastAsia="Calibri" w:hAnsi="Calibri"/>
          <w:b/>
          <w:bCs/>
          <w:color w:val="1F3552"/>
          <w:sz w:val="24"/>
          <w:szCs w:val="24"/>
        </w:rPr>
        <w:t xml:space="preserve">3.5 Module: Interview Scheduling</w:t>
      </w:r>
    </w:p>
    <w:p>
      <w:pPr>
        <w:spacing w:after="160" w:line="300"/>
      </w:pPr>
      <w:r>
        <w:rPr>
          <w:rFonts w:ascii="Calibri" w:cs="Calibri" w:eastAsia="Calibri" w:hAnsi="Calibri"/>
          <w:color w:val="222222"/>
          <w:sz w:val="21"/>
          <w:szCs w:val="21"/>
        </w:rPr>
        <w:t xml:space="preserve">Coordinating panelists, candidates, and rooms/links without the current email back-and-forth, and capturing structured feedback.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Calendar integration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Two-way sync with Google Calendar / Microsoft Outlook for panelist availability</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Candidate self-scheduling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Candidate picks a slot from panelist availability via a shared link (no account needed)</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Automated reminders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Email/SMS reminders to candidate and panelists before the interview</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Structured feedback forms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Configurable scorecard per interview round (ratings + comments) tied to the requisition's competencies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5</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Video-interview link generation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Auto-generate a Google Meet/Zoom/Teams link on scheduling (via integration, not native hosting)</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6</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Panel decision rollup</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Aggregate scores/decisions from all panelists for a round into one view for the hiring manager</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bl>
    <w:p>
      <w:pPr>
        <w:spacing w:after="200"/>
      </w:pPr>
    </w:p>
    <w:p>
      <w:pPr>
        <w:pStyle w:val="Heading2"/>
        <w:spacing w:after="120" w:before="280"/>
      </w:pPr>
      <w:r>
        <w:rPr>
          <w:rFonts w:ascii="Calibri" w:cs="Calibri" w:eastAsia="Calibri" w:hAnsi="Calibri"/>
          <w:b/>
          <w:bCs/>
          <w:color w:val="1F3552"/>
          <w:sz w:val="24"/>
          <w:szCs w:val="24"/>
        </w:rPr>
        <w:t xml:space="preserve">3.6 Module: Offer Management</w:t>
      </w:r>
    </w:p>
    <w:p>
      <w:pPr>
        <w:spacing w:after="160" w:line="300"/>
      </w:pPr>
      <w:r>
        <w:rPr>
          <w:rFonts w:ascii="Calibri" w:cs="Calibri" w:eastAsia="Calibri" w:hAnsi="Calibri"/>
          <w:color w:val="222222"/>
          <w:sz w:val="21"/>
          <w:szCs w:val="21"/>
        </w:rPr>
        <w:t xml:space="preserve">Generating, approving, and getting sign-off on an offer without leaving the system.</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Offer letter generation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Auto-populate a tenant-branded offer letter template from candidate + requisition + compensation data</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Offer approval workflow</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Internal approval chain before an offer is released to the candidate</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E-signature integration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Send for e-signature via a third-party provider (e.g. DocuSign / Zoho Sign) and track signed status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Offer status tracking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Sent → Viewed → Negotiating → Accepted → Declined, with audit trail</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5</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Compensation approval limits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Flag offers exceeding a role's approved budget band for additional sign-off</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bl>
    <w:p>
      <w:pPr>
        <w:spacing w:after="200"/>
      </w:pPr>
    </w:p>
    <w:p>
      <w:pPr>
        <w:pStyle w:val="Heading2"/>
        <w:spacing w:after="120" w:before="280"/>
      </w:pPr>
      <w:r>
        <w:rPr>
          <w:rFonts w:ascii="Calibri" w:cs="Calibri" w:eastAsia="Calibri" w:hAnsi="Calibri"/>
          <w:b/>
          <w:bCs/>
          <w:color w:val="1F3552"/>
          <w:sz w:val="24"/>
          <w:szCs w:val="24"/>
        </w:rPr>
        <w:t xml:space="preserve">3.7 Module: Background Verification</w:t>
      </w:r>
    </w:p>
    <w:p>
      <w:pPr>
        <w:spacing w:after="160" w:line="300"/>
      </w:pPr>
      <w:r>
        <w:rPr>
          <w:rFonts w:ascii="Calibri" w:cs="Calibri" w:eastAsia="Calibri" w:hAnsi="Calibri"/>
          <w:color w:val="222222"/>
          <w:sz w:val="21"/>
          <w:szCs w:val="21"/>
        </w:rPr>
        <w:t xml:space="preserve">Triggering and tracking third-party background checks as part of the pipeline, without building verification capability natively.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BGV vendor integration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Trigger a background check via API integration (e.g. a regional BGV provider) directly from an accepted offer</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Consent capture</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Explicit candidate consent captured and timestamped before any check is initiated (DPDP Act requirement)</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Status tracking &amp; alerts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Track check status (Initiated/In progress/Cleared/Flagged) with alerts on completion or discrepancy</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Document upload for verification</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Candidate uploads ID, address, and education proof via secure portal</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bl>
    <w:p>
      <w:pPr>
        <w:spacing w:after="200"/>
      </w:pPr>
    </w:p>
    <w:p>
      <w:pPr>
        <w:pStyle w:val="Heading2"/>
        <w:spacing w:after="120" w:before="280"/>
      </w:pPr>
      <w:r>
        <w:rPr>
          <w:rFonts w:ascii="Calibri" w:cs="Calibri" w:eastAsia="Calibri" w:hAnsi="Calibri"/>
          <w:b/>
          <w:bCs/>
          <w:color w:val="1F3552"/>
          <w:sz w:val="24"/>
          <w:szCs w:val="24"/>
        </w:rPr>
        <w:t xml:space="preserve">3.8 Module: Onboarding</w:t>
      </w:r>
    </w:p>
    <w:p>
      <w:pPr>
        <w:spacing w:after="160" w:line="300"/>
      </w:pPr>
      <w:r>
        <w:rPr>
          <w:rFonts w:ascii="Calibri" w:cs="Calibri" w:eastAsia="Calibri" w:hAnsi="Calibri"/>
          <w:color w:val="222222"/>
          <w:sz w:val="21"/>
          <w:szCs w:val="21"/>
        </w:rPr>
        <w:t xml:space="preserve">The handoff from 'hired' to 'productive' — the stage most customers describe as their most manual today.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600"/>
        <w:gridCol w:w="1200"/>
      </w:tblGrid>
      <w:tr>
        <w:trPr>
          <w:tblHeader/>
        </w:trPr>
        <w:tc>
          <w:tcPr>
            <w:tcW w:type="dxa" w:w="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Feature</w:t>
            </w:r>
          </w:p>
        </w:tc>
        <w:tc>
          <w:tcPr>
            <w:tcW w:type="dxa" w:w="5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Description</w:t>
            </w:r>
          </w:p>
        </w:tc>
        <w:tc>
          <w:tcPr>
            <w:tcW w:type="dxa" w:w="1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Priority</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1</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Configurable onboarding checklists</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Tenant-defined task templates by role/department (HR tasks, IT provisioning, facilities, manager tasks)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2</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Cross-team task assignment</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Auto-assign checklist tasks to the right department/owner with due dates and reminders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3</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Candidate self-service portal</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New hire uploads documents, fills statutory forms (PAN/Aadhaar details, bank details for payroll), reads policies, e-signs where required</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4</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Digital document collection &amp; storage</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Centralised, access-controlled storage of onboarding documents with retention policy applied</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5</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Day-one readiness dashboard</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Single view showing whether IT, facilities, and paperwork are complete before start date</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Should-have</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6</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Induction scheduling</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Auto-schedule orientation sessions and assign a buddy/mentor</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Could-have (MVP+1)</w:t>
            </w:r>
          </w:p>
        </w:tc>
      </w:tr>
      <w:tr>
        <w:tc>
          <w:tcPr>
            <w:tcW w:type="dxa" w:w="600"/>
            <w:tcMar>
              <w:top w:type="dxa" w:w="80"/>
              <w:left w:type="dxa" w:w="100"/>
              <w:bottom w:type="dxa" w:w="80"/>
              <w:right w:type="dxa" w:w="100"/>
            </w:tcMar>
          </w:tcPr>
          <w:p>
            <w:pPr>
              <w:spacing w:after="40"/>
            </w:pPr>
            <w:r>
              <w:rPr>
                <w:rFonts w:ascii="Calibri" w:cs="Calibri" w:eastAsia="Calibri" w:hAnsi="Calibri"/>
                <w:sz w:val="19"/>
                <w:szCs w:val="19"/>
              </w:rPr>
              <w:t xml:space="preserve">7</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Handoff to core HR record</w:t>
            </w:r>
          </w:p>
        </w:tc>
        <w:tc>
          <w:tcPr>
            <w:tcW w:type="dxa" w:w="5600"/>
            <w:tcMar>
              <w:top w:type="dxa" w:w="80"/>
              <w:left w:type="dxa" w:w="100"/>
              <w:bottom w:type="dxa" w:w="80"/>
              <w:right w:type="dxa" w:w="100"/>
            </w:tcMar>
          </w:tcPr>
          <w:p>
            <w:pPr>
              <w:spacing w:after="40"/>
            </w:pPr>
            <w:r>
              <w:rPr>
                <w:rFonts w:ascii="Calibri" w:cs="Calibri" w:eastAsia="Calibri" w:hAnsi="Calibri"/>
                <w:sz w:val="19"/>
                <w:szCs w:val="19"/>
              </w:rPr>
              <w:t xml:space="preserve">On onboarding completion, candidate record converts into an employee record (foundation for future payroll/performance modules)</w:t>
            </w:r>
          </w:p>
        </w:tc>
        <w:tc>
          <w:tcPr>
            <w:tcW w:type="dxa" w:w="1200"/>
            <w:tcMar>
              <w:top w:type="dxa" w:w="80"/>
              <w:left w:type="dxa" w:w="100"/>
              <w:bottom w:type="dxa" w:w="80"/>
              <w:right w:type="dxa" w:w="100"/>
            </w:tcMar>
          </w:tcPr>
          <w:p>
            <w:pPr>
              <w:spacing w:after="40"/>
            </w:pPr>
            <w:r>
              <w:rPr>
                <w:rFonts w:ascii="Calibri" w:cs="Calibri" w:eastAsia="Calibri" w:hAnsi="Calibri"/>
                <w:sz w:val="19"/>
                <w:szCs w:val="19"/>
              </w:rPr>
              <w:t xml:space="preserve">Must-have</w:t>
            </w:r>
          </w:p>
        </w:tc>
      </w:tr>
    </w:tbl>
    <w:p>
      <w:pPr>
        <w:spacing w:after="200"/>
      </w:pPr>
    </w:p>
    <w:p>
      <w:pPr>
        <w:pStyle w:val="Heading2"/>
        <w:spacing w:after="120" w:before="280"/>
      </w:pPr>
      <w:r>
        <w:rPr>
          <w:rFonts w:ascii="Calibri" w:cs="Calibri" w:eastAsia="Calibri" w:hAnsi="Calibri"/>
          <w:b/>
          <w:bCs/>
          <w:color w:val="1F3552"/>
          <w:sz w:val="24"/>
          <w:szCs w:val="24"/>
        </w:rPr>
        <w:t xml:space="preserve">3.9 Cross-Cutting Capabilities</w:t>
      </w:r>
    </w:p>
    <w:p>
      <w:pPr>
        <w:pStyle w:val="Heading3"/>
        <w:spacing w:after="100" w:before="200"/>
      </w:pPr>
      <w:r>
        <w:rPr>
          <w:rFonts w:ascii="Calibri" w:cs="Calibri" w:eastAsia="Calibri" w:hAnsi="Calibri"/>
          <w:b/>
          <w:bCs/>
          <w:color w:val="C0602A"/>
          <w:sz w:val="21"/>
          <w:szCs w:val="21"/>
        </w:rPr>
        <w:t xml:space="preserve">Multi-tenancy &amp; administration</w:t>
      </w:r>
    </w:p>
    <w:p>
      <w:pPr>
        <w:pStyle w:val="ListParagraph"/>
        <w:numPr>
          <w:ilvl w:val="0"/>
          <w:numId w:val="3"/>
        </w:numPr>
        <w:spacing w:after="80" w:line="280"/>
      </w:pPr>
      <w:r>
        <w:rPr>
          <w:rFonts w:ascii="Calibri" w:cs="Calibri" w:eastAsia="Calibri" w:hAnsi="Calibri"/>
          <w:color w:val="222222"/>
          <w:sz w:val="21"/>
          <w:szCs w:val="21"/>
        </w:rPr>
        <w:t xml:space="preserve">Tenant (company) is the top-level data boundary; every record carries a tenant_id and no query can cross tenants.</w:t>
      </w:r>
    </w:p>
    <w:p>
      <w:pPr>
        <w:pStyle w:val="ListParagraph"/>
        <w:numPr>
          <w:ilvl w:val="0"/>
          <w:numId w:val="3"/>
        </w:numPr>
        <w:spacing w:after="80" w:line="280"/>
      </w:pPr>
      <w:r>
        <w:rPr>
          <w:rFonts w:ascii="Calibri" w:cs="Calibri" w:eastAsia="Calibri" w:hAnsi="Calibri"/>
          <w:color w:val="222222"/>
          <w:sz w:val="21"/>
          <w:szCs w:val="21"/>
        </w:rPr>
        <w:t xml:space="preserve">Tenant admin console: user invites, role assignment, branding (logo/colors on candidate-facing pages and emails), template management, integration configuration.</w:t>
      </w:r>
    </w:p>
    <w:p>
      <w:pPr>
        <w:pStyle w:val="ListParagraph"/>
        <w:numPr>
          <w:ilvl w:val="0"/>
          <w:numId w:val="3"/>
        </w:numPr>
        <w:spacing w:after="80" w:line="280"/>
      </w:pPr>
      <w:r>
        <w:rPr>
          <w:rFonts w:ascii="Calibri" w:cs="Calibri" w:eastAsia="Calibri" w:hAnsi="Calibri"/>
          <w:color w:val="222222"/>
          <w:sz w:val="21"/>
          <w:szCs w:val="21"/>
        </w:rPr>
        <w:t xml:space="preserve">Sub-account / department separation within a tenant, so a large company can scope recruiters to specific business units.</w:t>
      </w:r>
    </w:p>
    <w:p>
      <w:pPr>
        <w:pStyle w:val="Heading3"/>
        <w:spacing w:after="100" w:before="200"/>
      </w:pPr>
      <w:r>
        <w:rPr>
          <w:rFonts w:ascii="Calibri" w:cs="Calibri" w:eastAsia="Calibri" w:hAnsi="Calibri"/>
          <w:b/>
          <w:bCs/>
          <w:color w:val="C0602A"/>
          <w:sz w:val="21"/>
          <w:szCs w:val="21"/>
        </w:rPr>
        <w:t xml:space="preserve">Notifications</w:t>
      </w:r>
    </w:p>
    <w:p>
      <w:pPr>
        <w:pStyle w:val="ListParagraph"/>
        <w:numPr>
          <w:ilvl w:val="0"/>
          <w:numId w:val="3"/>
        </w:numPr>
        <w:spacing w:after="80" w:line="280"/>
      </w:pPr>
      <w:r>
        <w:rPr>
          <w:rFonts w:ascii="Calibri" w:cs="Calibri" w:eastAsia="Calibri" w:hAnsi="Calibri"/>
          <w:color w:val="222222"/>
          <w:sz w:val="21"/>
          <w:szCs w:val="21"/>
        </w:rPr>
        <w:t xml:space="preserve">In-app + email notifications for all state changes (stage move, interview scheduled, offer sent, task assigned); SMS for time-critical candidate-facing reminders.</w:t>
      </w:r>
    </w:p>
    <w:p>
      <w:pPr>
        <w:pStyle w:val="Heading3"/>
        <w:spacing w:after="100" w:before="200"/>
      </w:pPr>
      <w:r>
        <w:rPr>
          <w:rFonts w:ascii="Calibri" w:cs="Calibri" w:eastAsia="Calibri" w:hAnsi="Calibri"/>
          <w:b/>
          <w:bCs/>
          <w:color w:val="C0602A"/>
          <w:sz w:val="21"/>
          <w:szCs w:val="21"/>
        </w:rPr>
        <w:t xml:space="preserve">Analytics &amp; reporting</w:t>
      </w:r>
    </w:p>
    <w:p>
      <w:pPr>
        <w:pStyle w:val="ListParagraph"/>
        <w:numPr>
          <w:ilvl w:val="0"/>
          <w:numId w:val="3"/>
        </w:numPr>
        <w:spacing w:after="80" w:line="280"/>
      </w:pPr>
      <w:r>
        <w:rPr>
          <w:rFonts w:ascii="Calibri" w:cs="Calibri" w:eastAsia="Calibri" w:hAnsi="Calibri"/>
          <w:color w:val="222222"/>
          <w:sz w:val="21"/>
          <w:szCs w:val="21"/>
        </w:rPr>
        <w:t xml:space="preserve">Pre-built dashboard covering the metrics in Section 2.4, filterable by department, role, recruiter, and date range.</w:t>
      </w:r>
    </w:p>
    <w:p>
      <w:pPr>
        <w:pStyle w:val="ListParagraph"/>
        <w:numPr>
          <w:ilvl w:val="0"/>
          <w:numId w:val="3"/>
        </w:numPr>
        <w:spacing w:after="80" w:line="280"/>
      </w:pPr>
      <w:r>
        <w:rPr>
          <w:rFonts w:ascii="Calibri" w:cs="Calibri" w:eastAsia="Calibri" w:hAnsi="Calibri"/>
          <w:color w:val="222222"/>
          <w:sz w:val="21"/>
          <w:szCs w:val="21"/>
        </w:rPr>
        <w:t xml:space="preserve">CSV/Excel export of any report or pipeline view.</w:t>
      </w:r>
    </w:p>
    <w:p>
      <w:pPr>
        <w:pStyle w:val="Heading3"/>
        <w:spacing w:after="100" w:before="200"/>
      </w:pPr>
      <w:r>
        <w:rPr>
          <w:rFonts w:ascii="Calibri" w:cs="Calibri" w:eastAsia="Calibri" w:hAnsi="Calibri"/>
          <w:b/>
          <w:bCs/>
          <w:color w:val="C0602A"/>
          <w:sz w:val="21"/>
          <w:szCs w:val="21"/>
        </w:rPr>
        <w:t xml:space="preserve">Integrations (MVP target list)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200"/>
      </w:tblGrid>
      <w:tr>
        <w:trPr>
          <w:tblHeader/>
        </w:trPr>
        <w:tc>
          <w:tcPr>
            <w:tcW w:type="dxa" w:w="18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Category</w:t>
            </w:r>
          </w:p>
        </w:tc>
        <w:tc>
          <w:tcPr>
            <w:tcW w:type="dxa" w:w="3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Purpose</w:t>
            </w:r>
          </w:p>
        </w:tc>
        <w:tc>
          <w:tcPr>
            <w:tcW w:type="dxa" w:w="3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Example providers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Job boards</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Post requisitions, ingest applications</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Naukri, LinkedIn Jobs, Indeed</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Calendar</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Interview scheduling sync</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Google Calendar, Microsoft Outlook/365</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Video conferencing</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Auto-generate interview links</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Google Meet, Zoom, MS Teams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E-signature</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Offer letters, onboarding forms</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DocuSign, Zoho Sign</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Background verification</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Candidate BGV checks</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A regional BGV API provider (vendor TBD)</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Communication</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Email/SMS delivery</w:t>
            </w:r>
          </w:p>
        </w:tc>
        <w:tc>
          <w:tcPr>
            <w:tcW w:type="dxa" w:w="3200"/>
            <w:tcMar>
              <w:top w:type="dxa" w:w="80"/>
              <w:left w:type="dxa" w:w="100"/>
              <w:bottom w:type="dxa" w:w="80"/>
              <w:right w:type="dxa" w:w="100"/>
            </w:tcMar>
          </w:tcPr>
          <w:p>
            <w:pPr>
              <w:spacing w:after="40"/>
            </w:pPr>
            <w:r>
              <w:rPr>
                <w:rFonts w:ascii="Calibri" w:cs="Calibri" w:eastAsia="Calibri" w:hAnsi="Calibri"/>
                <w:sz w:val="19"/>
                <w:szCs w:val="19"/>
              </w:rPr>
              <w:t xml:space="preserve">SendGrid/SES (email), a transactional SMS gateway</w:t>
            </w:r>
          </w:p>
        </w:tc>
      </w:tr>
    </w:tbl>
    <w:p>
      <w:pPr>
        <w:pStyle w:val="Heading2"/>
        <w:spacing w:after="120" w:before="280"/>
      </w:pPr>
      <w:r>
        <w:rPr>
          <w:rFonts w:ascii="Calibri" w:cs="Calibri" w:eastAsia="Calibri" w:hAnsi="Calibri"/>
          <w:b/>
          <w:bCs/>
          <w:color w:val="1F3552"/>
          <w:sz w:val="24"/>
          <w:szCs w:val="24"/>
        </w:rPr>
        <w:t xml:space="preserve">3.10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Category</w:t>
            </w:r>
          </w:p>
        </w:tc>
        <w:tc>
          <w:tcPr>
            <w:tcW w:type="dxa" w:w="7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Requirement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Availability</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99.5% uptime target for MVP, moving to 99.9% as paying-tenant volume grows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Performance</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Core pages (pipeline board, candidate search) render in &lt; 2s at up to 10,000 candidates per tenant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Data isolation</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Logical tenant isolation enforced at the data-access layer for MVP; contractual/architectural path to physical isolation for enterprise tenants that require it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Security</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Role-based access control, encryption at rest and in transit, audit log of all record access/changes to candidate PII</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Compliance</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DPDP Act 2023 alignment from MVP (see Section 6); architecture should not preclude later GDPR alignment for international tenants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Scalability</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Architecture must scale from pilot tenants to hundreds of tenants without a data-model rewrite</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Auditability</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Every pipeline state change and document access is logged with actor, timestamp, and reason where applicable</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Accessibility</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Candidate-facing portal meets WCAG 2.1 AA at minimum, since it is used by external, non-trained users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Localization</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UI text externalized for translation from day one, even if only English ships in MVP</w:t>
            </w:r>
          </w:p>
        </w:tc>
      </w:tr>
    </w:tbl>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4. High-Level Data Model</w:t>
      </w:r>
    </w:p>
    <w:p>
      <w:pPr>
        <w:spacing w:after="160" w:line="300"/>
      </w:pPr>
      <w:r>
        <w:rPr>
          <w:rFonts w:ascii="Calibri" w:cs="Calibri" w:eastAsia="Calibri" w:hAnsi="Calibri"/>
          <w:color w:val="222222"/>
          <w:sz w:val="21"/>
          <w:szCs w:val="21"/>
        </w:rPr>
        <w:t xml:space="preserve">This is a starting entity map for design and engineering to refine, not a final schema. Core entities and their relationships:</w:t>
      </w:r>
    </w:p>
    <w:p>
      <w:pPr>
        <w:pStyle w:val="ListParagraph"/>
        <w:numPr>
          <w:ilvl w:val="0"/>
          <w:numId w:val="3"/>
        </w:numPr>
        <w:spacing w:after="80" w:line="280"/>
      </w:pPr>
      <w:r>
        <w:rPr>
          <w:rFonts w:ascii="Calibri" w:cs="Calibri" w:eastAsia="Calibri" w:hAnsi="Calibri"/>
          <w:color w:val="222222"/>
          <w:sz w:val="21"/>
          <w:szCs w:val="21"/>
        </w:rPr>
        <w:t xml:space="preserve">Tenant — the company account; owns Users, Requisitions, Candidates, Templates, Integrations.</w:t>
      </w:r>
    </w:p>
    <w:p>
      <w:pPr>
        <w:pStyle w:val="ListParagraph"/>
        <w:numPr>
          <w:ilvl w:val="0"/>
          <w:numId w:val="3"/>
        </w:numPr>
        <w:spacing w:after="80" w:line="280"/>
      </w:pPr>
      <w:r>
        <w:rPr>
          <w:rFonts w:ascii="Calibri" w:cs="Calibri" w:eastAsia="Calibri" w:hAnsi="Calibri"/>
          <w:color w:val="222222"/>
          <w:sz w:val="21"/>
          <w:szCs w:val="21"/>
        </w:rPr>
        <w:t xml:space="preserve">User — belongs to one Tenant, has one or more Roles; Roles are scoped to Requisitions or Departments.</w:t>
      </w:r>
    </w:p>
    <w:p>
      <w:pPr>
        <w:pStyle w:val="ListParagraph"/>
        <w:numPr>
          <w:ilvl w:val="0"/>
          <w:numId w:val="3"/>
        </w:numPr>
        <w:spacing w:after="80" w:line="280"/>
      </w:pPr>
      <w:r>
        <w:rPr>
          <w:rFonts w:ascii="Calibri" w:cs="Calibri" w:eastAsia="Calibri" w:hAnsi="Calibri"/>
          <w:color w:val="222222"/>
          <w:sz w:val="21"/>
          <w:szCs w:val="21"/>
        </w:rPr>
        <w:t xml:space="preserve">Requisition — belongs to a Tenant and Department; has an Approval workflow state and a Pipeline configuration.</w:t>
      </w:r>
    </w:p>
    <w:p>
      <w:pPr>
        <w:pStyle w:val="ListParagraph"/>
        <w:numPr>
          <w:ilvl w:val="0"/>
          <w:numId w:val="3"/>
        </w:numPr>
        <w:spacing w:after="80" w:line="280"/>
      </w:pPr>
      <w:r>
        <w:rPr>
          <w:rFonts w:ascii="Calibri" w:cs="Calibri" w:eastAsia="Calibri" w:hAnsi="Calibri"/>
          <w:color w:val="222222"/>
          <w:sz w:val="21"/>
          <w:szCs w:val="21"/>
        </w:rPr>
        <w:t xml:space="preserve">Candidate — belongs to a Tenant (reusable across Requisitions); has Applications (one per Requisition applied to), Documents, Consent records.</w:t>
      </w:r>
    </w:p>
    <w:p>
      <w:pPr>
        <w:pStyle w:val="ListParagraph"/>
        <w:numPr>
          <w:ilvl w:val="0"/>
          <w:numId w:val="3"/>
        </w:numPr>
        <w:spacing w:after="80" w:line="280"/>
      </w:pPr>
      <w:r>
        <w:rPr>
          <w:rFonts w:ascii="Calibri" w:cs="Calibri" w:eastAsia="Calibri" w:hAnsi="Calibri"/>
          <w:color w:val="222222"/>
          <w:sz w:val="21"/>
          <w:szCs w:val="21"/>
        </w:rPr>
        <w:t xml:space="preserve">Application — links a Candidate to a Requisition; carries pipeline Stage, Interview records, Feedback, Offer, and Onboarding Checklist once hired.</w:t>
      </w:r>
    </w:p>
    <w:p>
      <w:pPr>
        <w:pStyle w:val="ListParagraph"/>
        <w:numPr>
          <w:ilvl w:val="0"/>
          <w:numId w:val="3"/>
        </w:numPr>
        <w:spacing w:after="80" w:line="280"/>
      </w:pPr>
      <w:r>
        <w:rPr>
          <w:rFonts w:ascii="Calibri" w:cs="Calibri" w:eastAsia="Calibri" w:hAnsi="Calibri"/>
          <w:color w:val="222222"/>
          <w:sz w:val="21"/>
          <w:szCs w:val="21"/>
        </w:rPr>
        <w:t xml:space="preserve">Interview — belongs to an Application; has Panelists (Users), Scorecards, scheduling data.</w:t>
      </w:r>
    </w:p>
    <w:p>
      <w:pPr>
        <w:pStyle w:val="ListParagraph"/>
        <w:numPr>
          <w:ilvl w:val="0"/>
          <w:numId w:val="3"/>
        </w:numPr>
        <w:spacing w:after="80" w:line="280"/>
      </w:pPr>
      <w:r>
        <w:rPr>
          <w:rFonts w:ascii="Calibri" w:cs="Calibri" w:eastAsia="Calibri" w:hAnsi="Calibri"/>
          <w:color w:val="222222"/>
          <w:sz w:val="21"/>
          <w:szCs w:val="21"/>
        </w:rPr>
        <w:t xml:space="preserve">Offer — belongs to an Application; has Approval chain, e-sign status, Compensation details.</w:t>
      </w:r>
    </w:p>
    <w:p>
      <w:pPr>
        <w:pStyle w:val="ListParagraph"/>
        <w:numPr>
          <w:ilvl w:val="0"/>
          <w:numId w:val="3"/>
        </w:numPr>
        <w:spacing w:after="80" w:line="280"/>
      </w:pPr>
      <w:r>
        <w:rPr>
          <w:rFonts w:ascii="Calibri" w:cs="Calibri" w:eastAsia="Calibri" w:hAnsi="Calibri"/>
          <w:color w:val="222222"/>
          <w:sz w:val="21"/>
          <w:szCs w:val="21"/>
        </w:rPr>
        <w:t xml:space="preserve">Onboarding Checklist — generated from a Template when an Offer is accepted; has Tasks assigned to Users/Departments.</w:t>
      </w:r>
    </w:p>
    <w:p>
      <w:pPr>
        <w:pStyle w:val="ListParagraph"/>
        <w:numPr>
          <w:ilvl w:val="0"/>
          <w:numId w:val="3"/>
        </w:numPr>
        <w:spacing w:after="80" w:line="280"/>
      </w:pPr>
      <w:r>
        <w:rPr>
          <w:rFonts w:ascii="Calibri" w:cs="Calibri" w:eastAsia="Calibri" w:hAnsi="Calibri"/>
          <w:color w:val="222222"/>
          <w:sz w:val="21"/>
          <w:szCs w:val="21"/>
        </w:rPr>
        <w:t xml:space="preserve">Employee record — created from Candidate + Application data on onboarding completion; the seam where a future Payroll/Performance module attaches.</w:t>
      </w:r>
    </w:p>
    <w:p>
      <w:pPr>
        <w:pStyle w:val="ListParagraph"/>
        <w:numPr>
          <w:ilvl w:val="0"/>
          <w:numId w:val="3"/>
        </w:numPr>
        <w:spacing w:after="80" w:line="280"/>
      </w:pPr>
      <w:r>
        <w:rPr>
          <w:rFonts w:ascii="Calibri" w:cs="Calibri" w:eastAsia="Calibri" w:hAnsi="Calibri"/>
          <w:color w:val="222222"/>
          <w:sz w:val="21"/>
          <w:szCs w:val="21"/>
        </w:rPr>
        <w:t xml:space="preserve">AuditLog — append-only record of state changes and PII access, tenant-scoped.</w:t>
      </w:r>
    </w:p>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5. Recommended Architecture &amp; Tech Stack</w:t>
      </w:r>
    </w:p>
    <w:p>
      <w:pPr>
        <w:spacing w:after="160" w:line="300"/>
      </w:pPr>
      <w:r>
        <w:rPr>
          <w:rFonts w:ascii="Calibri" w:cs="Calibri" w:eastAsia="Calibri" w:hAnsi="Calibri"/>
          <w:color w:val="222222"/>
          <w:sz w:val="21"/>
          <w:szCs w:val="21"/>
        </w:rPr>
        <w:t xml:space="preserve">Since the tech direction is open, this section proposes a starting stack chosen for (a) fast MVP delivery, (b) a straightforward path to enterprise-grade tenant isolation later, and (c) reasonable overlap with the stack already familiar to the team (Python-based tooling).</w:t>
      </w:r>
    </w:p>
    <w:p>
      <w:pPr>
        <w:pStyle w:val="Heading2"/>
        <w:spacing w:after="120" w:before="280"/>
      </w:pPr>
      <w:r>
        <w:rPr>
          <w:rFonts w:ascii="Calibri" w:cs="Calibri" w:eastAsia="Calibri" w:hAnsi="Calibri"/>
          <w:b/>
          <w:bCs/>
          <w:color w:val="1F3552"/>
          <w:sz w:val="24"/>
          <w:szCs w:val="24"/>
        </w:rPr>
        <w:t xml:space="preserve">5.1 Multi-Tenancy Model</w:t>
      </w:r>
    </w:p>
    <w:p>
      <w:pPr>
        <w:spacing w:after="160" w:line="300"/>
      </w:pPr>
      <w:r>
        <w:rPr>
          <w:rFonts w:ascii="Calibri" w:cs="Calibri" w:eastAsia="Calibri" w:hAnsi="Calibri"/>
          <w:color w:val="222222"/>
          <w:sz w:val="21"/>
          <w:szCs w:val="21"/>
        </w:rPr>
        <w:t xml:space="preserve">Recommendation: start with a shared database, shared schema model (every table carries a tenant_id, enforced by row-level security and application-layer checks). This is the lowest-cost, fastest-to-build option and is appropriate while average revenue per tenant is modest and tenant counts are in the low hundreds. Build the data-access layer to be tenant-aware from day one (every query scoped through a tenant context, never optional) so that a specific high-value enterprise customer can later be migrated to a dedicated schema or database without an application rewrite — this is the standard SaaS scaling path and avoids a costly re-architecture.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Model</w:t>
            </w:r>
          </w:p>
        </w:tc>
        <w:tc>
          <w:tcPr>
            <w:tcW w:type="dxa" w:w="6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When to use it here</w:t>
            </w:r>
          </w:p>
        </w:tc>
      </w:tr>
      <w:tr>
        <w:tc>
          <w:tcPr>
            <w:tcW w:type="dxa" w:w="3000"/>
            <w:tcMar>
              <w:top w:type="dxa" w:w="80"/>
              <w:left w:type="dxa" w:w="100"/>
              <w:bottom w:type="dxa" w:w="80"/>
              <w:right w:type="dxa" w:w="100"/>
            </w:tcMar>
          </w:tcPr>
          <w:p>
            <w:pPr>
              <w:spacing w:after="40"/>
            </w:pPr>
            <w:r>
              <w:rPr>
                <w:rFonts w:ascii="Calibri" w:cs="Calibri" w:eastAsia="Calibri" w:hAnsi="Calibri"/>
                <w:sz w:val="19"/>
                <w:szCs w:val="19"/>
              </w:rPr>
              <w:t xml:space="preserve">Shared DB, shared schema (MVP choice)</w:t>
            </w:r>
          </w:p>
        </w:tc>
        <w:tc>
          <w:tcPr>
            <w:tcW w:type="dxa" w:w="6400"/>
            <w:tcMar>
              <w:top w:type="dxa" w:w="80"/>
              <w:left w:type="dxa" w:w="100"/>
              <w:bottom w:type="dxa" w:w="80"/>
              <w:right w:type="dxa" w:w="100"/>
            </w:tcMar>
          </w:tcPr>
          <w:p>
            <w:pPr>
              <w:spacing w:after="40"/>
            </w:pPr>
            <w:r>
              <w:rPr>
                <w:rFonts w:ascii="Calibri" w:cs="Calibri" w:eastAsia="Calibri" w:hAnsi="Calibri"/>
                <w:sz w:val="19"/>
                <w:szCs w:val="19"/>
              </w:rPr>
              <w:t xml:space="preserve">Default for all tenants at launch; lowest cost, fastest to ship, sufficient isolation for SMB customers</w:t>
            </w:r>
          </w:p>
        </w:tc>
      </w:tr>
      <w:tr>
        <w:tc>
          <w:tcPr>
            <w:tcW w:type="dxa" w:w="3000"/>
            <w:tcMar>
              <w:top w:type="dxa" w:w="80"/>
              <w:left w:type="dxa" w:w="100"/>
              <w:bottom w:type="dxa" w:w="80"/>
              <w:right w:type="dxa" w:w="100"/>
            </w:tcMar>
          </w:tcPr>
          <w:p>
            <w:pPr>
              <w:spacing w:after="40"/>
            </w:pPr>
            <w:r>
              <w:rPr>
                <w:rFonts w:ascii="Calibri" w:cs="Calibri" w:eastAsia="Calibri" w:hAnsi="Calibri"/>
                <w:sz w:val="19"/>
                <w:szCs w:val="19"/>
              </w:rPr>
              <w:t xml:space="preserve">Schema-per-tenant</w:t>
            </w:r>
          </w:p>
        </w:tc>
        <w:tc>
          <w:tcPr>
            <w:tcW w:type="dxa" w:w="6400"/>
            <w:tcMar>
              <w:top w:type="dxa" w:w="80"/>
              <w:left w:type="dxa" w:w="100"/>
              <w:bottom w:type="dxa" w:w="80"/>
              <w:right w:type="dxa" w:w="100"/>
            </w:tcMar>
          </w:tcPr>
          <w:p>
            <w:pPr>
              <w:spacing w:after="40"/>
            </w:pPr>
            <w:r>
              <w:rPr>
                <w:rFonts w:ascii="Calibri" w:cs="Calibri" w:eastAsia="Calibri" w:hAnsi="Calibri"/>
                <w:sz w:val="19"/>
                <w:szCs w:val="19"/>
              </w:rPr>
              <w:t xml:space="preserve">Consider for mid-market tenants once custom fields/workflows per tenant grow complex</w:t>
            </w:r>
          </w:p>
        </w:tc>
      </w:tr>
      <w:tr>
        <w:tc>
          <w:tcPr>
            <w:tcW w:type="dxa" w:w="3000"/>
            <w:tcMar>
              <w:top w:type="dxa" w:w="80"/>
              <w:left w:type="dxa" w:w="100"/>
              <w:bottom w:type="dxa" w:w="80"/>
              <w:right w:type="dxa" w:w="100"/>
            </w:tcMar>
          </w:tcPr>
          <w:p>
            <w:pPr>
              <w:spacing w:after="40"/>
            </w:pPr>
            <w:r>
              <w:rPr>
                <w:rFonts w:ascii="Calibri" w:cs="Calibri" w:eastAsia="Calibri" w:hAnsi="Calibri"/>
                <w:sz w:val="19"/>
                <w:szCs w:val="19"/>
              </w:rPr>
              <w:t xml:space="preserve">Database-per-tenant</w:t>
            </w:r>
          </w:p>
        </w:tc>
        <w:tc>
          <w:tcPr>
            <w:tcW w:type="dxa" w:w="6400"/>
            <w:tcMar>
              <w:top w:type="dxa" w:w="80"/>
              <w:left w:type="dxa" w:w="100"/>
              <w:bottom w:type="dxa" w:w="80"/>
              <w:right w:type="dxa" w:w="100"/>
            </w:tcMar>
          </w:tcPr>
          <w:p>
            <w:pPr>
              <w:spacing w:after="40"/>
            </w:pPr>
            <w:r>
              <w:rPr>
                <w:rFonts w:ascii="Calibri" w:cs="Calibri" w:eastAsia="Calibri" w:hAnsi="Calibri"/>
                <w:sz w:val="19"/>
                <w:szCs w:val="19"/>
              </w:rPr>
              <w:t xml:space="preserve">Reserve for enterprise/government contracts that contractually require physical data isolation</w:t>
            </w:r>
          </w:p>
        </w:tc>
      </w:tr>
    </w:tbl>
    <w:p>
      <w:pPr>
        <w:pStyle w:val="Heading2"/>
        <w:spacing w:after="120" w:before="280"/>
      </w:pPr>
      <w:r>
        <w:rPr>
          <w:rFonts w:ascii="Calibri" w:cs="Calibri" w:eastAsia="Calibri" w:hAnsi="Calibri"/>
          <w:b/>
          <w:bCs/>
          <w:color w:val="1F3552"/>
          <w:sz w:val="24"/>
          <w:szCs w:val="24"/>
        </w:rPr>
        <w:t xml:space="preserve">5.2 Suggested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200"/>
      </w:tblGrid>
      <w:tr>
        <w:trPr>
          <w:tblHeader/>
        </w:trPr>
        <w:tc>
          <w:tcPr>
            <w:tcW w:type="dxa" w:w="18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Layer</w:t>
            </w:r>
          </w:p>
        </w:tc>
        <w:tc>
          <w:tcPr>
            <w:tcW w:type="dxa" w:w="3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Recommendation</w:t>
            </w:r>
          </w:p>
        </w:tc>
        <w:tc>
          <w:tcPr>
            <w:tcW w:type="dxa" w:w="4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Why</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Backend API</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Python (FastAPI) or Node.js (NestJS)</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FastAPI aligns with the team's existing Python depth; NestJS if the team prefers a TypeScript-first stack end-to-end</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Frontend</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React + TypeScript</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Component ecosystem well-suited to the Kanban/pipeline UI and dashboards this product needs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Database</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PostgreSQL</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Strong support for row-level security (tenant isolation), JSONB for flexible per-tenant custom fields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Search</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Postgres full-text search for MVP; Elasticsearch/OpenSearch if candidate-database search performance demands it later</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Avoid adding a search cluster to the MVP critical path unless load-tested need is shown</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File storage</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S3-compatible object storage</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Resumes, ID documents, signed offers — with per-tenant folder scoping and lifecycle/retention rules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Background jobs / queue</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Celery + Redis (Python) or BullMQ (Node)</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Needed for async work: resume parsing, email/SMS sending, integration webhooks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Auth</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OAuth2/OIDC with a managed identity provider (e.g. Auth0/Keycloak) plus magic-link tokens for external candidates</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Avoid building auth from scratch; candidates should not be forced to create accounts</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Hosting</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Container-based (Docker) on a managed Kubernetes service, or a PaaS (Render/Railway) for the earliest MVP to reduce ops overhead</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Start on a PaaS to move fast; graduate to Kubernetes once tenant/scale numbers justify the operational cost</w:t>
            </w:r>
          </w:p>
        </w:tc>
      </w:tr>
      <w:tr>
        <w:tc>
          <w:tcPr>
            <w:tcW w:type="dxa" w:w="1800"/>
            <w:tcMar>
              <w:top w:type="dxa" w:w="80"/>
              <w:left w:type="dxa" w:w="100"/>
              <w:bottom w:type="dxa" w:w="80"/>
              <w:right w:type="dxa" w:w="100"/>
            </w:tcMar>
          </w:tcPr>
          <w:p>
            <w:pPr>
              <w:spacing w:after="40"/>
            </w:pPr>
            <w:r>
              <w:rPr>
                <w:rFonts w:ascii="Calibri" w:cs="Calibri" w:eastAsia="Calibri" w:hAnsi="Calibri"/>
                <w:sz w:val="19"/>
                <w:szCs w:val="19"/>
              </w:rPr>
              <w:t xml:space="preserve">Observability</w:t>
            </w:r>
          </w:p>
        </w:tc>
        <w:tc>
          <w:tcPr>
            <w:tcW w:type="dxa" w:w="3400"/>
            <w:tcMar>
              <w:top w:type="dxa" w:w="80"/>
              <w:left w:type="dxa" w:w="100"/>
              <w:bottom w:type="dxa" w:w="80"/>
              <w:right w:type="dxa" w:w="100"/>
            </w:tcMar>
          </w:tcPr>
          <w:p>
            <w:pPr>
              <w:spacing w:after="40"/>
            </w:pPr>
            <w:r>
              <w:rPr>
                <w:rFonts w:ascii="Calibri" w:cs="Calibri" w:eastAsia="Calibri" w:hAnsi="Calibri"/>
                <w:sz w:val="19"/>
                <w:szCs w:val="19"/>
              </w:rPr>
              <w:t xml:space="preserve">Structured logging + an APM tool (e.g. Sentry, Grafana stack)</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Audit-log and compliance requirements make structured, queryable logs a first-class need, not an afterthought</w:t>
            </w:r>
          </w:p>
        </w:tc>
      </w:tr>
    </w:tbl>
    <w:p>
      <w:pPr>
        <w:pStyle w:val="Heading2"/>
        <w:spacing w:after="120" w:before="280"/>
      </w:pPr>
      <w:r>
        <w:rPr>
          <w:rFonts w:ascii="Calibri" w:cs="Calibri" w:eastAsia="Calibri" w:hAnsi="Calibri"/>
          <w:b/>
          <w:bCs/>
          <w:color w:val="1F3552"/>
          <w:sz w:val="24"/>
          <w:szCs w:val="24"/>
        </w:rPr>
        <w:t xml:space="preserve">5.3 Key Architectural Decisions to Lock Early</w:t>
      </w:r>
    </w:p>
    <w:p>
      <w:pPr>
        <w:pStyle w:val="ListParagraph"/>
        <w:numPr>
          <w:ilvl w:val="0"/>
          <w:numId w:val="4"/>
        </w:numPr>
        <w:spacing w:after="80" w:line="280"/>
      </w:pPr>
      <w:r>
        <w:rPr>
          <w:rFonts w:ascii="Calibri" w:cs="Calibri" w:eastAsia="Calibri" w:hAnsi="Calibri"/>
          <w:color w:val="222222"/>
          <w:sz w:val="21"/>
          <w:szCs w:val="21"/>
        </w:rPr>
        <w:t xml:space="preserve">Tenant context propagation — decide the mechanism (JWT claim, header, or subdomain-based) before any data-access code is written.</w:t>
      </w:r>
    </w:p>
    <w:p>
      <w:pPr>
        <w:pStyle w:val="ListParagraph"/>
        <w:numPr>
          <w:ilvl w:val="0"/>
          <w:numId w:val="4"/>
        </w:numPr>
        <w:spacing w:after="80" w:line="280"/>
      </w:pPr>
      <w:r>
        <w:rPr>
          <w:rFonts w:ascii="Calibri" w:cs="Calibri" w:eastAsia="Calibri" w:hAnsi="Calibri"/>
          <w:color w:val="222222"/>
          <w:sz w:val="21"/>
          <w:szCs w:val="21"/>
        </w:rPr>
        <w:t xml:space="preserve">Candidate identity across tenants — decide whether the same person applying to two different tenant companies is one global candidate record or two independent ones (recommendation: independent per tenant for MVP, to avoid cross-tenant data-sharing complexity; revisit for agency use case).</w:t>
      </w:r>
    </w:p>
    <w:p>
      <w:pPr>
        <w:pStyle w:val="ListParagraph"/>
        <w:numPr>
          <w:ilvl w:val="0"/>
          <w:numId w:val="4"/>
        </w:numPr>
        <w:spacing w:after="80" w:line="280"/>
      </w:pPr>
      <w:r>
        <w:rPr>
          <w:rFonts w:ascii="Calibri" w:cs="Calibri" w:eastAsia="Calibri" w:hAnsi="Calibri"/>
          <w:color w:val="222222"/>
          <w:sz w:val="21"/>
          <w:szCs w:val="21"/>
        </w:rPr>
        <w:t xml:space="preserve">Document storage &amp; retention — define default retention periods per document type before onboarding launches, since DPDP Act compliance depends on this being decided, not defaulted to 'forever'.</w:t>
      </w:r>
    </w:p>
    <w:p>
      <w:pPr>
        <w:pStyle w:val="ListParagraph"/>
        <w:numPr>
          <w:ilvl w:val="0"/>
          <w:numId w:val="4"/>
        </w:numPr>
        <w:spacing w:after="80" w:line="280"/>
      </w:pPr>
      <w:r>
        <w:rPr>
          <w:rFonts w:ascii="Calibri" w:cs="Calibri" w:eastAsia="Calibri" w:hAnsi="Calibri"/>
          <w:color w:val="222222"/>
          <w:sz w:val="21"/>
          <w:szCs w:val="21"/>
        </w:rPr>
        <w:t xml:space="preserve">Integration abstraction — build an internal adapter layer for job boards / e-sign / BGV providers so a vendor swap doesn't touch core pipeline logic.</w:t>
      </w:r>
    </w:p>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6. Compliance &amp; Data Protection</w:t>
      </w:r>
    </w:p>
    <w:p>
      <w:pPr>
        <w:spacing w:after="160" w:line="300"/>
      </w:pPr>
      <w:r>
        <w:rPr>
          <w:rFonts w:ascii="Calibri" w:cs="Calibri" w:eastAsia="Calibri" w:hAnsi="Calibri"/>
          <w:color w:val="222222"/>
          <w:sz w:val="21"/>
          <w:szCs w:val="21"/>
        </w:rPr>
        <w:t xml:space="preserve">Because this product's core asset is candidate and employee personal data, compliance is a product requirement, not a legal afterthought bolted on later.</w:t>
      </w:r>
    </w:p>
    <w:p>
      <w:pPr>
        <w:pStyle w:val="Heading2"/>
        <w:spacing w:after="120" w:before="280"/>
      </w:pPr>
      <w:r>
        <w:rPr>
          <w:rFonts w:ascii="Calibri" w:cs="Calibri" w:eastAsia="Calibri" w:hAnsi="Calibri"/>
          <w:b/>
          <w:bCs/>
          <w:color w:val="1F3552"/>
          <w:sz w:val="24"/>
          <w:szCs w:val="24"/>
        </w:rPr>
        <w:t xml:space="preserve">6.1 India — Digital Personal Data Protection Act, 2023 (DPDP Act)</w:t>
      </w:r>
    </w:p>
    <w:p>
      <w:pPr>
        <w:pStyle w:val="ListParagraph"/>
        <w:numPr>
          <w:ilvl w:val="0"/>
          <w:numId w:val="3"/>
        </w:numPr>
        <w:spacing w:after="80" w:line="280"/>
      </w:pPr>
      <w:r>
        <w:rPr>
          <w:rFonts w:ascii="Calibri" w:cs="Calibri" w:eastAsia="Calibri" w:hAnsi="Calibri"/>
          <w:color w:val="222222"/>
          <w:sz w:val="21"/>
          <w:szCs w:val="21"/>
        </w:rPr>
        <w:t xml:space="preserve">Recruitment-related processing (identity, contact, resume, role-fit data) can generally proceed under the Act's 'legitimate use' basis for employment purposes; anything beyond that — e.g. using candidate data for marketing, or optional AI profiling — requires separate, explicit consent captured and timestamped in the system.</w:t>
      </w:r>
    </w:p>
    <w:p>
      <w:pPr>
        <w:pStyle w:val="ListParagraph"/>
        <w:numPr>
          <w:ilvl w:val="0"/>
          <w:numId w:val="3"/>
        </w:numPr>
        <w:spacing w:after="80" w:line="280"/>
      </w:pPr>
      <w:r>
        <w:rPr>
          <w:rFonts w:ascii="Calibri" w:cs="Calibri" w:eastAsia="Calibri" w:hAnsi="Calibri"/>
          <w:color w:val="222222"/>
          <w:sz w:val="21"/>
          <w:szCs w:val="21"/>
        </w:rPr>
        <w:t xml:space="preserve">Background verification specifically requires explicit, recorded candidate consent before a check is initiated — this must be a hard gate in the Background Verification module, not a checkbox on a form nobody enforces.</w:t>
      </w:r>
    </w:p>
    <w:p>
      <w:pPr>
        <w:pStyle w:val="ListParagraph"/>
        <w:numPr>
          <w:ilvl w:val="0"/>
          <w:numId w:val="3"/>
        </w:numPr>
        <w:spacing w:after="80" w:line="280"/>
      </w:pPr>
      <w:r>
        <w:rPr>
          <w:rFonts w:ascii="Calibri" w:cs="Calibri" w:eastAsia="Calibri" w:hAnsi="Calibri"/>
          <w:color w:val="222222"/>
          <w:sz w:val="21"/>
          <w:szCs w:val="21"/>
        </w:rPr>
        <w:t xml:space="preserve">Retention: the product must let each tenant define retention periods per data category (resume, ID document, BGV result) and auto-purge or anonymize on expiry, distinguishing statutory retention (e.g. payroll/tax records) from data with no ongoing legal basis to keep.</w:t>
      </w:r>
    </w:p>
    <w:p>
      <w:pPr>
        <w:pStyle w:val="ListParagraph"/>
        <w:numPr>
          <w:ilvl w:val="0"/>
          <w:numId w:val="3"/>
        </w:numPr>
        <w:spacing w:after="80" w:line="280"/>
      </w:pPr>
      <w:r>
        <w:rPr>
          <w:rFonts w:ascii="Calibri" w:cs="Calibri" w:eastAsia="Calibri" w:hAnsi="Calibri"/>
          <w:color w:val="222222"/>
          <w:sz w:val="21"/>
          <w:szCs w:val="21"/>
        </w:rPr>
        <w:t xml:space="preserve">Data principal rights: candidates and employees must be able to request access, correction, and consent withdrawal; the product needs an operational workflow (not just a policy document) for HR admins to action these requests within a defined SLA.</w:t>
      </w:r>
    </w:p>
    <w:p>
      <w:pPr>
        <w:pStyle w:val="ListParagraph"/>
        <w:numPr>
          <w:ilvl w:val="0"/>
          <w:numId w:val="3"/>
        </w:numPr>
        <w:spacing w:after="80" w:line="280"/>
      </w:pPr>
      <w:r>
        <w:rPr>
          <w:rFonts w:ascii="Calibri" w:cs="Calibri" w:eastAsia="Calibri" w:hAnsi="Calibri"/>
          <w:color w:val="222222"/>
          <w:sz w:val="21"/>
          <w:szCs w:val="21"/>
        </w:rPr>
        <w:t xml:space="preserve">Vendor accountability: every third-party integration that touches candidate PII (BGV provider, e-sign, SMS gateway) needs a DPDP-aligned data processing agreement, and the product should log what data crosses to which vendor.</w:t>
      </w:r>
    </w:p>
    <w:p>
      <w:pPr>
        <w:pStyle w:val="Heading2"/>
        <w:spacing w:after="120" w:before="280"/>
      </w:pPr>
      <w:r>
        <w:rPr>
          <w:rFonts w:ascii="Calibri" w:cs="Calibri" w:eastAsia="Calibri" w:hAnsi="Calibri"/>
          <w:b/>
          <w:bCs/>
          <w:color w:val="1F3552"/>
          <w:sz w:val="24"/>
          <w:szCs w:val="24"/>
        </w:rPr>
        <w:t xml:space="preserve">6.2 Forward Compatibility</w:t>
      </w:r>
    </w:p>
    <w:p>
      <w:pPr>
        <w:spacing w:after="160" w:line="300"/>
      </w:pPr>
      <w:r>
        <w:rPr>
          <w:rFonts w:ascii="Calibri" w:cs="Calibri" w:eastAsia="Calibri" w:hAnsi="Calibri"/>
          <w:color w:val="222222"/>
          <w:sz w:val="21"/>
          <w:szCs w:val="21"/>
        </w:rPr>
        <w:t xml:space="preserve">For customers with international hiring (or EU-based candidates), the architecture should not preclude later GDPR alignment — principally: data minimization by design, a documented lawful basis per data category, and the ability to export or delete a full candidate record on request. None of this needs to be built for MVP, but the data model decisions in Section 4 (a discrete, deletable Candidate entity with linked-not-embedded documents) keep this option open.</w:t>
      </w:r>
    </w:p>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7. Assumptions, Risks &amp; Open Questions</w:t>
      </w:r>
    </w:p>
    <w:p>
      <w:pPr>
        <w:pStyle w:val="Heading2"/>
        <w:spacing w:after="120" w:before="280"/>
      </w:pPr>
      <w:r>
        <w:rPr>
          <w:rFonts w:ascii="Calibri" w:cs="Calibri" w:eastAsia="Calibri" w:hAnsi="Calibri"/>
          <w:b/>
          <w:bCs/>
          <w:color w:val="1F3552"/>
          <w:sz w:val="24"/>
          <w:szCs w:val="24"/>
        </w:rPr>
        <w:t xml:space="preserve">7.1 Key Risks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Risk</w:t>
            </w:r>
          </w:p>
        </w:tc>
        <w:tc>
          <w:tcPr>
            <w:tcW w:type="dxa" w:w="2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Impact</w:t>
            </w:r>
          </w:p>
        </w:tc>
        <w:tc>
          <w:tcPr>
            <w:tcW w:type="dxa" w:w="4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Mitigation</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Scope creep across 7 pipeline stages for MVP</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Delays first shippable release</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Section 2.7 scope boundary + phased SDLC in Section 9; resist adding modules until MVP ships</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Third-party integration availability/cost (BGV, e-sign, job boards)</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Blocks specific module features if a vendor contract stalls</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Build the adapter layer (Section 5.3) so a vendor swap is cheap; shortlist 2 vendors per category early</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DPDP Act compliance gaps found late</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Legal/reputational risk with enterprise customers</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Treat Section 6 requirements as MVP-blocking, not a post-launch fix</w:t>
            </w:r>
          </w:p>
        </w:tc>
      </w:tr>
      <w:tr>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Multi-tenant data leakage bug</w:t>
            </w:r>
          </w:p>
        </w:tc>
        <w:tc>
          <w:tcPr>
            <w:tcW w:type="dxa" w:w="2600"/>
            <w:tcMar>
              <w:top w:type="dxa" w:w="80"/>
              <w:left w:type="dxa" w:w="100"/>
              <w:bottom w:type="dxa" w:w="80"/>
              <w:right w:type="dxa" w:w="100"/>
            </w:tcMar>
          </w:tcPr>
          <w:p>
            <w:pPr>
              <w:spacing w:after="40"/>
            </w:pPr>
            <w:r>
              <w:rPr>
                <w:rFonts w:ascii="Calibri" w:cs="Calibri" w:eastAsia="Calibri" w:hAnsi="Calibri"/>
                <w:sz w:val="19"/>
                <w:szCs w:val="19"/>
              </w:rPr>
              <w:t xml:space="preserve">Catastrophic trust failure for a B2B SaaS product</w:t>
            </w:r>
          </w:p>
        </w:tc>
        <w:tc>
          <w:tcPr>
            <w:tcW w:type="dxa" w:w="4200"/>
            <w:tcMar>
              <w:top w:type="dxa" w:w="80"/>
              <w:left w:type="dxa" w:w="100"/>
              <w:bottom w:type="dxa" w:w="80"/>
              <w:right w:type="dxa" w:w="100"/>
            </w:tcMar>
          </w:tcPr>
          <w:p>
            <w:pPr>
              <w:spacing w:after="40"/>
            </w:pPr>
            <w:r>
              <w:rPr>
                <w:rFonts w:ascii="Calibri" w:cs="Calibri" w:eastAsia="Calibri" w:hAnsi="Calibri"/>
                <w:sz w:val="19"/>
                <w:szCs w:val="19"/>
              </w:rPr>
              <w:t xml:space="preserve">Tenant-scoping enforced at the data-access layer + automated tests specifically for cross-tenant isolation</w:t>
            </w:r>
          </w:p>
        </w:tc>
      </w:tr>
    </w:tbl>
    <w:p>
      <w:pPr>
        <w:pStyle w:val="Heading2"/>
        <w:spacing w:after="120" w:before="280"/>
      </w:pPr>
      <w:r>
        <w:rPr>
          <w:rFonts w:ascii="Calibri" w:cs="Calibri" w:eastAsia="Calibri" w:hAnsi="Calibri"/>
          <w:b/>
          <w:bCs/>
          <w:color w:val="1F3552"/>
          <w:sz w:val="24"/>
          <w:szCs w:val="24"/>
        </w:rPr>
        <w:t xml:space="preserve">7.2 Open Questions (need an answer before requirements are fully frozen)</w:t>
      </w:r>
    </w:p>
    <w:p>
      <w:pPr>
        <w:pStyle w:val="ListParagraph"/>
        <w:numPr>
          <w:ilvl w:val="0"/>
          <w:numId w:val="5"/>
        </w:numPr>
        <w:spacing w:after="80" w:line="280"/>
      </w:pPr>
      <w:r>
        <w:rPr>
          <w:rFonts w:ascii="Calibri" w:cs="Calibri" w:eastAsia="Calibri" w:hAnsi="Calibri"/>
          <w:color w:val="222222"/>
          <w:sz w:val="21"/>
          <w:szCs w:val="21"/>
        </w:rPr>
        <w:t xml:space="preserve">Target launch timeline and team size — how many engineers/designers, and by when should MVP ship? This determines how much of Section 3 makes the first release.</w:t>
      </w:r>
    </w:p>
    <w:p>
      <w:pPr>
        <w:pStyle w:val="ListParagraph"/>
        <w:numPr>
          <w:ilvl w:val="0"/>
          <w:numId w:val="5"/>
        </w:numPr>
        <w:spacing w:after="80" w:line="280"/>
      </w:pPr>
      <w:r>
        <w:rPr>
          <w:rFonts w:ascii="Calibri" w:cs="Calibri" w:eastAsia="Calibri" w:hAnsi="Calibri"/>
          <w:color w:val="222222"/>
          <w:sz w:val="21"/>
          <w:szCs w:val="21"/>
        </w:rPr>
        <w:t xml:space="preserve">Pricing/packaging model — per-seat, per-employee, or per-tenant flat fee? This affects whether usage limits need to be enforced in-product.</w:t>
      </w:r>
    </w:p>
    <w:p>
      <w:pPr>
        <w:pStyle w:val="ListParagraph"/>
        <w:numPr>
          <w:ilvl w:val="0"/>
          <w:numId w:val="5"/>
        </w:numPr>
        <w:spacing w:after="80" w:line="280"/>
      </w:pPr>
      <w:r>
        <w:rPr>
          <w:rFonts w:ascii="Calibri" w:cs="Calibri" w:eastAsia="Calibri" w:hAnsi="Calibri"/>
          <w:color w:val="222222"/>
          <w:sz w:val="21"/>
          <w:szCs w:val="21"/>
        </w:rPr>
        <w:t xml:space="preserve">First 2–3 design-partner customers — do we have specific companies lined up to validate the workflow before building for a generic market?</w:t>
      </w:r>
    </w:p>
    <w:p>
      <w:pPr>
        <w:pStyle w:val="ListParagraph"/>
        <w:numPr>
          <w:ilvl w:val="0"/>
          <w:numId w:val="5"/>
        </w:numPr>
        <w:spacing w:after="80" w:line="280"/>
      </w:pPr>
      <w:r>
        <w:rPr>
          <w:rFonts w:ascii="Calibri" w:cs="Calibri" w:eastAsia="Calibri" w:hAnsi="Calibri"/>
          <w:color w:val="222222"/>
          <w:sz w:val="21"/>
          <w:szCs w:val="21"/>
        </w:rPr>
        <w:t xml:space="preserve">Agency use case priority — is multi-client management for staffing agencies MVP-critical or a fast-follow?</w:t>
      </w:r>
    </w:p>
    <w:p>
      <w:pPr>
        <w:pStyle w:val="ListParagraph"/>
        <w:numPr>
          <w:ilvl w:val="0"/>
          <w:numId w:val="5"/>
        </w:numPr>
        <w:spacing w:after="80" w:line="280"/>
      </w:pPr>
      <w:r>
        <w:rPr>
          <w:rFonts w:ascii="Calibri" w:cs="Calibri" w:eastAsia="Calibri" w:hAnsi="Calibri"/>
          <w:color w:val="222222"/>
          <w:sz w:val="21"/>
          <w:szCs w:val="21"/>
        </w:rPr>
        <w:t xml:space="preserve">Preferred e-sign and BGV vendors — any existing Phoneme relationships/contracts to build against first?</w:t>
      </w:r>
    </w:p>
    <w:p>
      <w:pPr>
        <w:pStyle w:val="ListParagraph"/>
        <w:numPr>
          <w:ilvl w:val="0"/>
          <w:numId w:val="5"/>
        </w:numPr>
        <w:spacing w:after="80" w:line="280"/>
      </w:pPr>
      <w:r>
        <w:rPr>
          <w:rFonts w:ascii="Calibri" w:cs="Calibri" w:eastAsia="Calibri" w:hAnsi="Calibri"/>
          <w:color w:val="222222"/>
          <w:sz w:val="21"/>
          <w:szCs w:val="21"/>
        </w:rPr>
        <w:t xml:space="preserve">Branding direction for the product itself — working name used here is 'Phoneme HR Suite'; confirm before it appears in customer-facing UI.</w:t>
      </w:r>
    </w:p>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8.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Term</w:t>
            </w:r>
          </w:p>
        </w:tc>
        <w:tc>
          <w:tcPr>
            <w:tcW w:type="dxa" w:w="7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Meaning</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ATS</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Applicant Tracking System — software that manages the recruitment pipeline</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BGV</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Background Verification</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BRD</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Business Requirements Document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PRD</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Product Requirements Document</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Tenant</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One customer company using the SaaS product, with its own isolated data</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DPDP Act</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Digital Personal Data Protection Act, 2023 (India)</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Requisition</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A formal request/approval to hire for an open role</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Data principal</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DPDP Act term for the individual whose personal data is being processed (candidate/employee)</w:t>
            </w:r>
          </w:p>
        </w:tc>
      </w:tr>
    </w:tbl>
    <w:p>
      <w:r>
        <w:br w:type="page"/>
      </w:r>
    </w:p>
    <w:p>
      <w:pPr>
        <w:pStyle w:val="Heading1"/>
        <w:pBdr>
          <w:bottom w:val="single" w:color="1F3552" w:sz="6" w:space="4"/>
        </w:pBdr>
        <w:spacing w:after="160" w:before="360"/>
      </w:pPr>
      <w:r>
        <w:rPr>
          <w:rFonts w:ascii="Calibri" w:cs="Calibri" w:eastAsia="Calibri" w:hAnsi="Calibri"/>
          <w:b/>
          <w:bCs/>
          <w:color w:val="1F3552"/>
          <w:sz w:val="30"/>
          <w:szCs w:val="30"/>
        </w:rPr>
        <w:t xml:space="preserve">9. SDLC Roadmap — From This Document to a Shipped Product</w:t>
      </w:r>
    </w:p>
    <w:p>
      <w:pPr>
        <w:spacing w:after="160" w:line="300"/>
      </w:pPr>
      <w:r>
        <w:rPr>
          <w:rFonts w:ascii="Calibri" w:cs="Calibri" w:eastAsia="Calibri" w:hAnsi="Calibri"/>
          <w:color w:val="222222"/>
          <w:sz w:val="21"/>
          <w:szCs w:val="21"/>
        </w:rPr>
        <w:t xml:space="preserve">This document is the input to the Requirements phase of the SDLC. Below is the recommended path from here through to a live MVP and beyond, with the artifact or activity expected at each phase.</w:t>
      </w:r>
    </w:p>
    <w:p>
      <w:pPr>
        <w:pStyle w:val="Heading2"/>
        <w:spacing w:after="120" w:before="280"/>
      </w:pPr>
      <w:r>
        <w:rPr>
          <w:rFonts w:ascii="Calibri" w:cs="Calibri" w:eastAsia="Calibri" w:hAnsi="Calibri"/>
          <w:b/>
          <w:bCs/>
          <w:color w:val="1F3552"/>
          <w:sz w:val="24"/>
          <w:szCs w:val="24"/>
        </w:rPr>
        <w:t xml:space="preserve">9.1 Phase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400"/>
      </w:tblGrid>
      <w:tr>
        <w:trPr>
          <w:tblHeader/>
        </w:trPr>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Phase</w:t>
            </w:r>
          </w:p>
        </w:tc>
        <w:tc>
          <w:tcPr>
            <w:tcW w:type="dxa" w:w="46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Key activities</w:t>
            </w:r>
          </w:p>
        </w:tc>
        <w:tc>
          <w:tcPr>
            <w:tcW w:type="dxa" w:w="24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Primary output</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1. Requirements freeze (current)</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Stakeholder review of this BRD/PRD; resolve Section 7.2 open questions; sign-off</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Frozen v1.0 BRD/PRD</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2. UX design</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Wireframes/flows for the pipeline board, candidate portal, onboarding checklist; usability review</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Clickable prototype (Figma or similar)</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3. Technical design</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Finalize architecture decisions (Section 5.3), data schema, API contracts, integration adapter design</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Technical design doc + API spec</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4. MVP sprint planning</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Break Section 3 features into epics/stories, prioritize Must-have items into sprints, estimate</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Sprint-ready backlog</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5. Development</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Iterative build in 2-week sprints; module-by-module per Section 3, starting with Requisition + Sourcing + Screening</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Working software, sprint by sprint</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6. QA &amp; security testing</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Functional QA, cross-tenant isolation testing, DPDP compliance checklist review, load testing</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Test reports, sign-off to release</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7. Pilot / design-partner launch</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Onboard 2–3 design-partner tenants, gather structured feedback</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Validated MVP + case studies</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8. General availability</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Public launch, pricing live, support processes in place</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Live product</w:t>
            </w:r>
          </w:p>
        </w:tc>
      </w:tr>
      <w:tr>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9. Post-launch iteration</w:t>
            </w:r>
          </w:p>
        </w:tc>
        <w:tc>
          <w:tcPr>
            <w:tcW w:type="dxa" w:w="4600"/>
            <w:tcMar>
              <w:top w:type="dxa" w:w="80"/>
              <w:left w:type="dxa" w:w="100"/>
              <w:bottom w:type="dxa" w:w="80"/>
              <w:right w:type="dxa" w:w="100"/>
            </w:tcMar>
          </w:tcPr>
          <w:p>
            <w:pPr>
              <w:spacing w:after="40"/>
            </w:pPr>
            <w:r>
              <w:rPr>
                <w:rFonts w:ascii="Calibri" w:cs="Calibri" w:eastAsia="Calibri" w:hAnsi="Calibri"/>
                <w:sz w:val="19"/>
                <w:szCs w:val="19"/>
              </w:rPr>
              <w:t xml:space="preserve">Prioritize Should-have/Could-have backlog based on real usage and customer feedback</w:t>
            </w:r>
          </w:p>
        </w:tc>
        <w:tc>
          <w:tcPr>
            <w:tcW w:type="dxa" w:w="2400"/>
            <w:tcMar>
              <w:top w:type="dxa" w:w="80"/>
              <w:left w:type="dxa" w:w="100"/>
              <w:bottom w:type="dxa" w:w="80"/>
              <w:right w:type="dxa" w:w="100"/>
            </w:tcMar>
          </w:tcPr>
          <w:p>
            <w:pPr>
              <w:spacing w:after="40"/>
            </w:pPr>
            <w:r>
              <w:rPr>
                <w:rFonts w:ascii="Calibri" w:cs="Calibri" w:eastAsia="Calibri" w:hAnsi="Calibri"/>
                <w:sz w:val="19"/>
                <w:szCs w:val="19"/>
              </w:rPr>
              <w:t xml:space="preserve">Ongoing release cadence</w:t>
            </w:r>
          </w:p>
        </w:tc>
      </w:tr>
    </w:tbl>
    <w:p>
      <w:pPr>
        <w:pStyle w:val="Heading2"/>
        <w:spacing w:after="120" w:before="280"/>
      </w:pPr>
      <w:r>
        <w:rPr>
          <w:rFonts w:ascii="Calibri" w:cs="Calibri" w:eastAsia="Calibri" w:hAnsi="Calibri"/>
          <w:b/>
          <w:bCs/>
          <w:color w:val="1F3552"/>
          <w:sz w:val="24"/>
          <w:szCs w:val="24"/>
        </w:rPr>
        <w:t xml:space="preserve">9.2 Suggested First Three Sprints (illustrative)</w:t>
      </w:r>
    </w:p>
    <w:p>
      <w:pPr>
        <w:pStyle w:val="ListParagraph"/>
        <w:numPr>
          <w:ilvl w:val="0"/>
          <w:numId w:val="3"/>
        </w:numPr>
        <w:spacing w:after="80" w:line="280"/>
      </w:pPr>
      <w:r>
        <w:rPr>
          <w:rFonts w:ascii="Calibri" w:cs="Calibri" w:eastAsia="Calibri" w:hAnsi="Calibri"/>
          <w:color w:val="222222"/>
          <w:sz w:val="21"/>
          <w:szCs w:val="21"/>
        </w:rPr>
        <w:t xml:space="preserve">Sprint 0: Environment setup, tenant/auth foundation, CI/CD pipeline, base data model (Section 4) implemented.</w:t>
      </w:r>
    </w:p>
    <w:p>
      <w:pPr>
        <w:pStyle w:val="ListParagraph"/>
        <w:numPr>
          <w:ilvl w:val="0"/>
          <w:numId w:val="3"/>
        </w:numPr>
        <w:spacing w:after="80" w:line="280"/>
      </w:pPr>
      <w:r>
        <w:rPr>
          <w:rFonts w:ascii="Calibri" w:cs="Calibri" w:eastAsia="Calibri" w:hAnsi="Calibri"/>
          <w:color w:val="222222"/>
          <w:sz w:val="21"/>
          <w:szCs w:val="21"/>
        </w:rPr>
        <w:t xml:space="preserve">Sprints 1–2: Job Requisition module + Candidate Sourcing/Search module (resume upload, parsing, database search).</w:t>
      </w:r>
    </w:p>
    <w:p>
      <w:pPr>
        <w:pStyle w:val="ListParagraph"/>
        <w:numPr>
          <w:ilvl w:val="0"/>
          <w:numId w:val="3"/>
        </w:numPr>
        <w:spacing w:after="80" w:line="280"/>
      </w:pPr>
      <w:r>
        <w:rPr>
          <w:rFonts w:ascii="Calibri" w:cs="Calibri" w:eastAsia="Calibri" w:hAnsi="Calibri"/>
          <w:color w:val="222222"/>
          <w:sz w:val="21"/>
          <w:szCs w:val="21"/>
        </w:rPr>
        <w:t xml:space="preserve">Sprints 3–4: Screening/pipeline board + Interview Scheduling, since these two are used daily and validate the core workflow with a design-partner tenant early.</w:t>
      </w:r>
    </w:p>
    <w:p>
      <w:pPr>
        <w:pStyle w:val="Heading2"/>
        <w:spacing w:after="120" w:before="280"/>
      </w:pPr>
      <w:r>
        <w:rPr>
          <w:rFonts w:ascii="Calibri" w:cs="Calibri" w:eastAsia="Calibri" w:hAnsi="Calibri"/>
          <w:b/>
          <w:bCs/>
          <w:color w:val="1F3552"/>
          <w:sz w:val="24"/>
          <w:szCs w:val="24"/>
        </w:rPr>
        <w:t xml:space="preserve">9.3 Recommended Working Tools by SDLC Phase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Phase</w:t>
            </w:r>
          </w:p>
        </w:tc>
        <w:tc>
          <w:tcPr>
            <w:tcW w:type="dxa" w:w="7200"/>
            <w:shd w:fill="1F3552" w:color="auto" w:val="clear"/>
            <w:tcMar>
              <w:top w:type="dxa" w:w="80"/>
              <w:left w:type="dxa" w:w="100"/>
              <w:bottom w:type="dxa" w:w="80"/>
              <w:right w:type="dxa" w:w="100"/>
            </w:tcMar>
          </w:tcPr>
          <w:p>
            <w:pPr>
              <w:spacing w:after="40"/>
            </w:pPr>
            <w:r>
              <w:rPr>
                <w:rFonts w:ascii="Calibri" w:cs="Calibri" w:eastAsia="Calibri" w:hAnsi="Calibri"/>
                <w:b/>
                <w:bCs/>
                <w:color w:val="FFFFFF"/>
                <w:sz w:val="19"/>
                <w:szCs w:val="19"/>
              </w:rPr>
              <w:t xml:space="preserve">Suggested approach</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UX design</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Use a design tool for wireframes/prototypes (e.g. Figma); run structured usability review before the technical design phase locks in screens</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Requirements/backlog management</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Move this document's Section 3 feature tables into a tracked backlog (Jira/Linear) as epics, tagged by module and priority (Must/Should/Could)</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Technical design review</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A written technical design doc per major module (Requisition, Sourcing, Onboarding, etc.) reviewed before implementation starts, not after</w:t>
            </w:r>
          </w:p>
        </w:tc>
      </w:tr>
      <w:tr>
        <w:tc>
          <w:tcPr>
            <w:tcW w:type="dxa" w:w="2200"/>
            <w:tcMar>
              <w:top w:type="dxa" w:w="80"/>
              <w:left w:type="dxa" w:w="100"/>
              <w:bottom w:type="dxa" w:w="80"/>
              <w:right w:type="dxa" w:w="100"/>
            </w:tcMar>
          </w:tcPr>
          <w:p>
            <w:pPr>
              <w:spacing w:after="40"/>
            </w:pPr>
            <w:r>
              <w:rPr>
                <w:rFonts w:ascii="Calibri" w:cs="Calibri" w:eastAsia="Calibri" w:hAnsi="Calibri"/>
                <w:sz w:val="19"/>
                <w:szCs w:val="19"/>
              </w:rPr>
              <w:t xml:space="preserve">QA</w:t>
            </w:r>
          </w:p>
        </w:tc>
        <w:tc>
          <w:tcPr>
            <w:tcW w:type="dxa" w:w="7200"/>
            <w:tcMar>
              <w:top w:type="dxa" w:w="80"/>
              <w:left w:type="dxa" w:w="100"/>
              <w:bottom w:type="dxa" w:w="80"/>
              <w:right w:type="dxa" w:w="100"/>
            </w:tcMar>
          </w:tcPr>
          <w:p>
            <w:pPr>
              <w:spacing w:after="40"/>
            </w:pPr>
            <w:r>
              <w:rPr>
                <w:rFonts w:ascii="Calibri" w:cs="Calibri" w:eastAsia="Calibri" w:hAnsi="Calibri"/>
                <w:sz w:val="19"/>
                <w:szCs w:val="19"/>
              </w:rPr>
              <w:t xml:space="preserve">Maintain a DPDP-compliance checklist and a cross-tenant-isolation test suite as first-class, ongoing test artifacts — not one-time checks</w:t>
            </w:r>
          </w:p>
        </w:tc>
      </w:tr>
    </w:tbl>
    <w:p>
      <w:pPr>
        <w:pStyle w:val="Heading2"/>
        <w:spacing w:after="120" w:before="280"/>
      </w:pPr>
      <w:r>
        <w:rPr>
          <w:rFonts w:ascii="Calibri" w:cs="Calibri" w:eastAsia="Calibri" w:hAnsi="Calibri"/>
          <w:b/>
          <w:bCs/>
          <w:color w:val="1F3552"/>
          <w:sz w:val="24"/>
          <w:szCs w:val="24"/>
        </w:rPr>
        <w:t xml:space="preserve">9.4 Immediate Next Steps</w:t>
      </w:r>
    </w:p>
    <w:p>
      <w:pPr>
        <w:pStyle w:val="ListParagraph"/>
        <w:numPr>
          <w:ilvl w:val="0"/>
          <w:numId w:val="6"/>
        </w:numPr>
        <w:spacing w:after="80" w:line="280"/>
      </w:pPr>
      <w:r>
        <w:rPr>
          <w:rFonts w:ascii="Calibri" w:cs="Calibri" w:eastAsia="Calibri" w:hAnsi="Calibri"/>
          <w:color w:val="222222"/>
          <w:sz w:val="21"/>
          <w:szCs w:val="21"/>
        </w:rPr>
        <w:t xml:space="preserve">Circulate this draft to stakeholders and collect answers to the open questions in Section 7.2.</w:t>
      </w:r>
    </w:p>
    <w:p>
      <w:pPr>
        <w:pStyle w:val="ListParagraph"/>
        <w:numPr>
          <w:ilvl w:val="0"/>
          <w:numId w:val="6"/>
        </w:numPr>
        <w:spacing w:after="80" w:line="280"/>
      </w:pPr>
      <w:r>
        <w:rPr>
          <w:rFonts w:ascii="Calibri" w:cs="Calibri" w:eastAsia="Calibri" w:hAnsi="Calibri"/>
          <w:color w:val="222222"/>
          <w:sz w:val="21"/>
          <w:szCs w:val="21"/>
        </w:rPr>
        <w:t xml:space="preserve">Once scope is confirmed, move to UX wireframes for the three highest-frequency screens: pipeline board, candidate profile, onboarding checklist.</w:t>
      </w:r>
    </w:p>
    <w:p>
      <w:pPr>
        <w:pStyle w:val="ListParagraph"/>
        <w:numPr>
          <w:ilvl w:val="0"/>
          <w:numId w:val="6"/>
        </w:numPr>
        <w:spacing w:after="80" w:line="280"/>
      </w:pPr>
      <w:r>
        <w:rPr>
          <w:rFonts w:ascii="Calibri" w:cs="Calibri" w:eastAsia="Calibri" w:hAnsi="Calibri"/>
          <w:color w:val="222222"/>
          <w:sz w:val="21"/>
          <w:szCs w:val="21"/>
        </w:rPr>
        <w:t xml:space="preserve">Stand up the technical design doc for the tenant/auth foundation, since every other module depends on it.</w:t>
      </w:r>
    </w:p>
    <w:p>
      <w:pPr>
        <w:pStyle w:val="ListParagraph"/>
        <w:numPr>
          <w:ilvl w:val="0"/>
          <w:numId w:val="6"/>
        </w:numPr>
        <w:spacing w:after="80" w:line="280"/>
      </w:pPr>
      <w:r>
        <w:rPr>
          <w:rFonts w:ascii="Calibri" w:cs="Calibri" w:eastAsia="Calibri" w:hAnsi="Calibri"/>
          <w:color w:val="222222"/>
          <w:sz w:val="21"/>
          <w:szCs w:val="21"/>
        </w:rPr>
        <w:t xml:space="preserve">Shortlist e-sign and BGV vendors so integration work isn't blocked later in the build.</w:t>
      </w:r>
    </w:p>
    <w:p>
      <w:pPr>
        <w:spacing w:after="300"/>
      </w:pPr>
    </w:p>
    <w:p>
      <w:pPr>
        <w:pBdr>
          <w:top w:val="single" w:color="EFEFEF" w:sz="4" w:space="8"/>
        </w:pBdr>
        <w:spacing w:before="200"/>
      </w:pPr>
      <w:r>
        <w:rPr>
          <w:rFonts w:ascii="Calibri" w:cs="Calibri" w:eastAsia="Calibri" w:hAnsi="Calibri"/>
          <w:i/>
          <w:iCs/>
          <w:color w:val="5B6470"/>
          <w:sz w:val="18"/>
          <w:szCs w:val="18"/>
        </w:rPr>
        <w:t xml:space="preserve">End of document — draft v0.1, prepared for stakeholder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0"/>
        <w:sz w:val="16"/>
        <w:szCs w:val="16"/>
      </w:rPr>
      <w:t xml:space="preserve">Page </w:t>
    </w:r>
    <w:r>
      <w:rPr>
        <w:rFonts w:ascii="Calibri" w:cs="Calibri" w:eastAsia="Calibri" w:hAnsi="Calibri"/>
        <w:color w:val="5B6470"/>
        <w:sz w:val="16"/>
        <w:szCs w:val="16"/>
      </w:rPr>
      <w:fldChar w:fldCharType="begin"/>
      <w:instrText xml:space="preserve">PAGE</w:instrText>
      <w:fldChar w:fldCharType="separate"/>
      <w:fldChar w:fldCharType="end"/>
    </w:r>
    <w:r>
      <w:rPr>
        <w:rFonts w:ascii="Calibri" w:cs="Calibri" w:eastAsia="Calibri" w:hAnsi="Calibri"/>
        <w:color w:val="5B6470"/>
        <w:sz w:val="16"/>
        <w:szCs w:val="16"/>
      </w:rPr>
      <w:t xml:space="preserve"> of </w:t>
    </w:r>
    <w:r>
      <w:rPr>
        <w:rFonts w:ascii="Calibri" w:cs="Calibri" w:eastAsia="Calibri" w:hAnsi="Calibri"/>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FEF" w:sz="4" w:space="4"/>
      </w:pBdr>
      <w:jc w:val="right"/>
    </w:pPr>
    <w:r>
      <w:rPr>
        <w:rFonts w:ascii="Calibri" w:cs="Calibri" w:eastAsia="Calibri" w:hAnsi="Calibri"/>
        <w:color w:val="5B6470"/>
        <w:sz w:val="16"/>
        <w:szCs w:val="16"/>
      </w:rPr>
      <w:t xml:space="preserve">Phoneme HR Suite — BRD &amp;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2026-09-03T08:34:21.145Z</dcterms:created>
  <dcterms:modified xsi:type="dcterms:W3CDTF">2026-09-03T08:34:21.145Z</dcterms:modified>
</cp:coreProperties>
</file>

<file path=docProps/custom.xml><?xml version="1.0" encoding="utf-8"?>
<Properties xmlns="http://schemas.openxmlformats.org/officeDocument/2006/custom-properties" xmlns:vt="http://schemas.openxmlformats.org/officeDocument/2006/docPropsVTypes"/>
</file>