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drawing>
          <wp:inline distT="0" distB="0" distL="0" distR="0">
            <wp:extent cx="1809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523875"/>
                    </a:xfrm>
                    <a:prstGeom prst="rect">
                      <a:avLst/>
                    </a:prstGeom>
                  </pic:spPr>
                </pic:pic>
              </a:graphicData>
            </a:graphic>
          </wp:inline>
        </w:drawing>
      </w:r>
    </w:p>
    <w:p>
      <w:pPr>
        <w:spacing w:after="700"/>
      </w:pP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tcBorders>
              <w:top w:val="none" w:color="FFFFFF" w:sz="0"/>
              <w:left w:val="none" w:color="FFFFFF" w:sz="0"/>
              <w:bottom w:val="none" w:color="FFFFFF" w:sz="0"/>
              <w:right w:val="none" w:color="FFFFFF" w:sz="0"/>
            </w:tcBorders>
            <w:shd w:fill="D34817" w:color="auto" w:val="clear"/>
            <w:tcMar>
              <w:top w:type="dxa" w:w="260"/>
              <w:left w:type="dxa" w:w="300"/>
              <w:bottom w:type="dxa" w:w="260"/>
              <w:right w:type="dxa" w:w="300"/>
            </w:tcMar>
          </w:tcPr>
          <w:p>
            <w:pPr>
              <w:spacing w:after="120"/>
              <w:jc w:val="center"/>
            </w:pPr>
            <w:r>
              <w:rPr>
                <w:rFonts w:ascii="Calibri" w:cs="Calibri" w:eastAsia="Calibri" w:hAnsi="Calibri"/>
                <w:b/>
                <w:bCs/>
                <w:color w:val="FFFFFF"/>
                <w:sz w:val="40"/>
                <w:szCs w:val="40"/>
              </w:rPr>
              <w:t xml:space="preserve">Phoneme HR Suite</w:t>
            </w:r>
          </w:p>
          <w:p>
            <w:pPr>
              <w:jc w:val="center"/>
            </w:pPr>
            <w:r>
              <w:rPr>
                <w:rFonts w:ascii="Calibri" w:cs="Calibri" w:eastAsia="Calibri" w:hAnsi="Calibri"/>
                <w:color w:val="FFFFFF"/>
                <w:sz w:val="26"/>
                <w:szCs w:val="26"/>
              </w:rPr>
              <w:t xml:space="preserve">Candidate Search to Onboarding Module</w:t>
            </w:r>
          </w:p>
        </w:tc>
      </w:tr>
      <w:tr>
        <w:tc>
          <w:tcPr>
            <w:tcW w:type="dxa" w:w="9000"/>
            <w:tcBorders>
              <w:top w:val="none" w:color="FFFFFF" w:sz="0"/>
              <w:left w:val="none" w:color="FFFFFF" w:sz="0"/>
              <w:bottom w:val="none" w:color="FFFFFF" w:sz="0"/>
              <w:right w:val="none" w:color="FFFFFF" w:sz="0"/>
            </w:tcBorders>
            <w:shd w:fill="8C8C8C" w:color="auto" w:val="clear"/>
            <w:tcMar>
              <w:top w:type="dxa" w:w="40"/>
              <w:left w:type="dxa" w:w="0"/>
              <w:bottom w:type="dxa" w:w="40"/>
              <w:right w:type="dxa" w:w="0"/>
            </w:tcMar>
          </w:tcPr>
          <w:p/>
        </w:tc>
      </w:tr>
    </w:tbl>
    <w:p>
      <w:pPr>
        <w:spacing w:after="500"/>
      </w:pPr>
    </w:p>
    <w:p>
      <w:pPr>
        <w:jc w:val="center"/>
      </w:pPr>
      <w:r>
        <w:rPr>
          <w:rFonts w:ascii="Calibri" w:cs="Calibri" w:eastAsia="Calibri" w:hAnsi="Calibri"/>
          <w:b/>
          <w:bCs/>
          <w:color w:val="000000"/>
          <w:sz w:val="26"/>
          <w:szCs w:val="26"/>
        </w:rPr>
        <w:t xml:space="preserve">TECHNICAL &amp; BUSINESS PROPOSAL</w:t>
      </w:r>
    </w:p>
    <w:p>
      <w:pPr>
        <w:spacing w:after="2200"/>
      </w:pPr>
    </w:p>
    <w:p>
      <w:pPr>
        <w:spacing w:after="60"/>
        <w:jc w:val="center"/>
      </w:pPr>
      <w:r>
        <w:rPr>
          <w:rFonts w:ascii="Calibri" w:cs="Calibri" w:eastAsia="Calibri" w:hAnsi="Calibri"/>
          <w:b/>
          <w:bCs/>
          <w:color w:val="D34817"/>
          <w:sz w:val="20"/>
          <w:szCs w:val="20"/>
        </w:rPr>
        <w:t xml:space="preserve">PROJECT CODE: PHN-HR-2026-01</w:t>
      </w:r>
    </w:p>
    <w:p>
      <w:pPr>
        <w:spacing w:after="60"/>
        <w:jc w:val="center"/>
      </w:pPr>
      <w:r>
        <w:rPr>
          <w:rFonts w:ascii="Calibri" w:cs="Calibri" w:eastAsia="Calibri" w:hAnsi="Calibri"/>
          <w:color w:val="333333"/>
          <w:sz w:val="20"/>
          <w:szCs w:val="20"/>
        </w:rPr>
        <w:t xml:space="preserve">September 2026</w:t>
      </w:r>
    </w:p>
    <w:p>
      <w:pPr>
        <w:spacing w:after="60"/>
        <w:jc w:val="center"/>
      </w:pPr>
      <w:r>
        <w:rPr>
          <w:rFonts w:ascii="Calibri" w:cs="Calibri" w:eastAsia="Calibri" w:hAnsi="Calibri"/>
          <w:color w:val="333333"/>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39_document_control" w:id="1039"/>
      <w:r>
        <w:rPr>
          <w:rFonts w:ascii="Calibri" w:cs="Calibri" w:eastAsia="Calibri" w:hAnsi="Calibri"/>
          <w:b/>
          <w:bCs/>
          <w:color w:val="D34817"/>
          <w:sz w:val="30"/>
          <w:szCs w:val="30"/>
        </w:rPr>
        <w:t xml:space="preserve">Document Control</w:t>
      </w:r>
      <w:bookmarkEnd w:id="1039"/>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Field</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Value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Document Description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Technical &amp; Business Proposal — Phoneme HR Suite: Candidate Search to Onboarding Module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Identification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PHN-HR-2026-01, Version 1.0</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Security Classification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Confidential — Internal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Location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 Management project workspace</w:t>
            </w:r>
          </w:p>
        </w:tc>
      </w:tr>
    </w:tbl>
    <w:p>
      <w:pPr>
        <w:spacing w:after="160"/>
      </w:pPr>
    </w:p>
    <w:p>
      <w:pPr>
        <w:pStyle w:val="Heading1"/>
        <w:spacing w:after="140" w:before="320"/>
      </w:pPr>
      <w:bookmarkStart w:name="bm_40_authorization" w:id="1040"/>
      <w:r>
        <w:rPr>
          <w:rFonts w:ascii="Calibri" w:cs="Calibri" w:eastAsia="Calibri" w:hAnsi="Calibri"/>
          <w:b/>
          <w:bCs/>
          <w:color w:val="D34817"/>
          <w:sz w:val="30"/>
          <w:szCs w:val="30"/>
        </w:rPr>
        <w:t xml:space="preserve">Authorization</w:t>
      </w:r>
      <w:bookmarkEnd w:id="1040"/>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Date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Anuj (with drafting support)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10-Sep-2026</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bl>
    <w:p>
      <w:pPr>
        <w:spacing w:after="160"/>
      </w:pPr>
    </w:p>
    <w:p>
      <w:pPr>
        <w:pStyle w:val="Heading1"/>
        <w:spacing w:after="140" w:before="320"/>
      </w:pPr>
      <w:bookmarkStart w:name="bm_41_change_log" w:id="1041"/>
      <w:r>
        <w:rPr>
          <w:rFonts w:ascii="Calibri" w:cs="Calibri" w:eastAsia="Calibri" w:hAnsi="Calibri"/>
          <w:b/>
          <w:bCs/>
          <w:color w:val="D34817"/>
          <w:sz w:val="30"/>
          <w:szCs w:val="30"/>
        </w:rPr>
        <w:t xml:space="preserve">Change Log</w:t>
      </w:r>
      <w:bookmarkEnd w:id="1041"/>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200"/>
        <w:gridCol w:w="900"/>
        <w:gridCol w:w="3800"/>
        <w:gridCol w:w="13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Version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Date</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Section</w:t>
            </w:r>
          </w:p>
        </w:tc>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A/M/D</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Description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Initial proposal covering full ten-module scope, with Module 1 (JD Intake &amp; Freezing) and Module 2 (Sourcing &amp; Resume Aggregation) locked to build-ready detail</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bl>
    <w:p>
      <w:pPr>
        <w:spacing w:after="160"/>
      </w:pPr>
    </w:p>
    <w:p>
      <w:pPr>
        <w:pStyle w:val="Heading1"/>
        <w:spacing w:after="140" w:before="320"/>
      </w:pPr>
      <w:bookmarkStart w:name="bm_42_client_sign_off" w:id="1042"/>
      <w:r>
        <w:rPr>
          <w:rFonts w:ascii="Calibri" w:cs="Calibri" w:eastAsia="Calibri" w:hAnsi="Calibri"/>
          <w:b/>
          <w:bCs/>
          <w:color w:val="D34817"/>
          <w:sz w:val="30"/>
          <w:szCs w:val="30"/>
        </w:rPr>
        <w:t xml:space="preserve">Client Sign Off</w:t>
      </w:r>
      <w:bookmarkEnd w:id="1042"/>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Stakeholder Name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Role</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Communication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r>
    </w:tbl>
    <w:p>
      <w:pPr>
        <w:spacing w:after="220"/>
      </w:pPr>
    </w:p>
    <w:p>
      <w:pPr>
        <w:spacing w:after="100" w:before="12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r>
        <w:br w:type="page"/>
      </w:r>
    </w:p>
    <w:p>
      <w:pPr>
        <w:pStyle w:val="Heading1"/>
        <w:spacing w:after="140" w:before="320"/>
      </w:pPr>
      <w:bookmarkStart w:name="bm_38_table_of_contents" w:id="1038"/>
      <w:r>
        <w:rPr>
          <w:rFonts w:ascii="Calibri" w:cs="Calibri" w:eastAsia="Calibri" w:hAnsi="Calibri"/>
          <w:b/>
          <w:bCs/>
          <w:color w:val="D34817"/>
          <w:sz w:val="30"/>
          <w:szCs w:val="30"/>
        </w:rPr>
        <w:t xml:space="preserve">Table of Contents</w:t>
      </w:r>
      <w:bookmarkEnd w:id="1038"/>
    </w:p>
    <w:p>
      <w:pPr>
        <w:spacing w:after="120"/>
      </w:pPr>
    </w:p>
    <w:p>
      <w:pPr>
        <w:tabs>
          <w:tab w:val="right" w:pos="9350" w:leader="dot"/>
        </w:tabs>
        <w:spacing w:after="60" w:line="240"/>
      </w:pPr>
      <w:r>
        <w:rPr>
          <w:rFonts w:ascii="Calibri" w:cs="Calibri" w:eastAsia="Calibri" w:hAnsi="Calibri"/>
          <w:b/>
          <w:bCs/>
          <w:color w:val="000000"/>
          <w:sz w:val="21"/>
          <w:szCs w:val="21"/>
        </w:rPr>
        <w:t xml:space="preserve">1. Introduction</w:t>
      </w:r>
      <w:r>
        <w:rPr>
          <w:rFonts w:ascii="Calibri" w:cs="Calibri" w:eastAsia="Calibri" w:hAnsi="Calibri"/>
          <w:sz w:val="19"/>
          <w:szCs w:val="19"/>
        </w:rPr>
        <w:t xml:space="preserve">	</w:t>
      </w:r>
      <w:r>
        <w:fldChar w:fldCharType="begin" w:dirty="true"/>
        <w:instrText xml:space="preserve">PAGEREF bm_0_1_introduction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1.1 Overview</w:t>
      </w:r>
      <w:r>
        <w:rPr>
          <w:rFonts w:ascii="Calibri" w:cs="Calibri" w:eastAsia="Calibri" w:hAnsi="Calibri"/>
          <w:sz w:val="19"/>
          <w:szCs w:val="19"/>
        </w:rPr>
        <w:t xml:space="preserve">	</w:t>
      </w:r>
      <w:r>
        <w:fldChar w:fldCharType="begin" w:dirty="true"/>
        <w:instrText xml:space="preserve">PAGEREF bm_1_1_1_overview</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1.2 Purpose</w:t>
      </w:r>
      <w:r>
        <w:rPr>
          <w:rFonts w:ascii="Calibri" w:cs="Calibri" w:eastAsia="Calibri" w:hAnsi="Calibri"/>
          <w:sz w:val="19"/>
          <w:szCs w:val="19"/>
        </w:rPr>
        <w:t xml:space="preserve">	</w:t>
      </w:r>
      <w:r>
        <w:fldChar w:fldCharType="begin" w:dirty="true"/>
        <w:instrText xml:space="preserve">PAGEREF bm_2_1_2_purpose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1.3 Scope</w:t>
      </w:r>
      <w:r>
        <w:rPr>
          <w:rFonts w:ascii="Calibri" w:cs="Calibri" w:eastAsia="Calibri" w:hAnsi="Calibri"/>
          <w:sz w:val="19"/>
          <w:szCs w:val="19"/>
        </w:rPr>
        <w:t xml:space="preserve">	</w:t>
      </w:r>
      <w:r>
        <w:fldChar w:fldCharType="begin" w:dirty="true"/>
        <w:instrText xml:space="preserve">PAGEREF bm_3_1_3_scope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1.4 References</w:t>
      </w:r>
      <w:r>
        <w:rPr>
          <w:rFonts w:ascii="Calibri" w:cs="Calibri" w:eastAsia="Calibri" w:hAnsi="Calibri"/>
          <w:sz w:val="19"/>
          <w:szCs w:val="19"/>
        </w:rPr>
        <w:t xml:space="preserve">	</w:t>
      </w:r>
      <w:r>
        <w:fldChar w:fldCharType="begin" w:dirty="true"/>
        <w:instrText xml:space="preserve">PAGEREF bm_4_1_4_references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1.5 Abbreviations</w:t>
      </w:r>
      <w:r>
        <w:rPr>
          <w:rFonts w:ascii="Calibri" w:cs="Calibri" w:eastAsia="Calibri" w:hAnsi="Calibri"/>
          <w:sz w:val="19"/>
          <w:szCs w:val="19"/>
        </w:rPr>
        <w:t xml:space="preserve">	</w:t>
      </w:r>
      <w:r>
        <w:fldChar w:fldCharType="begin" w:dirty="true"/>
        <w:instrText xml:space="preserve">PAGEREF bm_5_1_5_abbreviations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2. Overall Description / Background</w:t>
      </w:r>
      <w:r>
        <w:rPr>
          <w:rFonts w:ascii="Calibri" w:cs="Calibri" w:eastAsia="Calibri" w:hAnsi="Calibri"/>
          <w:sz w:val="19"/>
          <w:szCs w:val="19"/>
        </w:rPr>
        <w:t xml:space="preserve">	</w:t>
      </w:r>
      <w:r>
        <w:fldChar w:fldCharType="begin" w:dirty="true"/>
        <w:instrText xml:space="preserve">PAGEREF bm_6_2_overall_description_backgrou</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2.1 Background &amp; Problem Statement</w:t>
      </w:r>
      <w:r>
        <w:rPr>
          <w:rFonts w:ascii="Calibri" w:cs="Calibri" w:eastAsia="Calibri" w:hAnsi="Calibri"/>
          <w:sz w:val="19"/>
          <w:szCs w:val="19"/>
        </w:rPr>
        <w:t xml:space="preserve">	</w:t>
      </w:r>
      <w:r>
        <w:fldChar w:fldCharType="begin" w:dirty="true"/>
        <w:instrText xml:space="preserve">PAGEREF bm_7_2_1_background_problem_stateme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2.2 Business Objectives</w:t>
      </w:r>
      <w:r>
        <w:rPr>
          <w:rFonts w:ascii="Calibri" w:cs="Calibri" w:eastAsia="Calibri" w:hAnsi="Calibri"/>
          <w:sz w:val="19"/>
          <w:szCs w:val="19"/>
        </w:rPr>
        <w:t xml:space="preserve">	</w:t>
      </w:r>
      <w:r>
        <w:fldChar w:fldCharType="begin" w:dirty="true"/>
        <w:instrText xml:space="preserve">PAGEREF bm_8_2_2_business_objectives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2.3 Target Market &amp; Personas</w:t>
      </w:r>
      <w:r>
        <w:rPr>
          <w:rFonts w:ascii="Calibri" w:cs="Calibri" w:eastAsia="Calibri" w:hAnsi="Calibri"/>
          <w:sz w:val="19"/>
          <w:szCs w:val="19"/>
        </w:rPr>
        <w:t xml:space="preserve">	</w:t>
      </w:r>
      <w:r>
        <w:fldChar w:fldCharType="begin" w:dirty="true"/>
        <w:instrText xml:space="preserve">PAGEREF bm_9_2_3_target_market_personas</w:instrText>
        <w:fldChar w:fldCharType="end"/>
      </w:r>
    </w:p>
    <w:p>
      <w:pPr>
        <w:tabs>
          <w:tab w:val="right" w:pos="9350" w:leader="dot"/>
        </w:tabs>
        <w:spacing w:after="60" w:line="240"/>
      </w:pPr>
      <w:r>
        <w:rPr>
          <w:rFonts w:ascii="Calibri" w:cs="Calibri" w:eastAsia="Calibri" w:hAnsi="Calibri"/>
          <w:b/>
          <w:bCs/>
          <w:color w:val="000000"/>
          <w:sz w:val="21"/>
          <w:szCs w:val="21"/>
        </w:rPr>
        <w:t xml:space="preserve">3. Proposed Solution</w:t>
      </w:r>
      <w:r>
        <w:rPr>
          <w:rFonts w:ascii="Calibri" w:cs="Calibri" w:eastAsia="Calibri" w:hAnsi="Calibri"/>
          <w:sz w:val="19"/>
          <w:szCs w:val="19"/>
        </w:rPr>
        <w:t xml:space="preserve">	</w:t>
      </w:r>
      <w:r>
        <w:fldChar w:fldCharType="begin" w:dirty="true"/>
        <w:instrText xml:space="preserve">PAGEREF bm_10_3_proposed_solution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3.1 Design &amp; Implementation — The Ten Process Modules</w:t>
      </w:r>
      <w:r>
        <w:rPr>
          <w:rFonts w:ascii="Calibri" w:cs="Calibri" w:eastAsia="Calibri" w:hAnsi="Calibri"/>
          <w:sz w:val="19"/>
          <w:szCs w:val="19"/>
        </w:rPr>
        <w:t xml:space="preserve">	</w:t>
      </w:r>
      <w:r>
        <w:fldChar w:fldCharType="begin" w:dirty="true"/>
        <w:instrText xml:space="preserve">PAGEREF bm_11_3_1_design_implementation_the_</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3.2 Architecture</w:t>
      </w:r>
      <w:r>
        <w:rPr>
          <w:rFonts w:ascii="Calibri" w:cs="Calibri" w:eastAsia="Calibri" w:hAnsi="Calibri"/>
          <w:sz w:val="19"/>
          <w:szCs w:val="19"/>
        </w:rPr>
        <w:t xml:space="preserve">	</w:t>
      </w:r>
      <w:r>
        <w:fldChar w:fldCharType="begin" w:dirty="true"/>
        <w:instrText xml:space="preserve">PAGEREF bm_12_3_2_architecture</w:instrText>
        <w:fldChar w:fldCharType="end"/>
      </w:r>
    </w:p>
    <w:p>
      <w:pPr>
        <w:tabs>
          <w:tab w:val="right" w:pos="9350" w:leader="dot"/>
        </w:tabs>
        <w:spacing w:after="60" w:line="240"/>
      </w:pPr>
      <w:r>
        <w:rPr>
          <w:rFonts w:ascii="Calibri" w:cs="Calibri" w:eastAsia="Calibri" w:hAnsi="Calibri"/>
          <w:b/>
          <w:bCs/>
          <w:color w:val="000000"/>
          <w:sz w:val="21"/>
          <w:szCs w:val="21"/>
        </w:rPr>
        <w:t xml:space="preserve">4. Specific Requirements</w:t>
      </w:r>
      <w:r>
        <w:rPr>
          <w:rFonts w:ascii="Calibri" w:cs="Calibri" w:eastAsia="Calibri" w:hAnsi="Calibri"/>
          <w:sz w:val="19"/>
          <w:szCs w:val="19"/>
        </w:rPr>
        <w:t xml:space="preserve">	</w:t>
      </w:r>
      <w:r>
        <w:fldChar w:fldCharType="begin" w:dirty="true"/>
        <w:instrText xml:space="preserve">PAGEREF bm_13_4_specific_requirements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4.1 Module 1 — Job Description (JD) Intake &amp; Freezing  🔒 LOCKED v1.0</w:t>
      </w:r>
      <w:r>
        <w:rPr>
          <w:rFonts w:ascii="Calibri" w:cs="Calibri" w:eastAsia="Calibri" w:hAnsi="Calibri"/>
          <w:sz w:val="19"/>
          <w:szCs w:val="19"/>
        </w:rPr>
        <w:t xml:space="preserve">	</w:t>
      </w:r>
      <w:r>
        <w:fldChar w:fldCharType="begin" w:dirty="true"/>
        <w:instrText xml:space="preserve">PAGEREF bm_14_4_1_module_1_job_description_j</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4.2 Module 2 — Candidate Sourcing &amp; Resume Aggregation  🔒 LOCKED v1.0</w:t>
      </w:r>
      <w:r>
        <w:rPr>
          <w:rFonts w:ascii="Calibri" w:cs="Calibri" w:eastAsia="Calibri" w:hAnsi="Calibri"/>
          <w:sz w:val="19"/>
          <w:szCs w:val="19"/>
        </w:rPr>
        <w:t xml:space="preserve">	</w:t>
      </w:r>
      <w:r>
        <w:fldChar w:fldCharType="begin" w:dirty="true"/>
        <w:instrText xml:space="preserve">PAGEREF bm_15_4_2_module_2_candidate_sourcin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4.3 Modules 3–10 — Requirement-Level Scope (pending lock)</w:t>
      </w:r>
      <w:r>
        <w:rPr>
          <w:rFonts w:ascii="Calibri" w:cs="Calibri" w:eastAsia="Calibri" w:hAnsi="Calibri"/>
          <w:sz w:val="19"/>
          <w:szCs w:val="19"/>
        </w:rPr>
        <w:t xml:space="preserve">	</w:t>
      </w:r>
      <w:r>
        <w:fldChar w:fldCharType="begin" w:dirty="true"/>
        <w:instrText xml:space="preserve">PAGEREF bm_16_4_3_modules_3_10_requirement_l</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4.4 Technology Description</w:t>
      </w:r>
      <w:r>
        <w:rPr>
          <w:rFonts w:ascii="Calibri" w:cs="Calibri" w:eastAsia="Calibri" w:hAnsi="Calibri"/>
          <w:sz w:val="19"/>
          <w:szCs w:val="19"/>
        </w:rPr>
        <w:t xml:space="preserve">	</w:t>
      </w:r>
      <w:r>
        <w:fldChar w:fldCharType="begin" w:dirty="true"/>
        <w:instrText xml:space="preserve">PAGEREF bm_17_4_4_technology_description</w:instrText>
        <w:fldChar w:fldCharType="end"/>
      </w:r>
    </w:p>
    <w:p>
      <w:pPr>
        <w:tabs>
          <w:tab w:val="right" w:pos="9350" w:leader="dot"/>
        </w:tabs>
        <w:spacing w:after="60" w:line="240"/>
      </w:pPr>
      <w:r>
        <w:rPr>
          <w:rFonts w:ascii="Calibri" w:cs="Calibri" w:eastAsia="Calibri" w:hAnsi="Calibri"/>
          <w:b/>
          <w:bCs/>
          <w:color w:val="000000"/>
          <w:sz w:val="21"/>
          <w:szCs w:val="21"/>
        </w:rPr>
        <w:t xml:space="preserve">5. Infrastructure &amp; Deployment</w:t>
      </w:r>
      <w:r>
        <w:rPr>
          <w:rFonts w:ascii="Calibri" w:cs="Calibri" w:eastAsia="Calibri" w:hAnsi="Calibri"/>
          <w:sz w:val="19"/>
          <w:szCs w:val="19"/>
        </w:rPr>
        <w:t xml:space="preserve">	</w:t>
      </w:r>
      <w:r>
        <w:fldChar w:fldCharType="begin" w:dirty="true"/>
        <w:instrText xml:space="preserve">PAGEREF bm_18_5_infrastructure_deployment</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5.1 Sizing &amp; Multi-Tenancy Model</w:t>
      </w:r>
      <w:r>
        <w:rPr>
          <w:rFonts w:ascii="Calibri" w:cs="Calibri" w:eastAsia="Calibri" w:hAnsi="Calibri"/>
          <w:sz w:val="19"/>
          <w:szCs w:val="19"/>
        </w:rPr>
        <w:t xml:space="preserve">	</w:t>
      </w:r>
      <w:r>
        <w:fldChar w:fldCharType="begin" w:dirty="true"/>
        <w:instrText xml:space="preserve">PAGEREF bm_19_5_1_sizing_multi_tenancy_model</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5.2 Deployment Topology</w:t>
      </w:r>
      <w:r>
        <w:rPr>
          <w:rFonts w:ascii="Calibri" w:cs="Calibri" w:eastAsia="Calibri" w:hAnsi="Calibri"/>
          <w:sz w:val="19"/>
          <w:szCs w:val="19"/>
        </w:rPr>
        <w:t xml:space="preserve">	</w:t>
      </w:r>
      <w:r>
        <w:fldChar w:fldCharType="begin" w:dirty="true"/>
        <w:instrText xml:space="preserve">PAGEREF bm_20_5_2_deployment_topology</w:instrText>
        <w:fldChar w:fldCharType="end"/>
      </w:r>
    </w:p>
    <w:p>
      <w:pPr>
        <w:tabs>
          <w:tab w:val="right" w:pos="9350" w:leader="dot"/>
        </w:tabs>
        <w:spacing w:after="60" w:line="240"/>
      </w:pPr>
      <w:r>
        <w:rPr>
          <w:rFonts w:ascii="Calibri" w:cs="Calibri" w:eastAsia="Calibri" w:hAnsi="Calibri"/>
          <w:b/>
          <w:bCs/>
          <w:color w:val="000000"/>
          <w:sz w:val="21"/>
          <w:szCs w:val="21"/>
        </w:rPr>
        <w:t xml:space="preserve">6. Project Management</w:t>
      </w:r>
      <w:r>
        <w:rPr>
          <w:rFonts w:ascii="Calibri" w:cs="Calibri" w:eastAsia="Calibri" w:hAnsi="Calibri"/>
          <w:sz w:val="19"/>
          <w:szCs w:val="19"/>
        </w:rPr>
        <w:t xml:space="preserve">	</w:t>
      </w:r>
      <w:r>
        <w:fldChar w:fldCharType="begin" w:dirty="true"/>
        <w:instrText xml:space="preserve">PAGEREF bm_21_6_project_management</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6.1 Key Project Activities</w:t>
      </w:r>
      <w:r>
        <w:rPr>
          <w:rFonts w:ascii="Calibri" w:cs="Calibri" w:eastAsia="Calibri" w:hAnsi="Calibri"/>
          <w:sz w:val="19"/>
          <w:szCs w:val="19"/>
        </w:rPr>
        <w:t xml:space="preserve">	</w:t>
      </w:r>
      <w:r>
        <w:fldChar w:fldCharType="begin" w:dirty="true"/>
        <w:instrText xml:space="preserve">PAGEREF bm_22_6_1_key_project_activities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6.2 Methodology</w:t>
      </w:r>
      <w:r>
        <w:rPr>
          <w:rFonts w:ascii="Calibri" w:cs="Calibri" w:eastAsia="Calibri" w:hAnsi="Calibri"/>
          <w:sz w:val="19"/>
          <w:szCs w:val="19"/>
        </w:rPr>
        <w:t xml:space="preserve">	</w:t>
      </w:r>
      <w:r>
        <w:fldChar w:fldCharType="begin" w:dirty="true"/>
        <w:instrText xml:space="preserve">PAGEREF bm_23_6_2_methodology</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6.3 Project Plan — Illustrative First Sprints</w:t>
      </w:r>
      <w:r>
        <w:rPr>
          <w:rFonts w:ascii="Calibri" w:cs="Calibri" w:eastAsia="Calibri" w:hAnsi="Calibri"/>
          <w:sz w:val="19"/>
          <w:szCs w:val="19"/>
        </w:rPr>
        <w:t xml:space="preserve">	</w:t>
      </w:r>
      <w:r>
        <w:fldChar w:fldCharType="begin" w:dirty="true"/>
        <w:instrText xml:space="preserve">PAGEREF bm_24_6_3_project_plan_illustrative_</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6.4 Testing Methodology</w:t>
      </w:r>
      <w:r>
        <w:rPr>
          <w:rFonts w:ascii="Calibri" w:cs="Calibri" w:eastAsia="Calibri" w:hAnsi="Calibri"/>
          <w:sz w:val="19"/>
          <w:szCs w:val="19"/>
        </w:rPr>
        <w:t xml:space="preserve">	</w:t>
      </w:r>
      <w:r>
        <w:fldChar w:fldCharType="begin" w:dirty="true"/>
        <w:instrText xml:space="preserve">PAGEREF bm_25_6_4_testing_methodology</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6.5 Reporting</w:t>
      </w:r>
      <w:r>
        <w:rPr>
          <w:rFonts w:ascii="Calibri" w:cs="Calibri" w:eastAsia="Calibri" w:hAnsi="Calibri"/>
          <w:sz w:val="19"/>
          <w:szCs w:val="19"/>
        </w:rPr>
        <w:t xml:space="preserve">	</w:t>
      </w:r>
      <w:r>
        <w:fldChar w:fldCharType="begin" w:dirty="true"/>
        <w:instrText xml:space="preserve">PAGEREF bm_26_6_5_reporting</w:instrText>
        <w:fldChar w:fldCharType="end"/>
      </w:r>
    </w:p>
    <w:p>
      <w:pPr>
        <w:tabs>
          <w:tab w:val="right" w:pos="9350" w:leader="dot"/>
        </w:tabs>
        <w:spacing w:after="60" w:line="240"/>
      </w:pPr>
      <w:r>
        <w:rPr>
          <w:rFonts w:ascii="Calibri" w:cs="Calibri" w:eastAsia="Calibri" w:hAnsi="Calibri"/>
          <w:b/>
          <w:bCs/>
          <w:color w:val="000000"/>
          <w:sz w:val="21"/>
          <w:szCs w:val="21"/>
        </w:rPr>
        <w:t xml:space="preserve">7. Post-Launch / Ongoing Services</w:t>
      </w:r>
      <w:r>
        <w:rPr>
          <w:rFonts w:ascii="Calibri" w:cs="Calibri" w:eastAsia="Calibri" w:hAnsi="Calibri"/>
          <w:sz w:val="19"/>
          <w:szCs w:val="19"/>
        </w:rPr>
        <w:t xml:space="preserve">	</w:t>
      </w:r>
      <w:r>
        <w:fldChar w:fldCharType="begin" w:dirty="true"/>
        <w:instrText xml:space="preserve">PAGEREF bm_27_7_post_launch_ongoing_services</w:instrText>
        <w:fldChar w:fldCharType="end"/>
      </w:r>
    </w:p>
    <w:p>
      <w:pPr>
        <w:tabs>
          <w:tab w:val="right" w:pos="9350" w:leader="dot"/>
        </w:tabs>
        <w:spacing w:after="60" w:line="240"/>
      </w:pPr>
      <w:r>
        <w:rPr>
          <w:rFonts w:ascii="Calibri" w:cs="Calibri" w:eastAsia="Calibri" w:hAnsi="Calibri"/>
          <w:b/>
          <w:bCs/>
          <w:color w:val="000000"/>
          <w:sz w:val="21"/>
          <w:szCs w:val="21"/>
        </w:rPr>
        <w:t xml:space="preserve">8. Acceptance Criteria</w:t>
      </w:r>
      <w:r>
        <w:rPr>
          <w:rFonts w:ascii="Calibri" w:cs="Calibri" w:eastAsia="Calibri" w:hAnsi="Calibri"/>
          <w:sz w:val="19"/>
          <w:szCs w:val="19"/>
        </w:rPr>
        <w:t xml:space="preserve">	</w:t>
      </w:r>
      <w:r>
        <w:fldChar w:fldCharType="begin" w:dirty="true"/>
        <w:instrText xml:space="preserve">PAGEREF bm_28_8_acceptance_criteria</w:instrText>
        <w:fldChar w:fldCharType="end"/>
      </w:r>
    </w:p>
    <w:p>
      <w:pPr>
        <w:tabs>
          <w:tab w:val="right" w:pos="9350" w:leader="dot"/>
        </w:tabs>
        <w:spacing w:after="60" w:line="240"/>
      </w:pPr>
      <w:r>
        <w:rPr>
          <w:rFonts w:ascii="Calibri" w:cs="Calibri" w:eastAsia="Calibri" w:hAnsi="Calibri"/>
          <w:b/>
          <w:bCs/>
          <w:color w:val="000000"/>
          <w:sz w:val="21"/>
          <w:szCs w:val="21"/>
        </w:rPr>
        <w:t xml:space="preserve">9. Implementation &amp; Support</w:t>
      </w:r>
      <w:r>
        <w:rPr>
          <w:rFonts w:ascii="Calibri" w:cs="Calibri" w:eastAsia="Calibri" w:hAnsi="Calibri"/>
          <w:sz w:val="19"/>
          <w:szCs w:val="19"/>
        </w:rPr>
        <w:t xml:space="preserve">	</w:t>
      </w:r>
      <w:r>
        <w:fldChar w:fldCharType="begin" w:dirty="true"/>
        <w:instrText xml:space="preserve">PAGEREF bm_29_9_implementation_support</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9.1 Roles &amp; Responsibilities</w:t>
      </w:r>
      <w:r>
        <w:rPr>
          <w:rFonts w:ascii="Calibri" w:cs="Calibri" w:eastAsia="Calibri" w:hAnsi="Calibri"/>
          <w:sz w:val="19"/>
          <w:szCs w:val="19"/>
        </w:rPr>
        <w:t xml:space="preserve">	</w:t>
      </w:r>
      <w:r>
        <w:fldChar w:fldCharType="begin" w:dirty="true"/>
        <w:instrText xml:space="preserve">PAGEREF bm_30_9_1_roles_responsibilities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9.2 Support Model</w:t>
      </w:r>
      <w:r>
        <w:rPr>
          <w:rFonts w:ascii="Calibri" w:cs="Calibri" w:eastAsia="Calibri" w:hAnsi="Calibri"/>
          <w:sz w:val="19"/>
          <w:szCs w:val="19"/>
        </w:rPr>
        <w:t xml:space="preserve">	</w:t>
      </w:r>
      <w:r>
        <w:fldChar w:fldCharType="begin" w:dirty="true"/>
        <w:instrText xml:space="preserve">PAGEREF bm_31_9_2_support_model</w:instrText>
        <w:fldChar w:fldCharType="end"/>
      </w:r>
    </w:p>
    <w:p>
      <w:pPr>
        <w:tabs>
          <w:tab w:val="right" w:pos="9350" w:leader="dot"/>
        </w:tabs>
        <w:spacing w:after="60" w:line="240"/>
      </w:pPr>
      <w:r>
        <w:rPr>
          <w:rFonts w:ascii="Calibri" w:cs="Calibri" w:eastAsia="Calibri" w:hAnsi="Calibri"/>
          <w:b/>
          <w:bCs/>
          <w:color w:val="000000"/>
          <w:sz w:val="21"/>
          <w:szCs w:val="21"/>
        </w:rPr>
        <w:t xml:space="preserve">10. Dependencies from Stakeholder Side</w:t>
      </w:r>
      <w:r>
        <w:rPr>
          <w:rFonts w:ascii="Calibri" w:cs="Calibri" w:eastAsia="Calibri" w:hAnsi="Calibri"/>
          <w:sz w:val="19"/>
          <w:szCs w:val="19"/>
        </w:rPr>
        <w:t xml:space="preserve">	</w:t>
      </w:r>
      <w:r>
        <w:fldChar w:fldCharType="begin" w:dirty="true"/>
        <w:instrText xml:space="preserve">PAGEREF bm_32_10_dependencies_from_stakehold</w:instrText>
        <w:fldChar w:fldCharType="end"/>
      </w:r>
    </w:p>
    <w:p>
      <w:pPr>
        <w:tabs>
          <w:tab w:val="right" w:pos="9350" w:leader="dot"/>
        </w:tabs>
        <w:spacing w:after="60" w:line="240"/>
      </w:pPr>
      <w:r>
        <w:rPr>
          <w:rFonts w:ascii="Calibri" w:cs="Calibri" w:eastAsia="Calibri" w:hAnsi="Calibri"/>
          <w:b/>
          <w:bCs/>
          <w:color w:val="000000"/>
          <w:sz w:val="21"/>
          <w:szCs w:val="21"/>
        </w:rPr>
        <w:t xml:space="preserve">11. Key Risks</w:t>
      </w:r>
      <w:r>
        <w:rPr>
          <w:rFonts w:ascii="Calibri" w:cs="Calibri" w:eastAsia="Calibri" w:hAnsi="Calibri"/>
          <w:sz w:val="19"/>
          <w:szCs w:val="19"/>
        </w:rPr>
        <w:t xml:space="preserve">	</w:t>
      </w:r>
      <w:r>
        <w:fldChar w:fldCharType="begin" w:dirty="true"/>
        <w:instrText xml:space="preserve">PAGEREF bm_33_11_key_risks</w:instrText>
        <w:fldChar w:fldCharType="end"/>
      </w:r>
    </w:p>
    <w:p>
      <w:pPr>
        <w:tabs>
          <w:tab w:val="right" w:pos="9350" w:leader="dot"/>
        </w:tabs>
        <w:spacing w:after="60" w:line="240"/>
      </w:pPr>
      <w:r>
        <w:rPr>
          <w:rFonts w:ascii="Calibri" w:cs="Calibri" w:eastAsia="Calibri" w:hAnsi="Calibri"/>
          <w:b/>
          <w:bCs/>
          <w:color w:val="000000"/>
          <w:sz w:val="21"/>
          <w:szCs w:val="21"/>
        </w:rPr>
        <w:t xml:space="preserve">12. Pricing Summary</w:t>
      </w:r>
      <w:r>
        <w:rPr>
          <w:rFonts w:ascii="Calibri" w:cs="Calibri" w:eastAsia="Calibri" w:hAnsi="Calibri"/>
          <w:sz w:val="19"/>
          <w:szCs w:val="19"/>
        </w:rPr>
        <w:t xml:space="preserve">	</w:t>
      </w:r>
      <w:r>
        <w:fldChar w:fldCharType="begin" w:dirty="true"/>
        <w:instrText xml:space="preserve">PAGEREF bm_34_12_pricing_summary</w:instrText>
        <w:fldChar w:fldCharType="end"/>
      </w:r>
    </w:p>
    <w:p>
      <w:pPr>
        <w:tabs>
          <w:tab w:val="right" w:pos="9350" w:leader="dot"/>
        </w:tabs>
        <w:spacing w:after="60" w:line="240"/>
      </w:pPr>
      <w:r>
        <w:rPr>
          <w:rFonts w:ascii="Calibri" w:cs="Calibri" w:eastAsia="Calibri" w:hAnsi="Calibri"/>
          <w:b/>
          <w:bCs/>
          <w:color w:val="000000"/>
          <w:sz w:val="21"/>
          <w:szCs w:val="21"/>
        </w:rPr>
        <w:t xml:space="preserve">13. Terms &amp; Conditions</w:t>
      </w:r>
      <w:r>
        <w:rPr>
          <w:rFonts w:ascii="Calibri" w:cs="Calibri" w:eastAsia="Calibri" w:hAnsi="Calibri"/>
          <w:sz w:val="19"/>
          <w:szCs w:val="19"/>
        </w:rPr>
        <w:t xml:space="preserve">	</w:t>
      </w:r>
      <w:r>
        <w:fldChar w:fldCharType="begin" w:dirty="true"/>
        <w:instrText xml:space="preserve">PAGEREF bm_35_13_terms_conditions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14. Conclusion</w:t>
      </w:r>
      <w:r>
        <w:rPr>
          <w:rFonts w:ascii="Calibri" w:cs="Calibri" w:eastAsia="Calibri" w:hAnsi="Calibri"/>
          <w:sz w:val="19"/>
          <w:szCs w:val="19"/>
        </w:rPr>
        <w:t xml:space="preserve">	</w:t>
      </w:r>
      <w:r>
        <w:fldChar w:fldCharType="begin" w:dirty="true"/>
        <w:instrText xml:space="preserve">PAGEREF bm_36_14_conclusion</w:instrText>
        <w:fldChar w:fldCharType="end"/>
      </w:r>
    </w:p>
    <w:p>
      <w:pPr>
        <w:tabs>
          <w:tab w:val="right" w:pos="9350" w:leader="dot"/>
        </w:tabs>
        <w:spacing w:after="60" w:line="240"/>
      </w:pPr>
      <w:r>
        <w:rPr>
          <w:rFonts w:ascii="Calibri" w:cs="Calibri" w:eastAsia="Calibri" w:hAnsi="Calibri"/>
          <w:b/>
          <w:bCs/>
          <w:color w:val="000000"/>
          <w:sz w:val="21"/>
          <w:szCs w:val="21"/>
        </w:rPr>
        <w:t xml:space="preserve">15. Road Ahead</w:t>
      </w:r>
      <w:r>
        <w:rPr>
          <w:rFonts w:ascii="Calibri" w:cs="Calibri" w:eastAsia="Calibri" w:hAnsi="Calibri"/>
          <w:sz w:val="19"/>
          <w:szCs w:val="19"/>
        </w:rPr>
        <w:t xml:space="preserve">	</w:t>
      </w:r>
      <w:r>
        <w:fldChar w:fldCharType="begin" w:dirty="true"/>
        <w:instrText xml:space="preserve">PAGEREF bm_37_15_road_ahead</w:instrText>
        <w:fldChar w:fldCharType="end"/>
      </w:r>
    </w:p>
    <w:p>
      <w:r>
        <w:br w:type="page"/>
      </w:r>
    </w:p>
    <w:p>
      <w:pPr>
        <w:pStyle w:val="Heading1"/>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overview" w:id="1001"/>
      <w:r>
        <w:rPr>
          <w:rFonts w:ascii="Calibri" w:cs="Calibri" w:eastAsia="Calibri" w:hAnsi="Calibri"/>
          <w:b/>
          <w:bCs/>
          <w:color w:val="404040"/>
          <w:sz w:val="24"/>
          <w:szCs w:val="24"/>
        </w:rPr>
        <w:t xml:space="preserve">1.1 Overview</w:t>
      </w:r>
      <w:bookmarkEnd w:id="1001"/>
    </w:p>
    <w:p>
      <w:pPr>
        <w:spacing w:after="160" w:line="300"/>
        <w:jc w:val="both"/>
      </w:pPr>
      <w:r>
        <w:rPr>
          <w:rFonts w:ascii="Calibri" w:cs="Calibri" w:eastAsia="Calibri" w:hAnsi="Calibri"/>
          <w:color w:val="1A1A1A"/>
          <w:sz w:val="22"/>
          <w:szCs w:val="22"/>
        </w:rPr>
        <w:t xml:space="preserve">Phoneme HR Suite is a B2B, multi-tenant SaaS HR module being proposed to automate the full talent lifecycle — from candidate search through onboarding completion — for companies with 50–2,000 employees and recruitment/staffing agencies, in India first. Today, HR and talent teams run this process across a disconnected set of spreadsheets, inboxes, and 2–3 unconnected point tools; Phoneme HR Suite replaces that patchwork with a single system of record covering ten connected process modules under one candidate record, one audit trail, and one set of role-based permissions per tenant company.</w:t>
      </w:r>
    </w:p>
    <w:p>
      <w:pPr>
        <w:pStyle w:val="Heading2"/>
        <w:spacing w:after="100" w:before="220"/>
      </w:pPr>
      <w:bookmarkStart w:name="bm_2_1_2_purpose" w:id="1002"/>
      <w:r>
        <w:rPr>
          <w:rFonts w:ascii="Calibri" w:cs="Calibri" w:eastAsia="Calibri" w:hAnsi="Calibri"/>
          <w:b/>
          <w:bCs/>
          <w:color w:val="404040"/>
          <w:sz w:val="24"/>
          <w:szCs w:val="24"/>
        </w:rPr>
        <w:t xml:space="preserve">1.2 Purpose</w:t>
      </w:r>
      <w:bookmarkEnd w:id="1002"/>
    </w:p>
    <w:p>
      <w:pPr>
        <w:spacing w:after="160" w:line="300"/>
        <w:jc w:val="both"/>
      </w:pPr>
      <w:r>
        <w:rPr>
          <w:rFonts w:ascii="Calibri" w:cs="Calibri" w:eastAsia="Calibri" w:hAnsi="Calibri"/>
          <w:color w:val="1A1A1A"/>
          <w:sz w:val="22"/>
          <w:szCs w:val="22"/>
        </w:rPr>
        <w:t xml:space="preserve">This document presents the business case, functional requirements, architecture direction, and delivery plan for Phoneme HR Suite. Two of its ten process modules — Job Description (JD) Intake &amp; Freezing, and Candidate Sourcing &amp; Resume Aggregation — have been elaborated to locked, build-ready detail in Section 4; the remaining eight modules are scoped at product-requirement level and will be locked in the same sequence as development proceeds.</w:t>
      </w:r>
    </w:p>
    <w:p>
      <w:pPr>
        <w:pStyle w:val="Heading2"/>
        <w:spacing w:after="100" w:before="220"/>
      </w:pPr>
      <w:bookmarkStart w:name="bm_3_1_3_scope" w:id="1003"/>
      <w:r>
        <w:rPr>
          <w:rFonts w:ascii="Calibri" w:cs="Calibri" w:eastAsia="Calibri" w:hAnsi="Calibri"/>
          <w:b/>
          <w:bCs/>
          <w:color w:val="404040"/>
          <w:sz w:val="24"/>
          <w:szCs w:val="24"/>
        </w:rPr>
        <w:t xml:space="preserve">1.3 Scope</w:t>
      </w:r>
      <w:bookmarkEnd w:id="1003"/>
    </w:p>
    <w:p>
      <w:pPr>
        <w:spacing w:after="160" w:line="300"/>
        <w:jc w:val="both"/>
      </w:pPr>
      <w:r>
        <w:rPr>
          <w:rFonts w:ascii="Calibri" w:cs="Calibri" w:eastAsia="Calibri" w:hAnsi="Calibri"/>
          <w:color w:val="1A1A1A"/>
          <w:sz w:val="22"/>
          <w:szCs w:val="22"/>
        </w:rPr>
        <w:t xml:space="preserve">In scope: JD intake and freezing (with AI-generated variants and an auto-generated weighted scoring matrix), multi-channel candidate sourcing, automated screening and scoring, candidate pre-interview data capture, multi-round interview management, selection and background verification, offer management with KRA/KPI generation and e-signature, onboarding, and the downstream payroll and appraisal modules that the hiring record feeds into. Out of scope for the initial release: in-house background-check capability, native video-interview hosting, and a broad native job-board network beyond the first 2–3 contracted integrations — these are addressed through vendor integrations rather than being built natively.</w:t>
      </w:r>
    </w:p>
    <w:p>
      <w:pPr>
        <w:pStyle w:val="Heading2"/>
        <w:spacing w:after="100" w:before="220"/>
      </w:pPr>
      <w:bookmarkStart w:name="bm_4_1_4_references" w:id="1004"/>
      <w:r>
        <w:rPr>
          <w:rFonts w:ascii="Calibri" w:cs="Calibri" w:eastAsia="Calibri" w:hAnsi="Calibri"/>
          <w:b/>
          <w:bCs/>
          <w:color w:val="404040"/>
          <w:sz w:val="24"/>
          <w:szCs w:val="24"/>
        </w:rPr>
        <w:t xml:space="preserve">1.4 References</w:t>
      </w:r>
      <w:bookmarkEnd w:id="1004"/>
    </w:p>
    <w:p>
      <w:pPr>
        <w:pStyle w:val="ListParagraph"/>
        <w:numPr>
          <w:ilvl w:val="0"/>
          <w:numId w:val="2"/>
        </w:numPr>
        <w:spacing w:after="80" w:line="280"/>
      </w:pPr>
      <w:r>
        <w:rPr>
          <w:rFonts w:ascii="Calibri" w:cs="Calibri" w:eastAsia="Calibri" w:hAnsi="Calibri"/>
          <w:color w:val="1A1A1A"/>
          <w:sz w:val="22"/>
          <w:szCs w:val="22"/>
        </w:rPr>
        <w:t xml:space="preserve">Digital Personal Data Protection Act, 2023 (India) — governs candidate and employee personal data handling throughout this product.</w:t>
      </w:r>
    </w:p>
    <w:p>
      <w:pPr>
        <w:pStyle w:val="ListParagraph"/>
        <w:numPr>
          <w:ilvl w:val="0"/>
          <w:numId w:val="2"/>
        </w:numPr>
        <w:spacing w:after="80" w:line="280"/>
      </w:pPr>
      <w:r>
        <w:rPr>
          <w:rFonts w:ascii="Calibri" w:cs="Calibri" w:eastAsia="Calibri" w:hAnsi="Calibri"/>
          <w:color w:val="1A1A1A"/>
          <w:sz w:val="22"/>
          <w:szCs w:val="22"/>
        </w:rPr>
        <w:t xml:space="preserve">Naukri RMS, LinkedIn Recruiter API, and equivalent official job-board employer integrations — the sourcing-channel standard adopted in Section 4.</w:t>
      </w:r>
    </w:p>
    <w:p>
      <w:pPr>
        <w:pStyle w:val="ListParagraph"/>
        <w:numPr>
          <w:ilvl w:val="0"/>
          <w:numId w:val="2"/>
        </w:numPr>
        <w:spacing w:after="80" w:line="280"/>
      </w:pPr>
      <w:r>
        <w:rPr>
          <w:rFonts w:ascii="Calibri" w:cs="Calibri" w:eastAsia="Calibri" w:hAnsi="Calibri"/>
          <w:color w:val="1A1A1A"/>
          <w:sz w:val="22"/>
          <w:szCs w:val="22"/>
        </w:rPr>
        <w:t xml:space="preserve">India's RBI Account Aggregator framework and licensed income-verification providers (e.g. Perfios, HyperVerge) — the compliant alternative adopted for candidate income verification in the Background Verification module.</w:t>
      </w:r>
    </w:p>
    <w:p>
      <w:pPr>
        <w:pStyle w:val="ListParagraph"/>
        <w:numPr>
          <w:ilvl w:val="0"/>
          <w:numId w:val="2"/>
        </w:numPr>
        <w:spacing w:after="80" w:line="280"/>
      </w:pPr>
      <w:r>
        <w:rPr>
          <w:rFonts w:ascii="Calibri" w:cs="Calibri" w:eastAsia="Calibri" w:hAnsi="Calibri"/>
          <w:color w:val="1A1A1A"/>
          <w:sz w:val="22"/>
          <w:szCs w:val="22"/>
        </w:rPr>
        <w:t xml:space="preserve">Industry benchmarking of current ATS/HRMS platforms (Darwinbox, Keka, Zoho Recruit, Zimyo, NeoRecruit, greytHR) — informing the differentiators noted throughout Section 4.</w:t>
      </w:r>
    </w:p>
    <w:p>
      <w:pPr>
        <w:pStyle w:val="Heading2"/>
        <w:spacing w:after="100" w:before="220"/>
      </w:pPr>
      <w:bookmarkStart w:name="bm_5_1_5_abbreviations" w:id="1005"/>
      <w:r>
        <w:rPr>
          <w:rFonts w:ascii="Calibri" w:cs="Calibri" w:eastAsia="Calibri" w:hAnsi="Calibri"/>
          <w:b/>
          <w:bCs/>
          <w:color w:val="404040"/>
          <w:sz w:val="24"/>
          <w:szCs w:val="24"/>
        </w:rPr>
        <w:t xml:space="preserve">1.5 Abbreviations</w:t>
      </w:r>
      <w:bookmarkEnd w:id="1005"/>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ATS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Applicant Tracking System</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BGV</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Background Verification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Job Description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KRA / KPI</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Key Result Area / Key Performance Indicator</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DPDP Act</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Digital Personal Data Protection Act, 2023 (India)</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SLA</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Service Level Agreement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MVP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Minimum Viable Product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RMS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 Management System (job-board employer integration)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SaaS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Software as a Service</w:t>
            </w:r>
          </w:p>
        </w:tc>
      </w:tr>
    </w:tbl>
    <w:p>
      <w:pPr>
        <w:spacing w:after="200"/>
      </w:pPr>
    </w:p>
    <w:p>
      <w:pPr>
        <w:pStyle w:val="Heading1"/>
        <w:spacing w:after="140" w:before="320"/>
      </w:pPr>
      <w:bookmarkStart w:name="bm_6_2_overall_description_backgrou" w:id="1006"/>
      <w:r>
        <w:rPr>
          <w:rFonts w:ascii="Calibri" w:cs="Calibri" w:eastAsia="Calibri" w:hAnsi="Calibri"/>
          <w:b/>
          <w:bCs/>
          <w:color w:val="D34817"/>
          <w:sz w:val="30"/>
          <w:szCs w:val="30"/>
        </w:rPr>
        <w:t xml:space="preserve">2. Overall Description / Background</w:t>
      </w:r>
      <w:bookmarkEnd w:id="1006"/>
    </w:p>
    <w:p>
      <w:pPr>
        <w:pStyle w:val="Heading2"/>
        <w:spacing w:after="100" w:before="220"/>
      </w:pPr>
      <w:bookmarkStart w:name="bm_7_2_1_background_problem_stateme" w:id="1007"/>
      <w:r>
        <w:rPr>
          <w:rFonts w:ascii="Calibri" w:cs="Calibri" w:eastAsia="Calibri" w:hAnsi="Calibri"/>
          <w:b/>
          <w:bCs/>
          <w:color w:val="404040"/>
          <w:sz w:val="24"/>
          <w:szCs w:val="24"/>
        </w:rPr>
        <w:t xml:space="preserve">2.1 Background &amp; Problem Statement</w:t>
      </w:r>
      <w:bookmarkEnd w:id="1007"/>
    </w:p>
    <w:p>
      <w:pPr>
        <w:spacing w:after="160" w:line="300"/>
        <w:jc w:val="both"/>
      </w:pPr>
      <w:r>
        <w:rPr>
          <w:rFonts w:ascii="Calibri" w:cs="Calibri" w:eastAsia="Calibri" w:hAnsi="Calibri"/>
          <w:color w:val="1A1A1A"/>
          <w:sz w:val="22"/>
          <w:szCs w:val="22"/>
        </w:rPr>
        <w:t xml:space="preserve">HR and talent teams at small-to-mid-size companies currently run recruitment and onboarding across a disconnected set of tools: spreadsheets or free ATS tiers for pipeline tracking, WhatsApp/email for interview coordination, a separate e-sign tool for offer letters, and manual checklists for onboarding. This produces four recurring problems: no single source of truth on candidate status; slow, manually-chased handoffs between offer acceptance and day-one readiness; compliance exposure from candidate PII scattered across personal inboxes with no consistent retention trail; and no structured hiring analytics for leadership to act on.</w:t>
      </w:r>
    </w:p>
    <w:p>
      <w:pPr>
        <w:pStyle w:val="Heading2"/>
        <w:spacing w:after="100" w:before="220"/>
      </w:pPr>
      <w:bookmarkStart w:name="bm_8_2_2_business_objectives" w:id="1008"/>
      <w:r>
        <w:rPr>
          <w:rFonts w:ascii="Calibri" w:cs="Calibri" w:eastAsia="Calibri" w:hAnsi="Calibri"/>
          <w:b/>
          <w:bCs/>
          <w:color w:val="404040"/>
          <w:sz w:val="24"/>
          <w:szCs w:val="24"/>
        </w:rPr>
        <w:t xml:space="preserve">2.2 Business Objectives</w:t>
      </w:r>
      <w:bookmarkEnd w:id="1008"/>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Objective</w:t>
            </w:r>
          </w:p>
        </w:tc>
        <w:tc>
          <w:tcPr>
            <w:tcW w:type="dxa" w:w="6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How Phoneme HR Suite addresses it</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Reduce time-to-hire</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Single pipeline with automated stage transitions, scheduling, and reminders removes manual chase-up delay</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Reduce time-to-productive</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Automated onboarding checklists and cross-team task assignment starting the moment an offer is accepted</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Reduce compliance risk</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Centralised, access-controlled candidate records with consent capture, retention policy, and audit trail, aligned to the DPDP Act 2023</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Create a defensible data moat</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Every pipeline event captured as structured data from day one, supporting future AI-matching features</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Land-and-expand within accounts</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Positioned as the first module of a broader Phoneme HR suite (payroll, performance) sharing one tenant and employee record</w:t>
            </w:r>
          </w:p>
        </w:tc>
      </w:tr>
    </w:tbl>
    <w:p>
      <w:pPr>
        <w:pStyle w:val="Heading2"/>
        <w:spacing w:after="100" w:before="220"/>
      </w:pPr>
      <w:bookmarkStart w:name="bm_9_2_3_target_market_personas" w:id="1009"/>
      <w:r>
        <w:rPr>
          <w:rFonts w:ascii="Calibri" w:cs="Calibri" w:eastAsia="Calibri" w:hAnsi="Calibri"/>
          <w:b/>
          <w:bCs/>
          <w:color w:val="404040"/>
          <w:sz w:val="24"/>
          <w:szCs w:val="24"/>
        </w:rPr>
        <w:t xml:space="preserve">2.3 Target Market &amp; Personas</w:t>
      </w:r>
      <w:bookmarkEnd w:id="1009"/>
    </w:p>
    <w:p>
      <w:pPr>
        <w:spacing w:after="160" w:line="300"/>
        <w:jc w:val="both"/>
      </w:pPr>
      <w:r>
        <w:rPr>
          <w:rFonts w:ascii="Calibri" w:cs="Calibri" w:eastAsia="Calibri" w:hAnsi="Calibri"/>
          <w:color w:val="1A1A1A"/>
          <w:sz w:val="22"/>
          <w:szCs w:val="22"/>
        </w:rPr>
        <w:t xml:space="preserve">Primary segment: companies with 50–2,000 employees in India, plus recruitment/staffing agencies managing multiple client pipelines. Primary buyer and daily user: the HR Manager / Talent Acquisition Lead. Day-to-day users span Recruiters, Hiring Managers, Interview Panelists, HR Ops/Onboarding Coordinators, and — on the candidate-facing side — the applicant and new hire themselves, interacting through a token-based portal with no account creation required.</w:t>
      </w:r>
    </w:p>
    <w:p>
      <w:pPr>
        <w:spacing w:after="200"/>
      </w:pPr>
    </w:p>
    <w:p>
      <w:pPr>
        <w:pStyle w:val="Heading1"/>
        <w:spacing w:after="140" w:before="320"/>
      </w:pPr>
      <w:bookmarkStart w:name="bm_10_3_proposed_solution" w:id="1010"/>
      <w:r>
        <w:rPr>
          <w:rFonts w:ascii="Calibri" w:cs="Calibri" w:eastAsia="Calibri" w:hAnsi="Calibri"/>
          <w:b/>
          <w:bCs/>
          <w:color w:val="D34817"/>
          <w:sz w:val="30"/>
          <w:szCs w:val="30"/>
        </w:rPr>
        <w:t xml:space="preserve">3. Proposed Solution</w:t>
      </w:r>
      <w:bookmarkEnd w:id="1010"/>
    </w:p>
    <w:p>
      <w:pPr>
        <w:pStyle w:val="Heading2"/>
        <w:spacing w:after="100" w:before="220"/>
      </w:pPr>
      <w:bookmarkStart w:name="bm_11_3_1_design_implementation_the_" w:id="1011"/>
      <w:r>
        <w:rPr>
          <w:rFonts w:ascii="Calibri" w:cs="Calibri" w:eastAsia="Calibri" w:hAnsi="Calibri"/>
          <w:b/>
          <w:bCs/>
          <w:color w:val="404040"/>
          <w:sz w:val="24"/>
          <w:szCs w:val="24"/>
        </w:rPr>
        <w:t xml:space="preserve">3.1 Design &amp; Implementation — The Ten Process Modules</w:t>
      </w:r>
      <w:bookmarkEnd w:id="1011"/>
    </w:p>
    <w:p>
      <w:pPr>
        <w:spacing w:after="160" w:line="300"/>
        <w:jc w:val="both"/>
      </w:pPr>
      <w:r>
        <w:rPr>
          <w:rFonts w:ascii="Calibri" w:cs="Calibri" w:eastAsia="Calibri" w:hAnsi="Calibri"/>
          <w:color w:val="1A1A1A"/>
          <w:sz w:val="22"/>
          <w:szCs w:val="22"/>
        </w:rPr>
        <w:t xml:space="preserve">The solution is structured as ten sequential, connected process modules, each owning a distinct stage of the talent lifecycle and handing structured data — not free text — to the next:</w:t>
      </w:r>
    </w:p>
    <w:p>
      <w:pPr>
        <w:pStyle w:val="ListParagraph"/>
        <w:numPr>
          <w:ilvl w:val="0"/>
          <w:numId w:val="3"/>
        </w:numPr>
        <w:spacing w:after="80" w:line="280"/>
      </w:pPr>
      <w:r>
        <w:rPr>
          <w:rFonts w:ascii="Calibri" w:cs="Calibri" w:eastAsia="Calibri" w:hAnsi="Calibri"/>
          <w:color w:val="1A1A1A"/>
          <w:sz w:val="22"/>
          <w:szCs w:val="22"/>
        </w:rPr>
        <w:t xml:space="preserve">Job Description (JD) Intake &amp; Freezing — 🔒 LOCKED (see Section 4.1)</w:t>
      </w:r>
    </w:p>
    <w:p>
      <w:pPr>
        <w:pStyle w:val="ListParagraph"/>
        <w:numPr>
          <w:ilvl w:val="0"/>
          <w:numId w:val="3"/>
        </w:numPr>
        <w:spacing w:after="80" w:line="280"/>
      </w:pPr>
      <w:r>
        <w:rPr>
          <w:rFonts w:ascii="Calibri" w:cs="Calibri" w:eastAsia="Calibri" w:hAnsi="Calibri"/>
          <w:color w:val="1A1A1A"/>
          <w:sz w:val="22"/>
          <w:szCs w:val="22"/>
        </w:rPr>
        <w:t xml:space="preserve">Candidate Sourcing &amp; Resume Aggregation — 🔒 LOCKED (see Section 4.2)</w:t>
      </w:r>
    </w:p>
    <w:p>
      <w:pPr>
        <w:pStyle w:val="ListParagraph"/>
        <w:numPr>
          <w:ilvl w:val="0"/>
          <w:numId w:val="3"/>
        </w:numPr>
        <w:spacing w:after="80" w:line="280"/>
      </w:pPr>
      <w:r>
        <w:rPr>
          <w:rFonts w:ascii="Calibri" w:cs="Calibri" w:eastAsia="Calibri" w:hAnsi="Calibri"/>
          <w:color w:val="1A1A1A"/>
          <w:sz w:val="22"/>
          <w:szCs w:val="22"/>
        </w:rPr>
        <w:t xml:space="preserve">Screening &amp; Shortlisting — scored against the Module 1 matrix, threshold-gated auto-advancement</w:t>
      </w:r>
    </w:p>
    <w:p>
      <w:pPr>
        <w:pStyle w:val="ListParagraph"/>
        <w:numPr>
          <w:ilvl w:val="0"/>
          <w:numId w:val="3"/>
        </w:numPr>
        <w:spacing w:after="80" w:line="280"/>
      </w:pPr>
      <w:r>
        <w:rPr>
          <w:rFonts w:ascii="Calibri" w:cs="Calibri" w:eastAsia="Calibri" w:hAnsi="Calibri"/>
          <w:color w:val="1A1A1A"/>
          <w:sz w:val="22"/>
          <w:szCs w:val="22"/>
        </w:rPr>
        <w:t xml:space="preserve">Candidate Pre-Interview Data Capture — token-based portal, expected CTC, project write-ups, and other pre-interview data</w:t>
      </w:r>
    </w:p>
    <w:p>
      <w:pPr>
        <w:pStyle w:val="ListParagraph"/>
        <w:numPr>
          <w:ilvl w:val="0"/>
          <w:numId w:val="3"/>
        </w:numPr>
        <w:spacing w:after="80" w:line="280"/>
      </w:pPr>
      <w:r>
        <w:rPr>
          <w:rFonts w:ascii="Calibri" w:cs="Calibri" w:eastAsia="Calibri" w:hAnsi="Calibri"/>
          <w:color w:val="1A1A1A"/>
          <w:sz w:val="22"/>
          <w:szCs w:val="22"/>
        </w:rPr>
        <w:t xml:space="preserve">Interview Management — multi-round, structured interviewer scorecards, panel decision rollup</w:t>
      </w:r>
    </w:p>
    <w:p>
      <w:pPr>
        <w:pStyle w:val="ListParagraph"/>
        <w:numPr>
          <w:ilvl w:val="0"/>
          <w:numId w:val="3"/>
        </w:numPr>
        <w:spacing w:after="80" w:line="280"/>
      </w:pPr>
      <w:r>
        <w:rPr>
          <w:rFonts w:ascii="Calibri" w:cs="Calibri" w:eastAsia="Calibri" w:hAnsi="Calibri"/>
          <w:color w:val="1A1A1A"/>
          <w:sz w:val="22"/>
          <w:szCs w:val="22"/>
        </w:rPr>
        <w:t xml:space="preserve">Selection &amp; Background Verification — consent-gated identity/employment/income verification via licensed vendors</w:t>
      </w:r>
    </w:p>
    <w:p>
      <w:pPr>
        <w:pStyle w:val="ListParagraph"/>
        <w:numPr>
          <w:ilvl w:val="0"/>
          <w:numId w:val="3"/>
        </w:numPr>
        <w:spacing w:after="80" w:line="280"/>
      </w:pPr>
      <w:r>
        <w:rPr>
          <w:rFonts w:ascii="Calibri" w:cs="Calibri" w:eastAsia="Calibri" w:hAnsi="Calibri"/>
          <w:color w:val="1A1A1A"/>
          <w:sz w:val="22"/>
          <w:szCs w:val="22"/>
        </w:rPr>
        <w:t xml:space="preserve">Offer Management, KRA/KPI &amp; E-Sign — auto-generated offer letter and compensation breakup, e-signature, hire-to-payroll handoff</w:t>
      </w:r>
    </w:p>
    <w:p>
      <w:pPr>
        <w:pStyle w:val="ListParagraph"/>
        <w:numPr>
          <w:ilvl w:val="0"/>
          <w:numId w:val="3"/>
        </w:numPr>
        <w:spacing w:after="80" w:line="280"/>
      </w:pPr>
      <w:r>
        <w:rPr>
          <w:rFonts w:ascii="Calibri" w:cs="Calibri" w:eastAsia="Calibri" w:hAnsi="Calibri"/>
          <w:color w:val="1A1A1A"/>
          <w:sz w:val="22"/>
          <w:szCs w:val="22"/>
        </w:rPr>
        <w:t xml:space="preserve">Onboarding — cross-team asset/IT/documentation checklist, day-one readiness dashboard</w:t>
      </w:r>
    </w:p>
    <w:p>
      <w:pPr>
        <w:pStyle w:val="ListParagraph"/>
        <w:numPr>
          <w:ilvl w:val="0"/>
          <w:numId w:val="3"/>
        </w:numPr>
        <w:spacing w:after="80" w:line="280"/>
      </w:pPr>
      <w:r>
        <w:rPr>
          <w:rFonts w:ascii="Calibri" w:cs="Calibri" w:eastAsia="Calibri" w:hAnsi="Calibri"/>
          <w:color w:val="1A1A1A"/>
          <w:sz w:val="22"/>
          <w:szCs w:val="22"/>
        </w:rPr>
        <w:t xml:space="preserve">Payroll &amp; Compensation — salary slips, full-and-final settlement, loans, employee expenses</w:t>
      </w:r>
    </w:p>
    <w:p>
      <w:pPr>
        <w:pStyle w:val="ListParagraph"/>
        <w:numPr>
          <w:ilvl w:val="0"/>
          <w:numId w:val="3"/>
        </w:numPr>
        <w:spacing w:after="80" w:line="280"/>
      </w:pPr>
      <w:r>
        <w:rPr>
          <w:rFonts w:ascii="Calibri" w:cs="Calibri" w:eastAsia="Calibri" w:hAnsi="Calibri"/>
          <w:color w:val="1A1A1A"/>
          <w:sz w:val="22"/>
          <w:szCs w:val="22"/>
        </w:rPr>
        <w:t xml:space="preserve">Appraisal — continuous KRA/KPI tracking feeding the annual review cycle</w:t>
      </w:r>
    </w:p>
    <w:p>
      <w:pPr>
        <w:pStyle w:val="Heading2"/>
        <w:spacing w:after="100" w:before="220"/>
      </w:pPr>
      <w:bookmarkStart w:name="bm_12_3_2_architecture" w:id="1012"/>
      <w:r>
        <w:rPr>
          <w:rFonts w:ascii="Calibri" w:cs="Calibri" w:eastAsia="Calibri" w:hAnsi="Calibri"/>
          <w:b/>
          <w:bCs/>
          <w:color w:val="404040"/>
          <w:sz w:val="24"/>
          <w:szCs w:val="24"/>
        </w:rPr>
        <w:t xml:space="preserve">3.2 Architecture</w:t>
      </w:r>
      <w:bookmarkEnd w:id="1012"/>
    </w:p>
    <w:p>
      <w:pPr>
        <w:spacing w:after="160" w:line="300"/>
        <w:jc w:val="both"/>
      </w:pPr>
      <w:r>
        <w:rPr>
          <w:rFonts w:ascii="Calibri" w:cs="Calibri" w:eastAsia="Calibri" w:hAnsi="Calibri"/>
          <w:color w:val="1A1A1A"/>
          <w:sz w:val="22"/>
          <w:szCs w:val="22"/>
        </w:rPr>
        <w:t xml:space="preserve">Phoneme HR Suite is designed multi-tenant and API-first from day one, so it can later plug into a broader Phoneme HR suite (payroll, performance, exit management) without rearchitecting. Recommended starting model: shared database, shared schema, with every table carrying a tenant identifier and a tenant-aware data-access layer enforced at the code level — the standard, lowest-cost path for early-stage SaaS that still allows a specific high-value tenant to migrate to a dedicated schema or database later without an application rewrite.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Layer</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Recommendation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Backend API</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Python (FastAPI) or Node.js (NestJS)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Frontend</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React + TypeScript</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Database</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PostgreSQL, with row-level tenant isolation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File storage</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S3-compatible object storage for resumes, ID documents, and signed offers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Background jobs</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Celery + Redis (Python) or BullMQ (Node) for async resume parsing, notifications, and integration webhooks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Auth</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Managed OIDC provider for internal users; magic-link tokens for external candidates</w:t>
            </w:r>
          </w:p>
        </w:tc>
      </w:tr>
    </w:tbl>
    <w:p>
      <w:pPr>
        <w:spacing w:after="200"/>
      </w:pPr>
    </w:p>
    <w:p>
      <w:pPr>
        <w:pStyle w:val="Heading1"/>
        <w:spacing w:after="140" w:before="320"/>
      </w:pPr>
      <w:bookmarkStart w:name="bm_13_4_specific_requirements" w:id="1013"/>
      <w:r>
        <w:rPr>
          <w:rFonts w:ascii="Calibri" w:cs="Calibri" w:eastAsia="Calibri" w:hAnsi="Calibri"/>
          <w:b/>
          <w:bCs/>
          <w:color w:val="D34817"/>
          <w:sz w:val="30"/>
          <w:szCs w:val="30"/>
        </w:rPr>
        <w:t xml:space="preserve">4. Specific Requirements</w:t>
      </w:r>
      <w:bookmarkEnd w:id="1013"/>
    </w:p>
    <w:p>
      <w:pPr>
        <w:spacing w:after="160" w:line="300"/>
        <w:jc w:val="both"/>
      </w:pPr>
      <w:r>
        <w:rPr>
          <w:rFonts w:ascii="Calibri" w:cs="Calibri" w:eastAsia="Calibri" w:hAnsi="Calibri"/>
          <w:color w:val="1A1A1A"/>
          <w:sz w:val="22"/>
          <w:szCs w:val="22"/>
        </w:rPr>
        <w:t xml:space="preserve">This section carries full build-ready detail for the two modules locked to date, followed by the current requirement-level scope for the remaining eight modules.</w:t>
      </w:r>
    </w:p>
    <w:p>
      <w:pPr>
        <w:pStyle w:val="Heading2"/>
        <w:spacing w:after="100" w:before="220"/>
      </w:pPr>
      <w:bookmarkStart w:name="bm_14_4_1_module_1_job_description_j" w:id="1014"/>
      <w:r>
        <w:rPr>
          <w:rFonts w:ascii="Calibri" w:cs="Calibri" w:eastAsia="Calibri" w:hAnsi="Calibri"/>
          <w:b/>
          <w:bCs/>
          <w:color w:val="404040"/>
          <w:sz w:val="24"/>
          <w:szCs w:val="24"/>
        </w:rPr>
        <w:t xml:space="preserve">4.1 Module 1 — Job Description (JD) Intake &amp; Freezing  🔒 LOCKED v1.0</w:t>
      </w:r>
      <w:bookmarkEnd w:id="1014"/>
    </w:p>
    <w:p>
      <w:pPr>
        <w:spacing w:after="160" w:line="300"/>
        <w:jc w:val="both"/>
      </w:pPr>
      <w:r>
        <w:rPr>
          <w:rFonts w:ascii="Calibri" w:cs="Calibri" w:eastAsia="Calibri" w:hAnsi="Calibri"/>
          <w:color w:val="1A1A1A"/>
          <w:sz w:val="22"/>
          <w:szCs w:val="22"/>
        </w:rPr>
        <w:t xml:space="preserve">A hiring manager sends a rough, free-text brief (by email or portal); the system converts it into structured JD data, generates multiple polished JD variants, routes them for manager review and sign-off, and — at the moment of freezing — auto-generates the weighted scoring matrix every downstream module scores against.</w:t>
      </w:r>
    </w:p>
    <w:p>
      <w:pPr>
        <w:pStyle w:val="Heading3"/>
        <w:spacing w:after="80" w:before="160"/>
      </w:pPr>
      <w:r>
        <w:rPr>
          <w:rFonts w:ascii="Calibri" w:cs="Calibri" w:eastAsia="Calibri" w:hAnsi="Calibri"/>
          <w:b/>
          <w:bCs/>
          <w:color w:val="000000"/>
          <w:sz w:val="22"/>
          <w:szCs w:val="22"/>
        </w:rPr>
        <w:t xml:space="preserve">Process Flow</w:t>
      </w:r>
    </w:p>
    <w:p>
      <w:pPr>
        <w:pStyle w:val="ListParagraph"/>
        <w:numPr>
          <w:ilvl w:val="0"/>
          <w:numId w:val="4"/>
        </w:numPr>
        <w:spacing w:after="80" w:line="280"/>
      </w:pPr>
      <w:r>
        <w:rPr>
          <w:rFonts w:ascii="Calibri" w:cs="Calibri" w:eastAsia="Calibri" w:hAnsi="Calibri"/>
          <w:color w:val="1A1A1A"/>
          <w:sz w:val="22"/>
          <w:szCs w:val="22"/>
        </w:rPr>
        <w:t xml:space="preserve">Manager submits a rough brief — by email to a dedicated intake address, or directly in the portal.</w:t>
      </w:r>
    </w:p>
    <w:p>
      <w:pPr>
        <w:pStyle w:val="ListParagraph"/>
        <w:numPr>
          <w:ilvl w:val="0"/>
          <w:numId w:val="4"/>
        </w:numPr>
        <w:spacing w:after="80" w:line="280"/>
      </w:pPr>
      <w:r>
        <w:rPr>
          <w:rFonts w:ascii="Calibri" w:cs="Calibri" w:eastAsia="Calibri" w:hAnsi="Calibri"/>
          <w:color w:val="1A1A1A"/>
          <w:sz w:val="22"/>
          <w:szCs w:val="22"/>
        </w:rPr>
        <w:t xml:space="preserve">System runs NLP extraction on the brief into the structured JD Intake Schema; low-confidence fields are flagged for manager confirmation rather than silently guessed.</w:t>
      </w:r>
    </w:p>
    <w:p>
      <w:pPr>
        <w:pStyle w:val="ListParagraph"/>
        <w:numPr>
          <w:ilvl w:val="0"/>
          <w:numId w:val="4"/>
        </w:numPr>
        <w:spacing w:after="80" w:line="280"/>
      </w:pPr>
      <w:r>
        <w:rPr>
          <w:rFonts w:ascii="Calibri" w:cs="Calibri" w:eastAsia="Calibri" w:hAnsi="Calibri"/>
          <w:color w:val="1A1A1A"/>
          <w:sz w:val="22"/>
          <w:szCs w:val="22"/>
        </w:rPr>
        <w:t xml:space="preserve">System generates 2–3 JD variants — a formal/corporate version, a candidate-friendly version, and a condensed job-board version.</w:t>
      </w:r>
    </w:p>
    <w:p>
      <w:pPr>
        <w:pStyle w:val="ListParagraph"/>
        <w:numPr>
          <w:ilvl w:val="0"/>
          <w:numId w:val="4"/>
        </w:numPr>
        <w:spacing w:after="80" w:line="280"/>
      </w:pPr>
      <w:r>
        <w:rPr>
          <w:rFonts w:ascii="Calibri" w:cs="Calibri" w:eastAsia="Calibri" w:hAnsi="Calibri"/>
          <w:color w:val="1A1A1A"/>
          <w:sz w:val="22"/>
          <w:szCs w:val="22"/>
        </w:rPr>
        <w:t xml:space="preserve">All variants are emailed to the manager (with a portal link) and appear in the portal's Pending JD Approval queue.</w:t>
      </w:r>
    </w:p>
    <w:p>
      <w:pPr>
        <w:pStyle w:val="ListParagraph"/>
        <w:numPr>
          <w:ilvl w:val="0"/>
          <w:numId w:val="4"/>
        </w:numPr>
        <w:spacing w:after="80" w:line="280"/>
      </w:pPr>
      <w:r>
        <w:rPr>
          <w:rFonts w:ascii="Calibri" w:cs="Calibri" w:eastAsia="Calibri" w:hAnsi="Calibri"/>
          <w:color w:val="1A1A1A"/>
          <w:sz w:val="22"/>
          <w:szCs w:val="22"/>
        </w:rPr>
        <w:t xml:space="preserve">Manager reviews by replying on the email in plain text (NLP-parsed back into structured diffs) or editing directly in the portal — both are first-class review paths.</w:t>
      </w:r>
    </w:p>
    <w:p>
      <w:pPr>
        <w:pStyle w:val="ListParagraph"/>
        <w:numPr>
          <w:ilvl w:val="0"/>
          <w:numId w:val="4"/>
        </w:numPr>
        <w:spacing w:after="80" w:line="280"/>
      </w:pPr>
      <w:r>
        <w:rPr>
          <w:rFonts w:ascii="Calibri" w:cs="Calibri" w:eastAsia="Calibri" w:hAnsi="Calibri"/>
          <w:color w:val="1A1A1A"/>
          <w:sz w:val="22"/>
          <w:szCs w:val="22"/>
        </w:rPr>
        <w:t xml:space="preserve">A configurable SLA (e.g. 3 business days) triggers a reminder, then an HR escalation, if the manager does not respond.</w:t>
      </w:r>
    </w:p>
    <w:p>
      <w:pPr>
        <w:pStyle w:val="ListParagraph"/>
        <w:numPr>
          <w:ilvl w:val="0"/>
          <w:numId w:val="4"/>
        </w:numPr>
        <w:spacing w:after="80" w:line="280"/>
      </w:pPr>
      <w:r>
        <w:rPr>
          <w:rFonts w:ascii="Calibri" w:cs="Calibri" w:eastAsia="Calibri" w:hAnsi="Calibri"/>
          <w:color w:val="1A1A1A"/>
          <w:sz w:val="22"/>
          <w:szCs w:val="22"/>
        </w:rPr>
        <w:t xml:space="preserve">Manager freezes a final version — a hard, immutable state change; any later edit creates a new version rather than overwriting the frozen one.</w:t>
      </w:r>
    </w:p>
    <w:p>
      <w:pPr>
        <w:pStyle w:val="ListParagraph"/>
        <w:numPr>
          <w:ilvl w:val="0"/>
          <w:numId w:val="4"/>
        </w:numPr>
        <w:spacing w:after="80" w:line="280"/>
      </w:pPr>
      <w:r>
        <w:rPr>
          <w:rFonts w:ascii="Calibri" w:cs="Calibri" w:eastAsia="Calibri" w:hAnsi="Calibri"/>
          <w:color w:val="1A1A1A"/>
          <w:sz w:val="22"/>
          <w:szCs w:val="22"/>
        </w:rPr>
        <w:t xml:space="preserve">At freeze, the system auto-generates the weighted Scoring Matrix from the must-have/nice-to-have fields and presents it for the manager to adjust via a slider UI before confirming.</w:t>
      </w:r>
    </w:p>
    <w:p>
      <w:pPr>
        <w:pStyle w:val="Heading3"/>
        <w:spacing w:after="80" w:before="160"/>
      </w:pPr>
      <w:r>
        <w:rPr>
          <w:rFonts w:ascii="Calibri" w:cs="Calibri" w:eastAsia="Calibri" w:hAnsi="Calibri"/>
          <w:b/>
          <w:bCs/>
          <w:color w:val="000000"/>
          <w:sz w:val="22"/>
          <w:szCs w:val="22"/>
        </w:rPr>
        <w:t xml:space="preserve">Scoring Matrix — Default Weight Bands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400"/>
        <w:gridCol w:w="3800"/>
      </w:tblGrid>
      <w:tr>
        <w:trPr>
          <w:tblHeader/>
        </w:trPr>
        <w:tc>
          <w:tcPr>
            <w:tcW w:type="dxa" w:w="5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Category</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Default weight band</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Core tool/technical skills</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30–50%</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Experience &amp; seniority</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20–35%</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Domain/analytical competency</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10–25%</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Behavioral/soft-skill signals (resume-stage proxy only)</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10–20%</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Education fit</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0–10%</w:t>
            </w:r>
          </w:p>
        </w:tc>
      </w:tr>
    </w:tbl>
    <w:p>
      <w:pPr>
        <w:pStyle w:val="Heading3"/>
        <w:spacing w:after="80" w:before="160"/>
      </w:pPr>
      <w:r>
        <w:rPr>
          <w:rFonts w:ascii="Calibri" w:cs="Calibri" w:eastAsia="Calibri" w:hAnsi="Calibri"/>
          <w:b/>
          <w:bCs/>
          <w:color w:val="000000"/>
          <w:sz w:val="22"/>
          <w:szCs w:val="22"/>
        </w:rPr>
        <w:t xml:space="preserve">Feature List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800"/>
        <w:gridCol w:w="1200"/>
      </w:tblGrid>
      <w:tr>
        <w:trPr>
          <w:tblHeader/>
        </w:trPr>
        <w:tc>
          <w:tcPr>
            <w:tcW w:type="dxa" w:w="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Feature</w:t>
            </w:r>
          </w:p>
        </w:tc>
        <w:tc>
          <w:tcPr>
            <w:tcW w:type="dxa" w:w="5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Description</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Priority</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Free-text brief ingestion (email + portal)</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NLP extraction into the structured JD Intake Schema, with low-confidence fields flagged for manager confirmation</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Multi-variant JD generation</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Auto-generate 2–3 JD versions (formal, candidate-friendly, condensed) from structured data</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3</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Email + portal review loop</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approves/edits via direct email reply (NLP-parsed) or in-portal editor — both converge on the same draft</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4</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 versioning &amp; audit trail</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Every edit stored as a version with author and timestamp; frozen JD is immutable</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5</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Approval SLA &amp; escalation</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Configurable reminder/escalation timer if a manager doesn't respond to a pending JD</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6</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Auto-generated weighted scoring matrix</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Matrix built from must-have/nice-to-have fields at freeze time, with manager-adjustable weights before confirmation</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7</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 templates</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Save a frozen JD + matrix as a reusable template for recurring roles</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Should-have</w:t>
            </w:r>
          </w:p>
        </w:tc>
      </w:tr>
    </w:tbl>
    <w:p>
      <w:pPr>
        <w:pStyle w:val="Heading2"/>
        <w:spacing w:after="100" w:before="220"/>
      </w:pPr>
      <w:bookmarkStart w:name="bm_15_4_2_module_2_candidate_sourcin" w:id="1015"/>
      <w:r>
        <w:rPr>
          <w:rFonts w:ascii="Calibri" w:cs="Calibri" w:eastAsia="Calibri" w:hAnsi="Calibri"/>
          <w:b/>
          <w:bCs/>
          <w:color w:val="404040"/>
          <w:sz w:val="24"/>
          <w:szCs w:val="24"/>
        </w:rPr>
        <w:t xml:space="preserve">4.2 Module 2 — Candidate Sourcing &amp; Resume Aggregation  🔒 LOCKED v1.0</w:t>
      </w:r>
      <w:bookmarkEnd w:id="1015"/>
    </w:p>
    <w:p>
      <w:pPr>
        <w:spacing w:after="160" w:line="300"/>
        <w:jc w:val="both"/>
      </w:pPr>
      <w:r>
        <w:rPr>
          <w:rFonts w:ascii="Calibri" w:cs="Calibri" w:eastAsia="Calibri" w:hAnsi="Calibri"/>
          <w:color w:val="1A1A1A"/>
          <w:sz w:val="22"/>
          <w:szCs w:val="22"/>
        </w:rPr>
        <w:t xml:space="preserve">Once a JD is frozen, it is published to sourcing channels and resumes begin flowing into the system — via job-board integration, direct email, or manual upload — into one unified, deduplicated candidate pool per tenant.</w:t>
      </w:r>
    </w:p>
    <w:p>
      <w:pPr>
        <w:spacing w:after="140" w:line="280"/>
        <w:jc w:val="both"/>
      </w:pPr>
      <w:r>
        <w:rPr>
          <w:rFonts w:ascii="Calibri" w:cs="Calibri" w:eastAsia="Calibri" w:hAnsi="Calibri"/>
          <w:b/>
          <w:bCs/>
          <w:color w:val="000000"/>
          <w:sz w:val="22"/>
          <w:szCs w:val="22"/>
        </w:rPr>
        <w:t xml:space="preserve">Locked decision: </w:t>
      </w:r>
      <w:r>
        <w:rPr>
          <w:rFonts w:ascii="Calibri" w:cs="Calibri" w:eastAsia="Calibri" w:hAnsi="Calibri"/>
          <w:color w:val="1A1A1A"/>
          <w:sz w:val="22"/>
          <w:szCs w:val="22"/>
        </w:rPr>
        <w:t xml:space="preserve">resumes are ingested only through official, contracted integrations — job-board recruiter APIs / RMS partnerships (Naukri RMS, LinkedIn Recruiter API, and equivalent) — plus direct email intake and manual upload. Unauthorized scraping of job-board pages is explicitly out of scope, since it violates most job boards' terms of service and creates an ongoing legal and account-suspension risk. Where a target board has no official API, the fallback is manual upload — never scraping.</w:t>
      </w:r>
    </w:p>
    <w:p>
      <w:pPr>
        <w:pStyle w:val="Heading3"/>
        <w:spacing w:after="80" w:before="160"/>
      </w:pPr>
      <w:r>
        <w:rPr>
          <w:rFonts w:ascii="Calibri" w:cs="Calibri" w:eastAsia="Calibri" w:hAnsi="Calibri"/>
          <w:b/>
          <w:bCs/>
          <w:color w:val="000000"/>
          <w:sz w:val="22"/>
          <w:szCs w:val="22"/>
        </w:rPr>
        <w:t xml:space="preserve">Sourcing Channels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Channel</w:t>
            </w:r>
          </w:p>
        </w:tc>
        <w:tc>
          <w:tcPr>
            <w:tcW w:type="dxa" w:w="5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Ingestion method (locked)</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Naukri</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Naukri RMS (Recruiter Management System) API integration</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LinkedIn</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LinkedIn Recruiter/Talent Solutions API integration</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Niche job boards (e.g. iimjobs)</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Official employer API where available; manual upload otherwise</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Direct email intake</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Automated inbox parsing — attachment extraction + resume parsing</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Manual upload</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Recruiter-driven single/bulk upload — universal fallback</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Employee referral</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Referral link/form tied to the referring employee, attributed at intake</w:t>
            </w:r>
          </w:p>
        </w:tc>
      </w:tr>
    </w:tbl>
    <w:p>
      <w:pPr>
        <w:pStyle w:val="Heading3"/>
        <w:spacing w:after="80" w:before="160"/>
      </w:pPr>
      <w:r>
        <w:rPr>
          <w:rFonts w:ascii="Calibri" w:cs="Calibri" w:eastAsia="Calibri" w:hAnsi="Calibri"/>
          <w:b/>
          <w:bCs/>
          <w:color w:val="000000"/>
          <w:sz w:val="22"/>
          <w:szCs w:val="22"/>
        </w:rPr>
        <w:t xml:space="preserve">Feature List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800"/>
        <w:gridCol w:w="1200"/>
      </w:tblGrid>
      <w:tr>
        <w:trPr>
          <w:tblHeader/>
        </w:trPr>
        <w:tc>
          <w:tcPr>
            <w:tcW w:type="dxa" w:w="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Feature</w:t>
            </w:r>
          </w:p>
        </w:tc>
        <w:tc>
          <w:tcPr>
            <w:tcW w:type="dxa" w:w="5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Description</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Priority</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Multi-channel job posting</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Publish a frozen requisition to the careers page and contracted job-board integrations from one action</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Job-board API integration (not scraping)</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Naukri RMS / LinkedIn Recruiter API / equivalent official integrations only</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3</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Email intake parsing</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Dedicated inbox auto-parses incoming resumes/attachments</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4</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Resume parsing</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Extract structured fields (contact, experience, skills, education) from any resume format</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5</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Unified resume inbox</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One consolidated view across all channels instead of separate per-source screens</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6</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Duplicate detection</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Flag likely-duplicate candidates on intake and link rather than duplicate</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7</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Candidate database search</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Full-text and filtered search across the tenant's entire historical candidate pool</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8</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Referral capture &amp; attribution</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Referral link/form tied to the referring employee, captured at intake</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Should-have</w:t>
            </w:r>
          </w:p>
        </w:tc>
      </w:tr>
    </w:tbl>
    <w:p>
      <w:pPr>
        <w:pStyle w:val="Heading2"/>
        <w:spacing w:after="100" w:before="220"/>
      </w:pPr>
      <w:bookmarkStart w:name="bm_16_4_3_modules_3_10_requirement_l" w:id="1016"/>
      <w:r>
        <w:rPr>
          <w:rFonts w:ascii="Calibri" w:cs="Calibri" w:eastAsia="Calibri" w:hAnsi="Calibri"/>
          <w:b/>
          <w:bCs/>
          <w:color w:val="404040"/>
          <w:sz w:val="24"/>
          <w:szCs w:val="24"/>
        </w:rPr>
        <w:t xml:space="preserve">4.3 Modules 3–10 — Requirement-Level Scope (pending lock)</w:t>
      </w:r>
      <w:bookmarkEnd w:id="1016"/>
    </w:p>
    <w:p>
      <w:pPr>
        <w:spacing w:after="160" w:line="300"/>
        <w:jc w:val="both"/>
      </w:pPr>
      <w:r>
        <w:rPr>
          <w:rFonts w:ascii="Calibri" w:cs="Calibri" w:eastAsia="Calibri" w:hAnsi="Calibri"/>
          <w:color w:val="1A1A1A"/>
          <w:sz w:val="22"/>
          <w:szCs w:val="22"/>
        </w:rPr>
        <w:t xml:space="preserve">The remaining modules are scoped to product-requirement level below and will each be elaborated to the same build-ready detail as Modules 1–2 as development proceeds, in sequence.</w:t>
      </w:r>
    </w:p>
    <w:p>
      <w:pPr>
        <w:pStyle w:val="Heading3"/>
        <w:spacing w:after="80" w:before="160"/>
      </w:pPr>
      <w:r>
        <w:rPr>
          <w:rFonts w:ascii="Calibri" w:cs="Calibri" w:eastAsia="Calibri" w:hAnsi="Calibri"/>
          <w:b/>
          <w:bCs/>
          <w:color w:val="000000"/>
          <w:sz w:val="22"/>
          <w:szCs w:val="22"/>
        </w:rPr>
        <w:t xml:space="preserve">Module 3 — Screening &amp; Shortlisting</w:t>
      </w:r>
    </w:p>
    <w:p>
      <w:pPr>
        <w:pStyle w:val="ListParagraph"/>
        <w:numPr>
          <w:ilvl w:val="0"/>
          <w:numId w:val="2"/>
        </w:numPr>
        <w:spacing w:after="80" w:line="280"/>
      </w:pPr>
      <w:r>
        <w:rPr>
          <w:rFonts w:ascii="Calibri" w:cs="Calibri" w:eastAsia="Calibri" w:hAnsi="Calibri"/>
          <w:color w:val="1A1A1A"/>
          <w:sz w:val="22"/>
          <w:szCs w:val="22"/>
        </w:rPr>
        <w:t xml:space="preserve">Candidates are scored against the Module 1 weighted matrix as they enter the pipeline; knockout criteria reject automatically, others are ranked with visible score reasoning.</w:t>
      </w:r>
    </w:p>
    <w:p>
      <w:pPr>
        <w:pStyle w:val="ListParagraph"/>
        <w:numPr>
          <w:ilvl w:val="0"/>
          <w:numId w:val="2"/>
        </w:numPr>
        <w:spacing w:after="80" w:line="280"/>
      </w:pPr>
      <w:r>
        <w:rPr>
          <w:rFonts w:ascii="Calibri" w:cs="Calibri" w:eastAsia="Calibri" w:hAnsi="Calibri"/>
          <w:color w:val="1A1A1A"/>
          <w:sz w:val="22"/>
          <w:szCs w:val="22"/>
        </w:rPr>
        <w:t xml:space="preserve">Configurable per-requisition threshold moves a candidate to Screened status and triggers an automatic notification email.</w:t>
      </w:r>
    </w:p>
    <w:p>
      <w:pPr>
        <w:pStyle w:val="Heading3"/>
        <w:spacing w:after="80" w:before="160"/>
      </w:pPr>
      <w:r>
        <w:rPr>
          <w:rFonts w:ascii="Calibri" w:cs="Calibri" w:eastAsia="Calibri" w:hAnsi="Calibri"/>
          <w:b/>
          <w:bCs/>
          <w:color w:val="000000"/>
          <w:sz w:val="22"/>
          <w:szCs w:val="22"/>
        </w:rPr>
        <w:t xml:space="preserve">Module 4 — Candidate Pre-Interview Data Capture</w:t>
      </w:r>
    </w:p>
    <w:p>
      <w:pPr>
        <w:pStyle w:val="ListParagraph"/>
        <w:numPr>
          <w:ilvl w:val="0"/>
          <w:numId w:val="2"/>
        </w:numPr>
        <w:spacing w:after="80" w:line="280"/>
      </w:pPr>
      <w:r>
        <w:rPr>
          <w:rFonts w:ascii="Calibri" w:cs="Calibri" w:eastAsia="Calibri" w:hAnsi="Calibri"/>
          <w:color w:val="1A1A1A"/>
          <w:sz w:val="22"/>
          <w:szCs w:val="22"/>
        </w:rPr>
        <w:t xml:space="preserve">Token/magic-link portal login (no account creation); role-configurable form (expected CTC, reason for change, project write-ups).</w:t>
      </w:r>
    </w:p>
    <w:p>
      <w:pPr>
        <w:pStyle w:val="ListParagraph"/>
        <w:numPr>
          <w:ilvl w:val="0"/>
          <w:numId w:val="2"/>
        </w:numPr>
        <w:spacing w:after="80" w:line="280"/>
      </w:pPr>
      <w:r>
        <w:rPr>
          <w:rFonts w:ascii="Calibri" w:cs="Calibri" w:eastAsia="Calibri" w:hAnsi="Calibri"/>
          <w:color w:val="1A1A1A"/>
          <w:sz w:val="22"/>
          <w:szCs w:val="22"/>
        </w:rPr>
        <w:t xml:space="preserve">Submission triggers interview scheduling and candidate notification of interview details.</w:t>
      </w:r>
    </w:p>
    <w:p>
      <w:pPr>
        <w:pStyle w:val="Heading3"/>
        <w:spacing w:after="80" w:before="160"/>
      </w:pPr>
      <w:r>
        <w:rPr>
          <w:rFonts w:ascii="Calibri" w:cs="Calibri" w:eastAsia="Calibri" w:hAnsi="Calibri"/>
          <w:b/>
          <w:bCs/>
          <w:color w:val="000000"/>
          <w:sz w:val="22"/>
          <w:szCs w:val="22"/>
        </w:rPr>
        <w:t xml:space="preserve">Module 5 — Interview Management</w:t>
      </w:r>
    </w:p>
    <w:p>
      <w:pPr>
        <w:pStyle w:val="ListParagraph"/>
        <w:numPr>
          <w:ilvl w:val="0"/>
          <w:numId w:val="2"/>
        </w:numPr>
        <w:spacing w:after="80" w:line="280"/>
      </w:pPr>
      <w:r>
        <w:rPr>
          <w:rFonts w:ascii="Calibri" w:cs="Calibri" w:eastAsia="Calibri" w:hAnsi="Calibri"/>
          <w:color w:val="1A1A1A"/>
          <w:sz w:val="22"/>
          <w:szCs w:val="22"/>
        </w:rPr>
        <w:t xml:space="preserve">Multi-round (typically 2–3) structured interviews with scorecards tied to JD competencies; panel decision rollup before advancing to the next round.</w:t>
      </w:r>
    </w:p>
    <w:p>
      <w:pPr>
        <w:pStyle w:val="ListParagraph"/>
        <w:numPr>
          <w:ilvl w:val="0"/>
          <w:numId w:val="2"/>
        </w:numPr>
        <w:spacing w:after="80" w:line="280"/>
      </w:pPr>
      <w:r>
        <w:rPr>
          <w:rFonts w:ascii="Calibri" w:cs="Calibri" w:eastAsia="Calibri" w:hAnsi="Calibri"/>
          <w:color w:val="1A1A1A"/>
          <w:sz w:val="22"/>
          <w:szCs w:val="22"/>
        </w:rPr>
        <w:t xml:space="preserve">Candidate portal status updates in step with internal round outcomes.</w:t>
      </w:r>
    </w:p>
    <w:p>
      <w:pPr>
        <w:pStyle w:val="Heading3"/>
        <w:spacing w:after="80" w:before="160"/>
      </w:pPr>
      <w:r>
        <w:rPr>
          <w:rFonts w:ascii="Calibri" w:cs="Calibri" w:eastAsia="Calibri" w:hAnsi="Calibri"/>
          <w:b/>
          <w:bCs/>
          <w:color w:val="000000"/>
          <w:sz w:val="22"/>
          <w:szCs w:val="22"/>
        </w:rPr>
        <w:t xml:space="preserve">Module 6 — Selection &amp; Background Verification</w:t>
      </w:r>
    </w:p>
    <w:p>
      <w:pPr>
        <w:pStyle w:val="ListParagraph"/>
        <w:numPr>
          <w:ilvl w:val="0"/>
          <w:numId w:val="2"/>
        </w:numPr>
        <w:spacing w:after="80" w:line="280"/>
      </w:pPr>
      <w:r>
        <w:rPr>
          <w:rFonts w:ascii="Calibri" w:cs="Calibri" w:eastAsia="Calibri" w:hAnsi="Calibri"/>
          <w:color w:val="1A1A1A"/>
          <w:sz w:val="22"/>
          <w:szCs w:val="22"/>
        </w:rPr>
        <w:t xml:space="preserve">Triggered at SELECTED status. Consent capture is a hard gate before any check begins.</w:t>
      </w:r>
    </w:p>
    <w:p>
      <w:pPr>
        <w:pStyle w:val="ListParagraph"/>
        <w:numPr>
          <w:ilvl w:val="0"/>
          <w:numId w:val="2"/>
        </w:numPr>
        <w:spacing w:after="80" w:line="280"/>
      </w:pPr>
      <w:r>
        <w:rPr>
          <w:rFonts w:ascii="Calibri" w:cs="Calibri" w:eastAsia="Calibri" w:hAnsi="Calibri"/>
          <w:color w:val="1A1A1A"/>
          <w:sz w:val="22"/>
          <w:szCs w:val="22"/>
        </w:rPr>
        <w:t xml:space="preserve">Identity, address, education, and employment checks via a licensed BGV vendor integration.</w:t>
      </w:r>
    </w:p>
    <w:p>
      <w:pPr>
        <w:pStyle w:val="ListParagraph"/>
        <w:numPr>
          <w:ilvl w:val="0"/>
          <w:numId w:val="2"/>
        </w:numPr>
        <w:spacing w:after="80" w:line="280"/>
      </w:pPr>
      <w:r>
        <w:rPr>
          <w:rFonts w:ascii="Calibri" w:cs="Calibri" w:eastAsia="Calibri" w:hAnsi="Calibri"/>
          <w:color w:val="1A1A1A"/>
          <w:sz w:val="22"/>
          <w:szCs w:val="22"/>
        </w:rPr>
        <w:t xml:space="preserve">Income verification via India's Account Aggregator framework or a consented provider (e.g. Perfios, HyperVerge) — candidate-authorized data pull, not inbox scanning — replacing the covert email/social-media scanning approach considered earlier, which was flagged as a DPDP Act and reputational risk and is not part of this build.</w:t>
      </w:r>
    </w:p>
    <w:p>
      <w:pPr>
        <w:pStyle w:val="Heading3"/>
        <w:spacing w:after="80" w:before="160"/>
      </w:pPr>
      <w:r>
        <w:rPr>
          <w:rFonts w:ascii="Calibri" w:cs="Calibri" w:eastAsia="Calibri" w:hAnsi="Calibri"/>
          <w:b/>
          <w:bCs/>
          <w:color w:val="000000"/>
          <w:sz w:val="22"/>
          <w:szCs w:val="22"/>
        </w:rPr>
        <w:t xml:space="preserve">Module 7 — Offer Management, KRA/KPI &amp; E-Sign</w:t>
      </w:r>
    </w:p>
    <w:p>
      <w:pPr>
        <w:pStyle w:val="ListParagraph"/>
        <w:numPr>
          <w:ilvl w:val="0"/>
          <w:numId w:val="2"/>
        </w:numPr>
        <w:spacing w:after="80" w:line="280"/>
      </w:pPr>
      <w:r>
        <w:rPr>
          <w:rFonts w:ascii="Calibri" w:cs="Calibri" w:eastAsia="Calibri" w:hAnsi="Calibri"/>
          <w:color w:val="1A1A1A"/>
          <w:sz w:val="22"/>
          <w:szCs w:val="22"/>
        </w:rPr>
        <w:t xml:space="preserve">Offer letter and compensation breakup auto-populated from candidate, role, and approved comp data; role-based KRA/KPI template attached automatically.</w:t>
      </w:r>
    </w:p>
    <w:p>
      <w:pPr>
        <w:pStyle w:val="ListParagraph"/>
        <w:numPr>
          <w:ilvl w:val="0"/>
          <w:numId w:val="2"/>
        </w:numPr>
        <w:spacing w:after="80" w:line="280"/>
      </w:pPr>
      <w:r>
        <w:rPr>
          <w:rFonts w:ascii="Calibri" w:cs="Calibri" w:eastAsia="Calibri" w:hAnsi="Calibri"/>
          <w:color w:val="1A1A1A"/>
          <w:sz w:val="22"/>
          <w:szCs w:val="22"/>
        </w:rPr>
        <w:t xml:space="preserve">E-signature integration with tracked status; accepted offer auto-closes the requisition and copies the comp structure into the Payroll module.</w:t>
      </w:r>
    </w:p>
    <w:p>
      <w:pPr>
        <w:pStyle w:val="Heading3"/>
        <w:spacing w:after="80" w:before="160"/>
      </w:pPr>
      <w:r>
        <w:rPr>
          <w:rFonts w:ascii="Calibri" w:cs="Calibri" w:eastAsia="Calibri" w:hAnsi="Calibri"/>
          <w:b/>
          <w:bCs/>
          <w:color w:val="000000"/>
          <w:sz w:val="22"/>
          <w:szCs w:val="22"/>
        </w:rPr>
        <w:t xml:space="preserve">Module 8 — Onboarding</w:t>
      </w:r>
    </w:p>
    <w:p>
      <w:pPr>
        <w:pStyle w:val="ListParagraph"/>
        <w:numPr>
          <w:ilvl w:val="0"/>
          <w:numId w:val="2"/>
        </w:numPr>
        <w:spacing w:after="80" w:line="280"/>
      </w:pPr>
      <w:r>
        <w:rPr>
          <w:rFonts w:ascii="Calibri" w:cs="Calibri" w:eastAsia="Calibri" w:hAnsi="Calibri"/>
          <w:color w:val="1A1A1A"/>
          <w:sz w:val="22"/>
          <w:szCs w:val="22"/>
        </w:rPr>
        <w:t xml:space="preserve">Cross-team checklist (IT provisioning, ID card, facilities, HR paperwork) auto-assigned on offer signature, with a day-one readiness dashboard.</w:t>
      </w:r>
    </w:p>
    <w:p>
      <w:pPr>
        <w:pStyle w:val="ListParagraph"/>
        <w:numPr>
          <w:ilvl w:val="0"/>
          <w:numId w:val="2"/>
        </w:numPr>
        <w:spacing w:after="80" w:line="280"/>
      </w:pPr>
      <w:r>
        <w:rPr>
          <w:rFonts w:ascii="Calibri" w:cs="Calibri" w:eastAsia="Calibri" w:hAnsi="Calibri"/>
          <w:color w:val="1A1A1A"/>
          <w:sz w:val="22"/>
          <w:szCs w:val="22"/>
        </w:rPr>
        <w:t xml:space="preserve">Onboarding completion converts the candidate record into an employee record — the seam into Modules 9 and 10.</w:t>
      </w:r>
    </w:p>
    <w:p>
      <w:pPr>
        <w:pStyle w:val="Heading3"/>
        <w:spacing w:after="80" w:before="160"/>
      </w:pPr>
      <w:r>
        <w:rPr>
          <w:rFonts w:ascii="Calibri" w:cs="Calibri" w:eastAsia="Calibri" w:hAnsi="Calibri"/>
          <w:b/>
          <w:bCs/>
          <w:color w:val="000000"/>
          <w:sz w:val="22"/>
          <w:szCs w:val="22"/>
        </w:rPr>
        <w:t xml:space="preserve">Module 9 — Payroll &amp; Compensation</w:t>
      </w:r>
    </w:p>
    <w:p>
      <w:pPr>
        <w:pStyle w:val="ListParagraph"/>
        <w:numPr>
          <w:ilvl w:val="0"/>
          <w:numId w:val="2"/>
        </w:numPr>
        <w:spacing w:after="80" w:line="280"/>
      </w:pPr>
      <w:r>
        <w:rPr>
          <w:rFonts w:ascii="Calibri" w:cs="Calibri" w:eastAsia="Calibri" w:hAnsi="Calibri"/>
          <w:color w:val="1A1A1A"/>
          <w:sz w:val="22"/>
          <w:szCs w:val="22"/>
        </w:rPr>
        <w:t xml:space="preserve">Monthly salary slip generation, full-and-final settlement, loan/advance tracking, and employee expense reimbursement, with India statutory compliance (PF, ESI, professional tax, TDS).</w:t>
      </w:r>
    </w:p>
    <w:p>
      <w:pPr>
        <w:pStyle w:val="Heading3"/>
        <w:spacing w:after="80" w:before="160"/>
      </w:pPr>
      <w:r>
        <w:rPr>
          <w:rFonts w:ascii="Calibri" w:cs="Calibri" w:eastAsia="Calibri" w:hAnsi="Calibri"/>
          <w:b/>
          <w:bCs/>
          <w:color w:val="000000"/>
          <w:sz w:val="22"/>
          <w:szCs w:val="22"/>
        </w:rPr>
        <w:t xml:space="preserve">Module 10 — Appraisal</w:t>
      </w:r>
    </w:p>
    <w:p>
      <w:pPr>
        <w:pStyle w:val="ListParagraph"/>
        <w:numPr>
          <w:ilvl w:val="0"/>
          <w:numId w:val="2"/>
        </w:numPr>
        <w:spacing w:after="80" w:line="280"/>
      </w:pPr>
      <w:r>
        <w:rPr>
          <w:rFonts w:ascii="Calibri" w:cs="Calibri" w:eastAsia="Calibri" w:hAnsi="Calibri"/>
          <w:color w:val="1A1A1A"/>
          <w:sz w:val="22"/>
          <w:szCs w:val="22"/>
        </w:rPr>
        <w:t xml:space="preserve">Continuous tracking against the KRA/KPIs set at offer stage, feeding an annual appraisal cycle rather than a once-a-year reconstruction exercise.</w:t>
      </w:r>
    </w:p>
    <w:p>
      <w:pPr>
        <w:pStyle w:val="Heading2"/>
        <w:spacing w:after="100" w:before="220"/>
      </w:pPr>
      <w:bookmarkStart w:name="bm_17_4_4_technology_description" w:id="1017"/>
      <w:r>
        <w:rPr>
          <w:rFonts w:ascii="Calibri" w:cs="Calibri" w:eastAsia="Calibri" w:hAnsi="Calibri"/>
          <w:b/>
          <w:bCs/>
          <w:color w:val="404040"/>
          <w:sz w:val="24"/>
          <w:szCs w:val="24"/>
        </w:rPr>
        <w:t xml:space="preserve">4.4 Technology Description</w:t>
      </w:r>
      <w:bookmarkEnd w:id="1017"/>
    </w:p>
    <w:p>
      <w:pPr>
        <w:spacing w:after="160" w:line="300"/>
        <w:jc w:val="both"/>
      </w:pPr>
      <w:r>
        <w:rPr>
          <w:rFonts w:ascii="Calibri" w:cs="Calibri" w:eastAsia="Calibri" w:hAnsi="Calibri"/>
          <w:color w:val="1A1A1A"/>
          <w:sz w:val="22"/>
          <w:szCs w:val="22"/>
        </w:rPr>
        <w:t xml:space="preserve">All modules share the tenant-aware data-access layer and candidate/employee data model described in Section 3.2. Third-party capability (job boards, e-signature, background verification, calendar/video conferencing) is integrated through a common internal adapter layer, so a vendor swap in any category does not touch core pipeline logic.</w:t>
      </w:r>
    </w:p>
    <w:p>
      <w:pPr>
        <w:spacing w:after="200"/>
      </w:pPr>
    </w:p>
    <w:p>
      <w:pPr>
        <w:pStyle w:val="Heading1"/>
        <w:spacing w:after="140" w:before="320"/>
      </w:pPr>
      <w:bookmarkStart w:name="bm_18_5_infrastructure_deployment" w:id="1018"/>
      <w:r>
        <w:rPr>
          <w:rFonts w:ascii="Calibri" w:cs="Calibri" w:eastAsia="Calibri" w:hAnsi="Calibri"/>
          <w:b/>
          <w:bCs/>
          <w:color w:val="D34817"/>
          <w:sz w:val="30"/>
          <w:szCs w:val="30"/>
        </w:rPr>
        <w:t xml:space="preserve">5. Infrastructure &amp; Deployment</w:t>
      </w:r>
      <w:bookmarkEnd w:id="1018"/>
    </w:p>
    <w:p>
      <w:pPr>
        <w:pStyle w:val="Heading2"/>
        <w:spacing w:after="100" w:before="220"/>
      </w:pPr>
      <w:bookmarkStart w:name="bm_19_5_1_sizing_multi_tenancy_model" w:id="1019"/>
      <w:r>
        <w:rPr>
          <w:rFonts w:ascii="Calibri" w:cs="Calibri" w:eastAsia="Calibri" w:hAnsi="Calibri"/>
          <w:b/>
          <w:bCs/>
          <w:color w:val="404040"/>
          <w:sz w:val="24"/>
          <w:szCs w:val="24"/>
        </w:rPr>
        <w:t xml:space="preserve">5.1 Sizing &amp; Multi-Tenancy Model</w:t>
      </w:r>
      <w:bookmarkEnd w:id="1019"/>
    </w:p>
    <w:p>
      <w:pPr>
        <w:spacing w:after="160" w:line="300"/>
        <w:jc w:val="both"/>
      </w:pPr>
      <w:r>
        <w:rPr>
          <w:rFonts w:ascii="Calibri" w:cs="Calibri" w:eastAsia="Calibri" w:hAnsi="Calibri"/>
          <w:color w:val="1A1A1A"/>
          <w:sz w:val="22"/>
          <w:szCs w:val="22"/>
        </w:rPr>
        <w:t xml:space="preserve">Shared database, shared schema is recommended for launch — the lowest-cost, fastest-to-ship option, appropriate while tenant counts are in the low hundreds and average revenue per tenant is modest. A specific enterprise tenant that contractually requires physical data isolation can later be migrated to a dedicated schema or database without an application rewrite, provided the data-access layer is tenant-aware from day one.</w:t>
      </w:r>
    </w:p>
    <w:p>
      <w:pPr>
        <w:pStyle w:val="Heading2"/>
        <w:spacing w:after="100" w:before="220"/>
      </w:pPr>
      <w:bookmarkStart w:name="bm_20_5_2_deployment_topology" w:id="1020"/>
      <w:r>
        <w:rPr>
          <w:rFonts w:ascii="Calibri" w:cs="Calibri" w:eastAsia="Calibri" w:hAnsi="Calibri"/>
          <w:b/>
          <w:bCs/>
          <w:color w:val="404040"/>
          <w:sz w:val="24"/>
          <w:szCs w:val="24"/>
        </w:rPr>
        <w:t xml:space="preserve">5.2 Deployment Topology</w:t>
      </w:r>
      <w:bookmarkEnd w:id="1020"/>
    </w:p>
    <w:p>
      <w:pPr>
        <w:spacing w:after="160" w:line="300"/>
        <w:jc w:val="both"/>
      </w:pPr>
      <w:r>
        <w:rPr>
          <w:rFonts w:ascii="Calibri" w:cs="Calibri" w:eastAsia="Calibri" w:hAnsi="Calibri"/>
          <w:color w:val="1A1A1A"/>
          <w:sz w:val="22"/>
          <w:szCs w:val="22"/>
        </w:rPr>
        <w:t xml:space="preserve">Containerized services (Docker) on a PaaS for the earliest MVP to minimize operational overhead, graduating to a managed Kubernetes service once tenant volume and scale justify the added operational cost. Structured logging and an APM tool are treated as first-class requirements from the start, given the audit-log obligations in Section 8.</w:t>
      </w:r>
    </w:p>
    <w:p>
      <w:pPr>
        <w:spacing w:after="200"/>
      </w:pPr>
    </w:p>
    <w:p>
      <w:pPr>
        <w:pStyle w:val="Heading1"/>
        <w:spacing w:after="140" w:before="320"/>
      </w:pPr>
      <w:bookmarkStart w:name="bm_21_6_project_management" w:id="1021"/>
      <w:r>
        <w:rPr>
          <w:rFonts w:ascii="Calibri" w:cs="Calibri" w:eastAsia="Calibri" w:hAnsi="Calibri"/>
          <w:b/>
          <w:bCs/>
          <w:color w:val="D34817"/>
          <w:sz w:val="30"/>
          <w:szCs w:val="30"/>
        </w:rPr>
        <w:t xml:space="preserve">6. Project Management</w:t>
      </w:r>
      <w:bookmarkEnd w:id="1021"/>
    </w:p>
    <w:p>
      <w:pPr>
        <w:pStyle w:val="Heading2"/>
        <w:spacing w:after="100" w:before="220"/>
      </w:pPr>
      <w:bookmarkStart w:name="bm_22_6_1_key_project_activities" w:id="1022"/>
      <w:r>
        <w:rPr>
          <w:rFonts w:ascii="Calibri" w:cs="Calibri" w:eastAsia="Calibri" w:hAnsi="Calibri"/>
          <w:b/>
          <w:bCs/>
          <w:color w:val="404040"/>
          <w:sz w:val="24"/>
          <w:szCs w:val="24"/>
        </w:rPr>
        <w:t xml:space="preserve">6.1 Key Project Activities</w:t>
      </w:r>
      <w:bookmarkEnd w:id="1022"/>
    </w:p>
    <w:p>
      <w:pPr>
        <w:pStyle w:val="ListParagraph"/>
        <w:numPr>
          <w:ilvl w:val="0"/>
          <w:numId w:val="2"/>
        </w:numPr>
        <w:spacing w:after="80" w:line="280"/>
      </w:pPr>
      <w:r>
        <w:rPr>
          <w:rFonts w:ascii="Calibri" w:cs="Calibri" w:eastAsia="Calibri" w:hAnsi="Calibri"/>
          <w:color w:val="1A1A1A"/>
          <w:sz w:val="22"/>
          <w:szCs w:val="22"/>
        </w:rPr>
        <w:t xml:space="preserve">Requirements lock — module by module, in the sequence shown in Section 3.1, starting with Modules 1–2 (complete).</w:t>
      </w:r>
    </w:p>
    <w:p>
      <w:pPr>
        <w:pStyle w:val="ListParagraph"/>
        <w:numPr>
          <w:ilvl w:val="0"/>
          <w:numId w:val="2"/>
        </w:numPr>
        <w:spacing w:after="80" w:line="280"/>
      </w:pPr>
      <w:r>
        <w:rPr>
          <w:rFonts w:ascii="Calibri" w:cs="Calibri" w:eastAsia="Calibri" w:hAnsi="Calibri"/>
          <w:color w:val="1A1A1A"/>
          <w:sz w:val="22"/>
          <w:szCs w:val="22"/>
        </w:rPr>
        <w:t xml:space="preserve">UX wireframes for the highest-frequency screens: pipeline board, candidate profile, onboarding checklist.</w:t>
      </w:r>
    </w:p>
    <w:p>
      <w:pPr>
        <w:pStyle w:val="ListParagraph"/>
        <w:numPr>
          <w:ilvl w:val="0"/>
          <w:numId w:val="2"/>
        </w:numPr>
        <w:spacing w:after="80" w:line="280"/>
      </w:pPr>
      <w:r>
        <w:rPr>
          <w:rFonts w:ascii="Calibri" w:cs="Calibri" w:eastAsia="Calibri" w:hAnsi="Calibri"/>
          <w:color w:val="1A1A1A"/>
          <w:sz w:val="22"/>
          <w:szCs w:val="22"/>
        </w:rPr>
        <w:t xml:space="preserve">Technical design for the tenant/auth foundation, since every module depends on it.</w:t>
      </w:r>
    </w:p>
    <w:p>
      <w:pPr>
        <w:pStyle w:val="ListParagraph"/>
        <w:numPr>
          <w:ilvl w:val="0"/>
          <w:numId w:val="2"/>
        </w:numPr>
        <w:spacing w:after="80" w:line="280"/>
      </w:pPr>
      <w:r>
        <w:rPr>
          <w:rFonts w:ascii="Calibri" w:cs="Calibri" w:eastAsia="Calibri" w:hAnsi="Calibri"/>
          <w:color w:val="1A1A1A"/>
          <w:sz w:val="22"/>
          <w:szCs w:val="22"/>
        </w:rPr>
        <w:t xml:space="preserve">Vendor shortlisting for e-signature and background verification integrations.</w:t>
      </w:r>
    </w:p>
    <w:p>
      <w:pPr>
        <w:pStyle w:val="Heading2"/>
        <w:spacing w:after="100" w:before="220"/>
      </w:pPr>
      <w:bookmarkStart w:name="bm_23_6_2_methodology" w:id="1023"/>
      <w:r>
        <w:rPr>
          <w:rFonts w:ascii="Calibri" w:cs="Calibri" w:eastAsia="Calibri" w:hAnsi="Calibri"/>
          <w:b/>
          <w:bCs/>
          <w:color w:val="404040"/>
          <w:sz w:val="24"/>
          <w:szCs w:val="24"/>
        </w:rPr>
        <w:t xml:space="preserve">6.2 Methodology</w:t>
      </w:r>
      <w:bookmarkEnd w:id="1023"/>
    </w:p>
    <w:p>
      <w:pPr>
        <w:spacing w:after="160" w:line="300"/>
        <w:jc w:val="both"/>
      </w:pPr>
      <w:r>
        <w:rPr>
          <w:rFonts w:ascii="Calibri" w:cs="Calibri" w:eastAsia="Calibri" w:hAnsi="Calibri"/>
          <w:color w:val="1A1A1A"/>
          <w:sz w:val="22"/>
          <w:szCs w:val="22"/>
        </w:rPr>
        <w:t xml:space="preserve">Agile delivery in two-week sprints, module by module, with each module's requirement lock (as demonstrated for Modules 1–2 in Section 4) treated as its sprint-planning input rather than a single big upfront specification.</w:t>
      </w:r>
    </w:p>
    <w:p>
      <w:pPr>
        <w:pStyle w:val="Heading2"/>
        <w:spacing w:after="100" w:before="220"/>
      </w:pPr>
      <w:bookmarkStart w:name="bm_24_6_3_project_plan_illustrative_" w:id="1024"/>
      <w:r>
        <w:rPr>
          <w:rFonts w:ascii="Calibri" w:cs="Calibri" w:eastAsia="Calibri" w:hAnsi="Calibri"/>
          <w:b/>
          <w:bCs/>
          <w:color w:val="404040"/>
          <w:sz w:val="24"/>
          <w:szCs w:val="24"/>
        </w:rPr>
        <w:t xml:space="preserve">6.3 Project Plan — Illustrative First Sprints</w:t>
      </w:r>
      <w:bookmarkEnd w:id="1024"/>
    </w:p>
    <w:p>
      <w:pPr>
        <w:pStyle w:val="ListParagraph"/>
        <w:numPr>
          <w:ilvl w:val="0"/>
          <w:numId w:val="2"/>
        </w:numPr>
        <w:spacing w:after="80" w:line="280"/>
      </w:pPr>
      <w:r>
        <w:rPr>
          <w:rFonts w:ascii="Calibri" w:cs="Calibri" w:eastAsia="Calibri" w:hAnsi="Calibri"/>
          <w:color w:val="1A1A1A"/>
          <w:sz w:val="22"/>
          <w:szCs w:val="22"/>
        </w:rPr>
        <w:t xml:space="preserve">Sprint 0: environment setup, tenant/auth foundation, CI/CD pipeline, base data model.</w:t>
      </w:r>
    </w:p>
    <w:p>
      <w:pPr>
        <w:pStyle w:val="ListParagraph"/>
        <w:numPr>
          <w:ilvl w:val="0"/>
          <w:numId w:val="2"/>
        </w:numPr>
        <w:spacing w:after="80" w:line="280"/>
      </w:pPr>
      <w:r>
        <w:rPr>
          <w:rFonts w:ascii="Calibri" w:cs="Calibri" w:eastAsia="Calibri" w:hAnsi="Calibri"/>
          <w:color w:val="1A1A1A"/>
          <w:sz w:val="22"/>
          <w:szCs w:val="22"/>
        </w:rPr>
        <w:t xml:space="preserve">Sprints 1–2: Module 1 (JD Intake &amp; Freezing) and Module 2 (Sourcing &amp; Resume Aggregation) — both already locked and ready to build.</w:t>
      </w:r>
    </w:p>
    <w:p>
      <w:pPr>
        <w:pStyle w:val="ListParagraph"/>
        <w:numPr>
          <w:ilvl w:val="0"/>
          <w:numId w:val="2"/>
        </w:numPr>
        <w:spacing w:after="80" w:line="280"/>
      </w:pPr>
      <w:r>
        <w:rPr>
          <w:rFonts w:ascii="Calibri" w:cs="Calibri" w:eastAsia="Calibri" w:hAnsi="Calibri"/>
          <w:color w:val="1A1A1A"/>
          <w:sz w:val="22"/>
          <w:szCs w:val="22"/>
        </w:rPr>
        <w:t xml:space="preserve">Sprints 3–4: Module 3 (Screening &amp; Shortlisting) and Module 5 (Interview Management), validated against a design-partner tenant.</w:t>
      </w:r>
    </w:p>
    <w:p>
      <w:pPr>
        <w:pStyle w:val="Heading2"/>
        <w:spacing w:after="100" w:before="220"/>
      </w:pPr>
      <w:bookmarkStart w:name="bm_25_6_4_testing_methodology" w:id="1025"/>
      <w:r>
        <w:rPr>
          <w:rFonts w:ascii="Calibri" w:cs="Calibri" w:eastAsia="Calibri" w:hAnsi="Calibri"/>
          <w:b/>
          <w:bCs/>
          <w:color w:val="404040"/>
          <w:sz w:val="24"/>
          <w:szCs w:val="24"/>
        </w:rPr>
        <w:t xml:space="preserve">6.4 Testing Methodology</w:t>
      </w:r>
      <w:bookmarkEnd w:id="1025"/>
    </w:p>
    <w:p>
      <w:pPr>
        <w:pStyle w:val="ListParagraph"/>
        <w:numPr>
          <w:ilvl w:val="0"/>
          <w:numId w:val="2"/>
        </w:numPr>
        <w:spacing w:after="80" w:line="280"/>
      </w:pPr>
      <w:r>
        <w:rPr>
          <w:rFonts w:ascii="Calibri" w:cs="Calibri" w:eastAsia="Calibri" w:hAnsi="Calibri"/>
          <w:color w:val="1A1A1A"/>
          <w:sz w:val="22"/>
          <w:szCs w:val="22"/>
        </w:rPr>
        <w:t xml:space="preserve">Functional QA per module against its locked feature list and locked decisions.</w:t>
      </w:r>
    </w:p>
    <w:p>
      <w:pPr>
        <w:pStyle w:val="ListParagraph"/>
        <w:numPr>
          <w:ilvl w:val="0"/>
          <w:numId w:val="2"/>
        </w:numPr>
        <w:spacing w:after="80" w:line="280"/>
      </w:pPr>
      <w:r>
        <w:rPr>
          <w:rFonts w:ascii="Calibri" w:cs="Calibri" w:eastAsia="Calibri" w:hAnsi="Calibri"/>
          <w:color w:val="1A1A1A"/>
          <w:sz w:val="22"/>
          <w:szCs w:val="22"/>
        </w:rPr>
        <w:t xml:space="preserve">A standing cross-tenant-isolation test suite — not a one-time check — given the multi-tenant architecture.</w:t>
      </w:r>
    </w:p>
    <w:p>
      <w:pPr>
        <w:pStyle w:val="ListParagraph"/>
        <w:numPr>
          <w:ilvl w:val="0"/>
          <w:numId w:val="2"/>
        </w:numPr>
        <w:spacing w:after="80" w:line="280"/>
      </w:pPr>
      <w:r>
        <w:rPr>
          <w:rFonts w:ascii="Calibri" w:cs="Calibri" w:eastAsia="Calibri" w:hAnsi="Calibri"/>
          <w:color w:val="1A1A1A"/>
          <w:sz w:val="22"/>
          <w:szCs w:val="22"/>
        </w:rPr>
        <w:t xml:space="preserve">A DPDP Act compliance checklist reviewed at each module lock, not deferred to a pre-launch audit.</w:t>
      </w:r>
    </w:p>
    <w:p>
      <w:pPr>
        <w:pStyle w:val="Heading2"/>
        <w:spacing w:after="100" w:before="220"/>
      </w:pPr>
      <w:bookmarkStart w:name="bm_26_6_5_reporting" w:id="1026"/>
      <w:r>
        <w:rPr>
          <w:rFonts w:ascii="Calibri" w:cs="Calibri" w:eastAsia="Calibri" w:hAnsi="Calibri"/>
          <w:b/>
          <w:bCs/>
          <w:color w:val="404040"/>
          <w:sz w:val="24"/>
          <w:szCs w:val="24"/>
        </w:rPr>
        <w:t xml:space="preserve">6.5 Reporting</w:t>
      </w:r>
      <w:bookmarkEnd w:id="1026"/>
    </w:p>
    <w:p>
      <w:pPr>
        <w:spacing w:after="160" w:line="300"/>
        <w:jc w:val="both"/>
      </w:pPr>
      <w:r>
        <w:rPr>
          <w:rFonts w:ascii="Calibri" w:cs="Calibri" w:eastAsia="Calibri" w:hAnsi="Calibri"/>
          <w:color w:val="1A1A1A"/>
          <w:sz w:val="22"/>
          <w:szCs w:val="22"/>
        </w:rPr>
        <w:t xml:space="preserve">Sprint-level progress reporting against the module list in Section 3.1, with each module's status tracked as Draft, Locked, In Development, or Shipped.</w:t>
      </w:r>
    </w:p>
    <w:p>
      <w:pPr>
        <w:spacing w:after="200"/>
      </w:pPr>
    </w:p>
    <w:p>
      <w:pPr>
        <w:pStyle w:val="Heading1"/>
        <w:spacing w:after="140" w:before="320"/>
      </w:pPr>
      <w:bookmarkStart w:name="bm_27_7_post_launch_ongoing_services" w:id="1027"/>
      <w:r>
        <w:rPr>
          <w:rFonts w:ascii="Calibri" w:cs="Calibri" w:eastAsia="Calibri" w:hAnsi="Calibri"/>
          <w:b/>
          <w:bCs/>
          <w:color w:val="D34817"/>
          <w:sz w:val="30"/>
          <w:szCs w:val="30"/>
        </w:rPr>
        <w:t xml:space="preserve">7. Post-Launch / Ongoing Services</w:t>
      </w:r>
      <w:bookmarkEnd w:id="1027"/>
    </w:p>
    <w:p>
      <w:pPr>
        <w:spacing w:after="160" w:line="300"/>
        <w:jc w:val="both"/>
      </w:pPr>
      <w:r>
        <w:rPr>
          <w:rFonts w:ascii="Calibri" w:cs="Calibri" w:eastAsia="Calibri" w:hAnsi="Calibri"/>
          <w:color w:val="1A1A1A"/>
          <w:sz w:val="22"/>
          <w:szCs w:val="22"/>
        </w:rPr>
        <w:t xml:space="preserve">Following pilot launch with design-partner tenants, the Should-have and Could-have backlog items noted throughout Section 4 are prioritized against real usage data. Ongoing services include ongoing DPDP Act compliance review as regulations evolve, ongoing vendor-integration maintenance (job boards, e-signature, BGV), and continued module-by-module expansion into Payroll and Appraisal (Modules 9–10).</w:t>
      </w:r>
    </w:p>
    <w:p>
      <w:pPr>
        <w:spacing w:after="200"/>
      </w:pPr>
    </w:p>
    <w:p>
      <w:pPr>
        <w:pStyle w:val="Heading1"/>
        <w:spacing w:after="140" w:before="320"/>
      </w:pPr>
      <w:bookmarkStart w:name="bm_28_8_acceptance_criteria" w:id="1028"/>
      <w:r>
        <w:rPr>
          <w:rFonts w:ascii="Calibri" w:cs="Calibri" w:eastAsia="Calibri" w:hAnsi="Calibri"/>
          <w:b/>
          <w:bCs/>
          <w:color w:val="D34817"/>
          <w:sz w:val="30"/>
          <w:szCs w:val="30"/>
        </w:rPr>
        <w:t xml:space="preserve">8. Acceptance Criteria</w:t>
      </w:r>
      <w:bookmarkEnd w:id="1028"/>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Criterion</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Threshold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Availability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99.5% uptime target at MVP, moving to 99.9% as tenant volume grows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Performance</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Core pages (pipeline board, candidate search) render in under 2 seconds at up to 10,000 candidates per tenant</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Data isolation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No cross-tenant data access under automated isolation testing</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Security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Role-based access control, encryption at rest and in transit, full audit log of candidate-PII access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Compliance</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DPDP Act 2023 alignment verified at each module lock — consent gates, retention policy, data-principal rights workflow</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Module acceptance</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module is accepted only once its Feature List (as in Section 4.1/4.2) and Locked Decisions are demonstrably implemented and tested</w:t>
            </w:r>
          </w:p>
        </w:tc>
      </w:tr>
    </w:tbl>
    <w:p>
      <w:pPr>
        <w:spacing w:after="200"/>
      </w:pPr>
    </w:p>
    <w:p>
      <w:pPr>
        <w:pStyle w:val="Heading1"/>
        <w:spacing w:after="140" w:before="320"/>
      </w:pPr>
      <w:bookmarkStart w:name="bm_29_9_implementation_support" w:id="1029"/>
      <w:r>
        <w:rPr>
          <w:rFonts w:ascii="Calibri" w:cs="Calibri" w:eastAsia="Calibri" w:hAnsi="Calibri"/>
          <w:b/>
          <w:bCs/>
          <w:color w:val="D34817"/>
          <w:sz w:val="30"/>
          <w:szCs w:val="30"/>
        </w:rPr>
        <w:t xml:space="preserve">9. Implementation &amp; Support</w:t>
      </w:r>
      <w:bookmarkEnd w:id="1029"/>
    </w:p>
    <w:p>
      <w:pPr>
        <w:pStyle w:val="Heading2"/>
        <w:spacing w:after="100" w:before="220"/>
      </w:pPr>
      <w:bookmarkStart w:name="bm_30_9_1_roles_responsibilities" w:id="1030"/>
      <w:r>
        <w:rPr>
          <w:rFonts w:ascii="Calibri" w:cs="Calibri" w:eastAsia="Calibri" w:hAnsi="Calibri"/>
          <w:b/>
          <w:bCs/>
          <w:color w:val="404040"/>
          <w:sz w:val="24"/>
          <w:szCs w:val="24"/>
        </w:rPr>
        <w:t xml:space="preserve">9.1 Roles &amp; Responsibilities</w:t>
      </w:r>
      <w:bookmarkEnd w:id="1030"/>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Role</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Responsibility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Tenant Super Admin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Billing, users, roles, integrations, data-retention configuration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 Manager</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Requisition approval, pipeline oversight, reporting, onboarding template configuration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Sourcing, pipeline management, scheduling, offers for assigned requisitions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Hiring Manager</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 sign-off, candidate review and decisions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Interview Panelist</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Structured interview feedback for assigned rounds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Onboarding Coordinator</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Checklist and cross-team task management post-offer</w:t>
            </w:r>
          </w:p>
        </w:tc>
      </w:tr>
    </w:tbl>
    <w:p>
      <w:pPr>
        <w:pStyle w:val="Heading2"/>
        <w:spacing w:after="100" w:before="220"/>
      </w:pPr>
      <w:bookmarkStart w:name="bm_31_9_2_support_model" w:id="1031"/>
      <w:r>
        <w:rPr>
          <w:rFonts w:ascii="Calibri" w:cs="Calibri" w:eastAsia="Calibri" w:hAnsi="Calibri"/>
          <w:b/>
          <w:bCs/>
          <w:color w:val="404040"/>
          <w:sz w:val="24"/>
          <w:szCs w:val="24"/>
        </w:rPr>
        <w:t xml:space="preserve">9.2 Support Model</w:t>
      </w:r>
      <w:bookmarkEnd w:id="1031"/>
    </w:p>
    <w:p>
      <w:pPr>
        <w:spacing w:after="160" w:line="300"/>
        <w:jc w:val="both"/>
      </w:pPr>
      <w:r>
        <w:rPr>
          <w:rFonts w:ascii="Calibri" w:cs="Calibri" w:eastAsia="Calibri" w:hAnsi="Calibri"/>
          <w:color w:val="1A1A1A"/>
          <w:sz w:val="22"/>
          <w:szCs w:val="22"/>
        </w:rPr>
        <w:t xml:space="preserve">Standard support during pilot and general-availability phases covers integration issues (job boards, e-signature, BGV), data-retention and consent-workflow operation, and module-by-module feature rollout support as later modules lock and ship.</w:t>
      </w:r>
    </w:p>
    <w:p>
      <w:pPr>
        <w:spacing w:after="200"/>
      </w:pPr>
    </w:p>
    <w:p>
      <w:pPr>
        <w:pStyle w:val="Heading1"/>
        <w:spacing w:after="140" w:before="320"/>
      </w:pPr>
      <w:bookmarkStart w:name="bm_32_10_dependencies_from_stakehold" w:id="1032"/>
      <w:r>
        <w:rPr>
          <w:rFonts w:ascii="Calibri" w:cs="Calibri" w:eastAsia="Calibri" w:hAnsi="Calibri"/>
          <w:b/>
          <w:bCs/>
          <w:color w:val="D34817"/>
          <w:sz w:val="30"/>
          <w:szCs w:val="30"/>
        </w:rPr>
        <w:t xml:space="preserve">10. Dependencies from Stakeholder Side</w:t>
      </w:r>
      <w:bookmarkEnd w:id="1032"/>
    </w:p>
    <w:p>
      <w:pPr>
        <w:spacing w:after="160" w:line="300"/>
        <w:jc w:val="both"/>
      </w:pPr>
      <w:r>
        <w:rPr>
          <w:rFonts w:ascii="Calibri" w:cs="Calibri" w:eastAsia="Calibri" w:hAnsi="Calibri"/>
          <w:color w:val="1A1A1A"/>
          <w:sz w:val="22"/>
          <w:szCs w:val="22"/>
        </w:rPr>
        <w:t xml:space="preserve">The following decisions are needed from Phoneme leadership/stakeholders before remaining modules can be locked and the build timeline finalized:</w:t>
      </w:r>
    </w:p>
    <w:p>
      <w:pPr>
        <w:pStyle w:val="ListParagraph"/>
        <w:numPr>
          <w:ilvl w:val="0"/>
          <w:numId w:val="5"/>
        </w:numPr>
        <w:spacing w:after="80" w:line="280"/>
      </w:pPr>
      <w:r>
        <w:rPr>
          <w:rFonts w:ascii="Calibri" w:cs="Calibri" w:eastAsia="Calibri" w:hAnsi="Calibri"/>
          <w:color w:val="1A1A1A"/>
          <w:sz w:val="22"/>
          <w:szCs w:val="22"/>
        </w:rPr>
        <w:t xml:space="preserve">Target launch timeline and team size for the MVP build.</w:t>
      </w:r>
    </w:p>
    <w:p>
      <w:pPr>
        <w:pStyle w:val="ListParagraph"/>
        <w:numPr>
          <w:ilvl w:val="0"/>
          <w:numId w:val="5"/>
        </w:numPr>
        <w:spacing w:after="80" w:line="280"/>
      </w:pPr>
      <w:r>
        <w:rPr>
          <w:rFonts w:ascii="Calibri" w:cs="Calibri" w:eastAsia="Calibri" w:hAnsi="Calibri"/>
          <w:color w:val="1A1A1A"/>
          <w:sz w:val="22"/>
          <w:szCs w:val="22"/>
        </w:rPr>
        <w:t xml:space="preserve">Pricing/packaging model (per-seat, per-employee, or per-tenant flat fee).</w:t>
      </w:r>
    </w:p>
    <w:p>
      <w:pPr>
        <w:pStyle w:val="ListParagraph"/>
        <w:numPr>
          <w:ilvl w:val="0"/>
          <w:numId w:val="5"/>
        </w:numPr>
        <w:spacing w:after="80" w:line="280"/>
      </w:pPr>
      <w:r>
        <w:rPr>
          <w:rFonts w:ascii="Calibri" w:cs="Calibri" w:eastAsia="Calibri" w:hAnsi="Calibri"/>
          <w:color w:val="1A1A1A"/>
          <w:sz w:val="22"/>
          <w:szCs w:val="22"/>
        </w:rPr>
        <w:t xml:space="preserve">First 2–3 design-partner customers to validate the workflow before general availability.</w:t>
      </w:r>
    </w:p>
    <w:p>
      <w:pPr>
        <w:pStyle w:val="ListParagraph"/>
        <w:numPr>
          <w:ilvl w:val="0"/>
          <w:numId w:val="5"/>
        </w:numPr>
        <w:spacing w:after="80" w:line="280"/>
      </w:pPr>
      <w:r>
        <w:rPr>
          <w:rFonts w:ascii="Calibri" w:cs="Calibri" w:eastAsia="Calibri" w:hAnsi="Calibri"/>
          <w:color w:val="1A1A1A"/>
          <w:sz w:val="22"/>
          <w:szCs w:val="22"/>
        </w:rPr>
        <w:t xml:space="preserve">Priority of the staffing-agency multi-client use case for MVP versus a fast-follow release.</w:t>
      </w:r>
    </w:p>
    <w:p>
      <w:pPr>
        <w:pStyle w:val="ListParagraph"/>
        <w:numPr>
          <w:ilvl w:val="0"/>
          <w:numId w:val="5"/>
        </w:numPr>
        <w:spacing w:after="80" w:line="280"/>
      </w:pPr>
      <w:r>
        <w:rPr>
          <w:rFonts w:ascii="Calibri" w:cs="Calibri" w:eastAsia="Calibri" w:hAnsi="Calibri"/>
          <w:color w:val="1A1A1A"/>
          <w:sz w:val="22"/>
          <w:szCs w:val="22"/>
        </w:rPr>
        <w:t xml:space="preserve">Preferred e-signature and background-verification vendors — informs the Module 6 and Module 7 integration adapters.</w:t>
      </w:r>
    </w:p>
    <w:p>
      <w:pPr>
        <w:pStyle w:val="ListParagraph"/>
        <w:numPr>
          <w:ilvl w:val="0"/>
          <w:numId w:val="5"/>
        </w:numPr>
        <w:spacing w:after="80" w:line="280"/>
      </w:pPr>
      <w:r>
        <w:rPr>
          <w:rFonts w:ascii="Calibri" w:cs="Calibri" w:eastAsia="Calibri" w:hAnsi="Calibri"/>
          <w:color w:val="1A1A1A"/>
          <w:sz w:val="22"/>
          <w:szCs w:val="22"/>
        </w:rPr>
        <w:t xml:space="preserve">Confirmation of the Module 6 income-verification approach (Account Aggregator framework vs. a specific licensed vendor).</w:t>
      </w:r>
    </w:p>
    <w:p>
      <w:pPr>
        <w:pStyle w:val="ListParagraph"/>
        <w:numPr>
          <w:ilvl w:val="0"/>
          <w:numId w:val="5"/>
        </w:numPr>
        <w:spacing w:after="80" w:line="280"/>
      </w:pPr>
      <w:r>
        <w:rPr>
          <w:rFonts w:ascii="Calibri" w:cs="Calibri" w:eastAsia="Calibri" w:hAnsi="Calibri"/>
          <w:color w:val="1A1A1A"/>
          <w:sz w:val="22"/>
          <w:szCs w:val="22"/>
        </w:rPr>
        <w:t xml:space="preserve">Confirmation of the product/brand name before it appears in customer-facing UI (working name used throughout this document: Phoneme HR Suite).</w:t>
      </w:r>
    </w:p>
    <w:p>
      <w:pPr>
        <w:spacing w:after="200"/>
      </w:pPr>
    </w:p>
    <w:p>
      <w:pPr>
        <w:pStyle w:val="Heading1"/>
        <w:spacing w:after="140" w:before="320"/>
      </w:pPr>
      <w:bookmarkStart w:name="bm_33_11_key_risks" w:id="1033"/>
      <w:r>
        <w:rPr>
          <w:rFonts w:ascii="Calibri" w:cs="Calibri" w:eastAsia="Calibri" w:hAnsi="Calibri"/>
          <w:b/>
          <w:bCs/>
          <w:color w:val="D34817"/>
          <w:sz w:val="30"/>
          <w:szCs w:val="30"/>
        </w:rPr>
        <w:t xml:space="preserve">11. Key Risks</w:t>
      </w:r>
      <w:bookmarkEnd w:id="1033"/>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Risk</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Impact</w:t>
            </w:r>
          </w:p>
        </w:tc>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Mitigation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Scope creep across ten modules</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Delays first shippable release</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Module-by-module locking (as demonstrated in Section 4) and a firm MVP scope boundary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Third-party integration availability/cost (BGV, e-sign, job boards)</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Blocks specific module features if a vendor contract stalls</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Common adapter layer (Section 4.4) so a vendor swap is cheap; shortlist two vendors per category early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DPDP Act compliance gaps found late</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Legal/reputational risk with enterprise customers</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Compliance checklist reviewed at every module lock, not deferred to a pre-launch audit</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Multi-tenant data leakage</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Catastrophic trust failure for a B2B SaaS product</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Tenant-scoping enforced at the data-access layer plus a standing automated cross-tenant isolation test suite</w:t>
            </w:r>
          </w:p>
        </w:tc>
      </w:tr>
    </w:tbl>
    <w:p>
      <w:pPr>
        <w:spacing w:after="200"/>
      </w:pPr>
    </w:p>
    <w:p>
      <w:pPr>
        <w:pStyle w:val="Heading1"/>
        <w:spacing w:after="140" w:before="320"/>
      </w:pPr>
      <w:bookmarkStart w:name="bm_34_12_pricing_summary" w:id="1034"/>
      <w:r>
        <w:rPr>
          <w:rFonts w:ascii="Calibri" w:cs="Calibri" w:eastAsia="Calibri" w:hAnsi="Calibri"/>
          <w:b/>
          <w:bCs/>
          <w:color w:val="D34817"/>
          <w:sz w:val="30"/>
          <w:szCs w:val="30"/>
        </w:rPr>
        <w:t xml:space="preserve">12. Pricing Summary</w:t>
      </w:r>
      <w:bookmarkEnd w:id="1034"/>
    </w:p>
    <w:p>
      <w:pPr>
        <w:spacing w:after="160" w:line="300"/>
        <w:jc w:val="both"/>
      </w:pPr>
      <w:r>
        <w:rPr>
          <w:rFonts w:ascii="Calibri" w:cs="Calibri" w:eastAsia="Calibri" w:hAnsi="Calibri"/>
          <w:color w:val="1A1A1A"/>
          <w:sz w:val="22"/>
          <w:szCs w:val="22"/>
        </w:rPr>
        <w:t xml:space="preserve">Pricing is not yet finalized — it depends on the packaging model decision in Section 10 and the final vendor contracts for background verification and e-signature. The structure below is illustrative only.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400"/>
      </w:tblGrid>
      <w:tr>
        <w:trPr>
          <w:tblHeader/>
        </w:trPr>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Component</w:t>
            </w:r>
          </w:p>
        </w:tc>
        <w:tc>
          <w:tcPr>
            <w:tcW w:type="dxa" w:w="3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Basis</w:t>
            </w:r>
          </w:p>
        </w:tc>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Indicative range</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Platform subscription</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Per-tenant or per-seat (model TBD — see Section 10)</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To be confirmed</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Background verification (pass-through)</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Per candidate checked, billed at vendor rate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To be confirmed — vendor-dependent</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E-signature (pass-through)</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Per document signed, billed at vendor rate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To be confirmed — vendor-dependent</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Implementation &amp; onboarding</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One-time, per tenant</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To be confirmed</w:t>
            </w:r>
          </w:p>
        </w:tc>
      </w:tr>
    </w:tbl>
    <w:p>
      <w:pPr>
        <w:spacing w:after="120"/>
      </w:pPr>
    </w:p>
    <w:p>
      <w:pPr>
        <w:spacing w:after="160"/>
      </w:pPr>
      <w:r>
        <w:rPr>
          <w:rFonts w:ascii="Calibri" w:cs="Calibri" w:eastAsia="Calibri" w:hAnsi="Calibri"/>
          <w:i/>
          <w:iCs/>
          <w:color w:val="9B2D1F"/>
          <w:sz w:val="18"/>
          <w:szCs w:val="18"/>
        </w:rPr>
        <w:t xml:space="preserve">* All figures above are indicative and unconfirmed pending the pricing/packaging decision (Section 10) and final vendor contracts; no client rates have been supplied at the time of drafting.</w:t>
      </w:r>
    </w:p>
    <w:p>
      <w:pPr>
        <w:spacing w:after="200"/>
      </w:pPr>
    </w:p>
    <w:p>
      <w:pPr>
        <w:pStyle w:val="Heading1"/>
        <w:spacing w:after="140" w:before="320"/>
      </w:pPr>
      <w:bookmarkStart w:name="bm_35_13_terms_conditions" w:id="1035"/>
      <w:r>
        <w:rPr>
          <w:rFonts w:ascii="Calibri" w:cs="Calibri" w:eastAsia="Calibri" w:hAnsi="Calibri"/>
          <w:b/>
          <w:bCs/>
          <w:color w:val="D34817"/>
          <w:sz w:val="30"/>
          <w:szCs w:val="30"/>
        </w:rPr>
        <w:t xml:space="preserve">13. Terms &amp; Conditions</w:t>
      </w:r>
      <w:bookmarkEnd w:id="1035"/>
    </w:p>
    <w:p>
      <w:pPr>
        <w:pStyle w:val="ListParagraph"/>
        <w:numPr>
          <w:ilvl w:val="0"/>
          <w:numId w:val="2"/>
        </w:numPr>
        <w:spacing w:after="80" w:line="280"/>
      </w:pPr>
      <w:r>
        <w:rPr>
          <w:rFonts w:ascii="Calibri" w:cs="Calibri" w:eastAsia="Calibri" w:hAnsi="Calibri"/>
          <w:color w:val="1A1A1A"/>
          <w:sz w:val="22"/>
          <w:szCs w:val="22"/>
        </w:rPr>
        <w:t xml:space="preserve">All intellectual property developed under this proposal is owned by Phoneme Solutions Pvt Ltd unless otherwise agreed in writing.</w:t>
      </w:r>
    </w:p>
    <w:p>
      <w:pPr>
        <w:pStyle w:val="ListParagraph"/>
        <w:numPr>
          <w:ilvl w:val="0"/>
          <w:numId w:val="2"/>
        </w:numPr>
        <w:spacing w:after="80" w:line="280"/>
      </w:pPr>
      <w:r>
        <w:rPr>
          <w:rFonts w:ascii="Calibri" w:cs="Calibri" w:eastAsia="Calibri" w:hAnsi="Calibri"/>
          <w:color w:val="1A1A1A"/>
          <w:sz w:val="22"/>
          <w:szCs w:val="22"/>
        </w:rPr>
        <w:t xml:space="preserve">Any change to a locked module's scope or locked decisions (Section 4) follows a documented change-control process and is reflected in this document's Change Log.</w:t>
      </w:r>
    </w:p>
    <w:p>
      <w:pPr>
        <w:pStyle w:val="ListParagraph"/>
        <w:numPr>
          <w:ilvl w:val="0"/>
          <w:numId w:val="2"/>
        </w:numPr>
        <w:spacing w:after="80" w:line="280"/>
      </w:pPr>
      <w:r>
        <w:rPr>
          <w:rFonts w:ascii="Calibri" w:cs="Calibri" w:eastAsia="Calibri" w:hAnsi="Calibri"/>
          <w:color w:val="1A1A1A"/>
          <w:sz w:val="22"/>
          <w:szCs w:val="22"/>
        </w:rPr>
        <w:t xml:space="preserve">Data handling throughout the product is governed by the Digital Personal Data Protection Act, 2023, and this document's compliance requirements are treated as binding acceptance criteria, not optional guidance.</w:t>
      </w:r>
    </w:p>
    <w:p>
      <w:pPr>
        <w:pStyle w:val="ListParagraph"/>
        <w:numPr>
          <w:ilvl w:val="0"/>
          <w:numId w:val="2"/>
        </w:numPr>
        <w:spacing w:after="80" w:line="280"/>
      </w:pPr>
      <w:r>
        <w:rPr>
          <w:rFonts w:ascii="Calibri" w:cs="Calibri" w:eastAsia="Calibri" w:hAnsi="Calibri"/>
          <w:color w:val="1A1A1A"/>
          <w:sz w:val="22"/>
          <w:szCs w:val="22"/>
        </w:rPr>
        <w:t xml:space="preserve">Third-party integration costs (job boards, e-signature, background verification) are pass-through and subject to each vendor's own commercial terms.</w:t>
      </w:r>
    </w:p>
    <w:p>
      <w:pPr>
        <w:spacing w:after="200"/>
      </w:pPr>
    </w:p>
    <w:p>
      <w:pPr>
        <w:pStyle w:val="Heading1"/>
        <w:spacing w:after="140" w:before="320"/>
      </w:pPr>
      <w:bookmarkStart w:name="bm_36_14_conclusion" w:id="1036"/>
      <w:r>
        <w:rPr>
          <w:rFonts w:ascii="Calibri" w:cs="Calibri" w:eastAsia="Calibri" w:hAnsi="Calibri"/>
          <w:b/>
          <w:bCs/>
          <w:color w:val="D34817"/>
          <w:sz w:val="30"/>
          <w:szCs w:val="30"/>
        </w:rPr>
        <w:t xml:space="preserve">14. Conclusion</w:t>
      </w:r>
      <w:bookmarkEnd w:id="1036"/>
    </w:p>
    <w:p>
      <w:pPr>
        <w:spacing w:after="160" w:line="300"/>
        <w:jc w:val="both"/>
      </w:pPr>
      <w:r>
        <w:rPr>
          <w:rFonts w:ascii="Calibri" w:cs="Calibri" w:eastAsia="Calibri" w:hAnsi="Calibri"/>
          <w:color w:val="1A1A1A"/>
          <w:sz w:val="22"/>
          <w:szCs w:val="22"/>
        </w:rPr>
        <w:t xml:space="preserve">Phoneme HR Suite replaces a fragmented, manually-chased hiring and onboarding process with a single connected system across ten process modules. Two modules — JD Intake &amp; Freezing and Candidate Sourcing &amp; Resume Aggregation — are locked and build-ready today, with explicit, compliance-conscious decisions already made on sourcing method and scoring methodology. The remaining eight modules are scoped and ready to be locked in the same sequence as development proceeds, giving engineering a clear, incrementally-frozen brief rather than a single all-at-once specification.</w:t>
      </w:r>
    </w:p>
    <w:p>
      <w:pPr>
        <w:spacing w:after="200"/>
      </w:pPr>
    </w:p>
    <w:p>
      <w:pPr>
        <w:pStyle w:val="Heading1"/>
        <w:spacing w:after="140" w:before="320"/>
      </w:pPr>
      <w:bookmarkStart w:name="bm_37_15_road_ahead" w:id="1037"/>
      <w:r>
        <w:rPr>
          <w:rFonts w:ascii="Calibri" w:cs="Calibri" w:eastAsia="Calibri" w:hAnsi="Calibri"/>
          <w:b/>
          <w:bCs/>
          <w:color w:val="D34817"/>
          <w:sz w:val="30"/>
          <w:szCs w:val="30"/>
        </w:rPr>
        <w:t xml:space="preserve">15. Road Ahead</w:t>
      </w:r>
      <w:bookmarkEnd w:id="1037"/>
    </w:p>
    <w:p>
      <w:pPr>
        <w:pStyle w:val="ListParagraph"/>
        <w:numPr>
          <w:ilvl w:val="0"/>
          <w:numId w:val="2"/>
        </w:numPr>
        <w:spacing w:after="80" w:line="280"/>
      </w:pPr>
      <w:r>
        <w:rPr>
          <w:rFonts w:ascii="Calibri" w:cs="Calibri" w:eastAsia="Calibri" w:hAnsi="Calibri"/>
          <w:color w:val="1A1A1A"/>
          <w:sz w:val="22"/>
          <w:szCs w:val="22"/>
        </w:rPr>
        <w:t xml:space="preserve">Lock Module 3 (Screening &amp; Shortlisting) next, followed by Modules 4–8 in pipeline order.</w:t>
      </w:r>
    </w:p>
    <w:p>
      <w:pPr>
        <w:pStyle w:val="ListParagraph"/>
        <w:numPr>
          <w:ilvl w:val="0"/>
          <w:numId w:val="2"/>
        </w:numPr>
        <w:spacing w:after="80" w:line="280"/>
      </w:pPr>
      <w:r>
        <w:rPr>
          <w:rFonts w:ascii="Calibri" w:cs="Calibri" w:eastAsia="Calibri" w:hAnsi="Calibri"/>
          <w:color w:val="1A1A1A"/>
          <w:sz w:val="22"/>
          <w:szCs w:val="22"/>
        </w:rPr>
        <w:t xml:space="preserve">Resolve the Section 10 stakeholder dependencies to finalize the MVP timeline and pricing model.</w:t>
      </w:r>
    </w:p>
    <w:p>
      <w:pPr>
        <w:pStyle w:val="ListParagraph"/>
        <w:numPr>
          <w:ilvl w:val="0"/>
          <w:numId w:val="2"/>
        </w:numPr>
        <w:spacing w:after="80" w:line="280"/>
      </w:pPr>
      <w:r>
        <w:rPr>
          <w:rFonts w:ascii="Calibri" w:cs="Calibri" w:eastAsia="Calibri" w:hAnsi="Calibri"/>
          <w:color w:val="1A1A1A"/>
          <w:sz w:val="22"/>
          <w:szCs w:val="22"/>
        </w:rPr>
        <w:t xml:space="preserve">Extend the platform beyond the ten hiring-to-onboarding modules into the broader Phoneme HR suite — payroll, performance management, and exit/offboarding — sharing the same tenant and employee record established in Module 8.</w:t>
      </w:r>
    </w:p>
    <w:p>
      <w:pPr>
        <w:pStyle w:val="ListParagraph"/>
        <w:numPr>
          <w:ilvl w:val="0"/>
          <w:numId w:val="2"/>
        </w:numPr>
        <w:spacing w:after="80" w:line="280"/>
      </w:pPr>
      <w:r>
        <w:rPr>
          <w:rFonts w:ascii="Calibri" w:cs="Calibri" w:eastAsia="Calibri" w:hAnsi="Calibri"/>
          <w:color w:val="1A1A1A"/>
          <w:sz w:val="22"/>
          <w:szCs w:val="22"/>
        </w:rPr>
        <w:t xml:space="preserve">Revisit AI-assisted resume-to-JD matching (currently rules-based) once sufficient structured pipeline data has accumulated across pilot tenants.</w:t>
      </w:r>
    </w:p>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HR Suite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Pr>
        <w:p>
          <w:r>
            <w:drawing>
              <wp:inline distT="0" distB="0" distL="0" distR="0">
                <wp:extent cx="11239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247650"/>
                        </a:xfrm>
                        <a:prstGeom prst="rect">
                          <a:avLst/>
                        </a:prstGeom>
                      </pic:spPr>
                    </pic:pic>
                  </a:graphicData>
                </a:graphic>
              </wp:inline>
            </w:drawing>
          </w:r>
        </w:p>
      </w:tc>
      <w:tc>
        <w:tcPr>
          <w:tcW w:type="dxa" w:w="450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TECHNICAL &amp; BUSINESS PROPOSAL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d248455318f3da3f5928023b32e5fc6c765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2026-09-10T07:30:34.091Z</dcterms:created>
  <dcterms:modified xsi:type="dcterms:W3CDTF">2026-09-10T07:30:34.104Z</dcterms:modified>
</cp:coreProperties>
</file>

<file path=docProps/custom.xml><?xml version="1.0" encoding="utf-8"?>
<Properties xmlns="http://schemas.openxmlformats.org/officeDocument/2006/custom-properties" xmlns:vt="http://schemas.openxmlformats.org/officeDocument/2006/docPropsVTypes"/>
</file>