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Module 1 &amp; 2 — Technical Design Document</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DESIGN (HLD/LLD)</w:t>
      </w:r>
    </w:p>
    <w:p>
      <w:pPr>
        <w:spacing w:after="2200"/>
      </w:pPr>
    </w:p>
    <w:p>
      <w:pPr>
        <w:spacing w:after="60"/>
        <w:jc w:val="center"/>
      </w:pPr>
      <w:r>
        <w:rPr>
          <w:rFonts w:ascii="Calibri" w:cs="Calibri" w:eastAsia="Calibri" w:hAnsi="Calibri"/>
          <w:b/>
          <w:bCs/>
          <w:color w:val="D34817"/>
          <w:sz w:val="20"/>
          <w:szCs w:val="20"/>
        </w:rPr>
        <w:t xml:space="preserve">PROJECT CODE: PHN-HR-2026-01-TDD-M1M2</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16_document_control" w:id="1016"/>
      <w:r>
        <w:rPr>
          <w:rFonts w:ascii="Calibri" w:cs="Calibri" w:eastAsia="Calibri" w:hAnsi="Calibri"/>
          <w:b/>
          <w:bCs/>
          <w:color w:val="D34817"/>
          <w:sz w:val="30"/>
          <w:szCs w:val="30"/>
        </w:rPr>
        <w:t xml:space="preserve">Document Control</w:t>
      </w:r>
      <w:bookmarkEnd w:id="101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 (HLD/LLD) — Phoneme HR Suite, Module 1 (JD Intake &amp; Freezing) and Module 2 (Sourcing &amp; Resume Aggregation)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PHN-HR-2026-01-TDD-M1M2, Version 1.0</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HR Management project workspace</w:t>
            </w:r>
          </w:p>
        </w:tc>
      </w:tr>
    </w:tbl>
    <w:p>
      <w:pPr>
        <w:spacing w:after="160"/>
      </w:pPr>
    </w:p>
    <w:p>
      <w:pPr>
        <w:pStyle w:val="Heading1"/>
        <w:spacing w:after="140" w:before="320"/>
      </w:pPr>
      <w:bookmarkStart w:name="bm_17_authorization" w:id="1017"/>
      <w:r>
        <w:rPr>
          <w:rFonts w:ascii="Calibri" w:cs="Calibri" w:eastAsia="Calibri" w:hAnsi="Calibri"/>
          <w:b/>
          <w:bCs/>
          <w:color w:val="D34817"/>
          <w:sz w:val="30"/>
          <w:szCs w:val="30"/>
        </w:rPr>
        <w:t xml:space="preserve">Authorization</w:t>
      </w:r>
      <w:bookmarkEnd w:id="101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18_change_log" w:id="1018"/>
      <w:r>
        <w:rPr>
          <w:rFonts w:ascii="Calibri" w:cs="Calibri" w:eastAsia="Calibri" w:hAnsi="Calibri"/>
          <w:b/>
          <w:bCs/>
          <w:color w:val="D34817"/>
          <w:sz w:val="30"/>
          <w:szCs w:val="30"/>
        </w:rPr>
        <w:t xml:space="preserve">Change Log</w:t>
      </w:r>
      <w:bookmarkEnd w:id="1018"/>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Technical Design for Module 1 and Module 2, following requirements lock in the BRD/PRD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19_client_sign_off" w:id="1019"/>
      <w:r>
        <w:rPr>
          <w:rFonts w:ascii="Calibri" w:cs="Calibri" w:eastAsia="Calibri" w:hAnsi="Calibri"/>
          <w:b/>
          <w:bCs/>
          <w:color w:val="D34817"/>
          <w:sz w:val="30"/>
          <w:szCs w:val="30"/>
        </w:rPr>
        <w:t xml:space="preserve">Client Sign Off</w:t>
      </w:r>
      <w:bookmarkEnd w:id="1019"/>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r>
        <w:br w:type="page"/>
      </w:r>
    </w:p>
    <w:p>
      <w:pPr>
        <w:pStyle w:val="Heading1"/>
        <w:spacing w:after="140" w:before="320"/>
      </w:pPr>
      <w:bookmarkStart w:name="bm_15_table_of_contents" w:id="1015"/>
      <w:r>
        <w:rPr>
          <w:rFonts w:ascii="Calibri" w:cs="Calibri" w:eastAsia="Calibri" w:hAnsi="Calibri"/>
          <w:b/>
          <w:bCs/>
          <w:color w:val="D34817"/>
          <w:sz w:val="30"/>
          <w:szCs w:val="30"/>
        </w:rPr>
        <w:t xml:space="preserve">Table of Contents</w:t>
      </w:r>
      <w:bookmarkEnd w:id="1015"/>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Purpose</w:t>
      </w:r>
      <w:r>
        <w:rPr>
          <w:rFonts w:ascii="Calibri" w:cs="Calibri" w:eastAsia="Calibri" w:hAnsi="Calibri"/>
          <w:sz w:val="19"/>
          <w:szCs w:val="19"/>
        </w:rPr>
        <w:t xml:space="preserve">	</w:t>
      </w:r>
      <w:r>
        <w:fldChar w:fldCharType="begin" w:dirty="true"/>
        <w:instrText xml:space="preserve">PAGEREF bm_1_1_1_purpose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Scope</w:t>
      </w:r>
      <w:r>
        <w:rPr>
          <w:rFonts w:ascii="Calibri" w:cs="Calibri" w:eastAsia="Calibri" w:hAnsi="Calibri"/>
          <w:sz w:val="19"/>
          <w:szCs w:val="19"/>
        </w:rPr>
        <w:t xml:space="preserve">	</w:t>
      </w:r>
      <w:r>
        <w:fldChar w:fldCharType="begin" w:dirty="true"/>
        <w:instrText xml:space="preserve">PAGEREF bm_2_1_2_scope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References</w:t>
      </w:r>
      <w:r>
        <w:rPr>
          <w:rFonts w:ascii="Calibri" w:cs="Calibri" w:eastAsia="Calibri" w:hAnsi="Calibri"/>
          <w:sz w:val="19"/>
          <w:szCs w:val="19"/>
        </w:rPr>
        <w:t xml:space="preserve">	</w:t>
      </w:r>
      <w:r>
        <w:fldChar w:fldCharType="begin" w:dirty="true"/>
        <w:instrText xml:space="preserve">PAGEREF bm_3_1_3_references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Abbreviations</w:t>
      </w:r>
      <w:r>
        <w:rPr>
          <w:rFonts w:ascii="Calibri" w:cs="Calibri" w:eastAsia="Calibri" w:hAnsi="Calibri"/>
          <w:sz w:val="19"/>
          <w:szCs w:val="19"/>
        </w:rPr>
        <w:t xml:space="preserve">	</w:t>
      </w:r>
      <w:r>
        <w:fldChar w:fldCharType="begin" w:dirty="true"/>
        <w:instrText xml:space="preserve">PAGEREF bm_4_1_4_abbreviations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System Context &amp; Architecture Overview</w:t>
      </w:r>
      <w:r>
        <w:rPr>
          <w:rFonts w:ascii="Calibri" w:cs="Calibri" w:eastAsia="Calibri" w:hAnsi="Calibri"/>
          <w:sz w:val="19"/>
          <w:szCs w:val="19"/>
        </w:rPr>
        <w:t xml:space="preserve">	</w:t>
      </w:r>
      <w:r>
        <w:fldChar w:fldCharType="begin" w:dirty="true"/>
        <w:instrText xml:space="preserve">PAGEREF bm_5_2_system_context_architecture_</w:instrText>
        <w:fldChar w:fldCharType="end"/>
      </w:r>
    </w:p>
    <w:p>
      <w:pPr>
        <w:tabs>
          <w:tab w:val="right" w:pos="9350" w:leader="dot"/>
        </w:tabs>
        <w:spacing w:after="60" w:line="240"/>
      </w:pPr>
      <w:r>
        <w:rPr>
          <w:rFonts w:ascii="Calibri" w:cs="Calibri" w:eastAsia="Calibri" w:hAnsi="Calibri"/>
          <w:b/>
          <w:bCs/>
          <w:color w:val="000000"/>
          <w:sz w:val="21"/>
          <w:szCs w:val="21"/>
        </w:rPr>
        <w:t xml:space="preserve">3. Data Model — Module 1 (JD Intake &amp; Freezing)</w:t>
      </w:r>
      <w:r>
        <w:rPr>
          <w:rFonts w:ascii="Calibri" w:cs="Calibri" w:eastAsia="Calibri" w:hAnsi="Calibri"/>
          <w:sz w:val="19"/>
          <w:szCs w:val="19"/>
        </w:rPr>
        <w:t xml:space="preserve">	</w:t>
      </w:r>
      <w:r>
        <w:fldChar w:fldCharType="begin" w:dirty="true"/>
        <w:instrText xml:space="preserve">PAGEREF bm_6_3_data_model_module_1_jd_intak</w:instrText>
        <w:fldChar w:fldCharType="end"/>
      </w:r>
    </w:p>
    <w:p>
      <w:pPr>
        <w:tabs>
          <w:tab w:val="right" w:pos="9350" w:leader="dot"/>
        </w:tabs>
        <w:spacing w:after="60" w:line="240"/>
      </w:pPr>
      <w:r>
        <w:rPr>
          <w:rFonts w:ascii="Calibri" w:cs="Calibri" w:eastAsia="Calibri" w:hAnsi="Calibri"/>
          <w:b/>
          <w:bCs/>
          <w:color w:val="000000"/>
          <w:sz w:val="21"/>
          <w:szCs w:val="21"/>
        </w:rPr>
        <w:t xml:space="preserve">4. Data Model — Module 2 (Sourcing &amp; Resume Aggregation)</w:t>
      </w:r>
      <w:r>
        <w:rPr>
          <w:rFonts w:ascii="Calibri" w:cs="Calibri" w:eastAsia="Calibri" w:hAnsi="Calibri"/>
          <w:sz w:val="19"/>
          <w:szCs w:val="19"/>
        </w:rPr>
        <w:t xml:space="preserve">	</w:t>
      </w:r>
      <w:r>
        <w:fldChar w:fldCharType="begin" w:dirty="true"/>
        <w:instrText xml:space="preserve">PAGEREF bm_7_4_data_model_module_2_sourcing</w:instrText>
        <w:fldChar w:fldCharType="end"/>
      </w:r>
    </w:p>
    <w:p>
      <w:pPr>
        <w:tabs>
          <w:tab w:val="right" w:pos="9350" w:leader="dot"/>
        </w:tabs>
        <w:spacing w:after="60" w:line="240"/>
      </w:pPr>
      <w:r>
        <w:rPr>
          <w:rFonts w:ascii="Calibri" w:cs="Calibri" w:eastAsia="Calibri" w:hAnsi="Calibri"/>
          <w:b/>
          <w:bCs/>
          <w:color w:val="000000"/>
          <w:sz w:val="21"/>
          <w:szCs w:val="21"/>
        </w:rPr>
        <w:t xml:space="preserve">5. API Contracts — Module 1</w:t>
      </w:r>
      <w:r>
        <w:rPr>
          <w:rFonts w:ascii="Calibri" w:cs="Calibri" w:eastAsia="Calibri" w:hAnsi="Calibri"/>
          <w:sz w:val="19"/>
          <w:szCs w:val="19"/>
        </w:rPr>
        <w:t xml:space="preserve">	</w:t>
      </w:r>
      <w:r>
        <w:fldChar w:fldCharType="begin" w:dirty="true"/>
        <w:instrText xml:space="preserve">PAGEREF bm_8_5_api_contracts_module_1</w:instrText>
        <w:fldChar w:fldCharType="end"/>
      </w:r>
    </w:p>
    <w:p>
      <w:pPr>
        <w:tabs>
          <w:tab w:val="right" w:pos="9350" w:leader="dot"/>
        </w:tabs>
        <w:spacing w:after="60" w:line="240"/>
      </w:pPr>
      <w:r>
        <w:rPr>
          <w:rFonts w:ascii="Calibri" w:cs="Calibri" w:eastAsia="Calibri" w:hAnsi="Calibri"/>
          <w:b/>
          <w:bCs/>
          <w:color w:val="000000"/>
          <w:sz w:val="21"/>
          <w:szCs w:val="21"/>
        </w:rPr>
        <w:t xml:space="preserve">6. API Contracts — Module 2</w:t>
      </w:r>
      <w:r>
        <w:rPr>
          <w:rFonts w:ascii="Calibri" w:cs="Calibri" w:eastAsia="Calibri" w:hAnsi="Calibri"/>
          <w:sz w:val="19"/>
          <w:szCs w:val="19"/>
        </w:rPr>
        <w:t xml:space="preserve">	</w:t>
      </w:r>
      <w:r>
        <w:fldChar w:fldCharType="begin" w:dirty="true"/>
        <w:instrText xml:space="preserve">PAGEREF bm_9_6_api_contracts_module_2</w:instrText>
        <w:fldChar w:fldCharType="end"/>
      </w:r>
    </w:p>
    <w:p>
      <w:pPr>
        <w:tabs>
          <w:tab w:val="right" w:pos="9350" w:leader="dot"/>
        </w:tabs>
        <w:spacing w:after="60" w:line="240"/>
      </w:pPr>
      <w:r>
        <w:rPr>
          <w:rFonts w:ascii="Calibri" w:cs="Calibri" w:eastAsia="Calibri" w:hAnsi="Calibri"/>
          <w:b/>
          <w:bCs/>
          <w:color w:val="000000"/>
          <w:sz w:val="21"/>
          <w:szCs w:val="21"/>
        </w:rPr>
        <w:t xml:space="preserve">7. Integration Specifications</w:t>
      </w:r>
      <w:r>
        <w:rPr>
          <w:rFonts w:ascii="Calibri" w:cs="Calibri" w:eastAsia="Calibri" w:hAnsi="Calibri"/>
          <w:sz w:val="19"/>
          <w:szCs w:val="19"/>
        </w:rPr>
        <w:t xml:space="preserve">	</w:t>
      </w:r>
      <w:r>
        <w:fldChar w:fldCharType="begin" w:dirty="true"/>
        <w:instrText xml:space="preserve">PAGEREF bm_10_7_integration_specifications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8. Sequence Flows</w:t>
      </w:r>
      <w:r>
        <w:rPr>
          <w:rFonts w:ascii="Calibri" w:cs="Calibri" w:eastAsia="Calibri" w:hAnsi="Calibri"/>
          <w:sz w:val="19"/>
          <w:szCs w:val="19"/>
        </w:rPr>
        <w:t xml:space="preserve">	</w:t>
      </w:r>
      <w:r>
        <w:fldChar w:fldCharType="begin" w:dirty="true"/>
        <w:instrText xml:space="preserve">PAGEREF bm_11_8_sequence_flows</w:instrText>
        <w:fldChar w:fldCharType="end"/>
      </w:r>
    </w:p>
    <w:p>
      <w:pPr>
        <w:tabs>
          <w:tab w:val="right" w:pos="9350" w:leader="dot"/>
        </w:tabs>
        <w:spacing w:after="60" w:line="240"/>
      </w:pPr>
      <w:r>
        <w:rPr>
          <w:rFonts w:ascii="Calibri" w:cs="Calibri" w:eastAsia="Calibri" w:hAnsi="Calibri"/>
          <w:b/>
          <w:bCs/>
          <w:color w:val="000000"/>
          <w:sz w:val="21"/>
          <w:szCs w:val="21"/>
        </w:rPr>
        <w:t xml:space="preserve">9. Non-Functional / Technical Considerations</w:t>
      </w:r>
      <w:r>
        <w:rPr>
          <w:rFonts w:ascii="Calibri" w:cs="Calibri" w:eastAsia="Calibri" w:hAnsi="Calibri"/>
          <w:sz w:val="19"/>
          <w:szCs w:val="19"/>
        </w:rPr>
        <w:t xml:space="preserve">	</w:t>
      </w:r>
      <w:r>
        <w:fldChar w:fldCharType="begin" w:dirty="true"/>
        <w:instrText xml:space="preserve">PAGEREF bm_12_9_non_functional_technical_con</w:instrText>
        <w:fldChar w:fldCharType="end"/>
      </w:r>
    </w:p>
    <w:p>
      <w:pPr>
        <w:tabs>
          <w:tab w:val="right" w:pos="9350" w:leader="dot"/>
        </w:tabs>
        <w:spacing w:after="60" w:line="240"/>
      </w:pPr>
      <w:r>
        <w:rPr>
          <w:rFonts w:ascii="Calibri" w:cs="Calibri" w:eastAsia="Calibri" w:hAnsi="Calibri"/>
          <w:b/>
          <w:bCs/>
          <w:color w:val="000000"/>
          <w:sz w:val="21"/>
          <w:szCs w:val="21"/>
        </w:rPr>
        <w:t xml:space="preserve">10. Error Handling &amp; Edge Cases</w:t>
      </w:r>
      <w:r>
        <w:rPr>
          <w:rFonts w:ascii="Calibri" w:cs="Calibri" w:eastAsia="Calibri" w:hAnsi="Calibri"/>
          <w:sz w:val="19"/>
          <w:szCs w:val="19"/>
        </w:rPr>
        <w:t xml:space="preserve">	</w:t>
      </w:r>
      <w:r>
        <w:fldChar w:fldCharType="begin" w:dirty="true"/>
        <w:instrText xml:space="preserve">PAGEREF bm_13_10_error_handling_edge_cases</w:instrText>
        <w:fldChar w:fldCharType="end"/>
      </w:r>
    </w:p>
    <w:p>
      <w:pPr>
        <w:tabs>
          <w:tab w:val="right" w:pos="9350" w:leader="dot"/>
        </w:tabs>
        <w:spacing w:after="60" w:line="240"/>
      </w:pPr>
      <w:r>
        <w:rPr>
          <w:rFonts w:ascii="Calibri" w:cs="Calibri" w:eastAsia="Calibri" w:hAnsi="Calibri"/>
          <w:b/>
          <w:bCs/>
          <w:color w:val="000000"/>
          <w:sz w:val="21"/>
          <w:szCs w:val="21"/>
        </w:rPr>
        <w:t xml:space="preserve">11. Open Technical Decisions / Dependencies</w:t>
      </w:r>
      <w:r>
        <w:rPr>
          <w:rFonts w:ascii="Calibri" w:cs="Calibri" w:eastAsia="Calibri" w:hAnsi="Calibri"/>
          <w:sz w:val="19"/>
          <w:szCs w:val="19"/>
        </w:rPr>
        <w:t xml:space="preserve">	</w:t>
      </w:r>
      <w:r>
        <w:fldChar w:fldCharType="begin" w:dirty="true"/>
        <w:instrText xml:space="preserve">PAGEREF bm_14_11_open_technical_decisions_de</w:instrText>
        <w:fldChar w:fldCharType="end"/>
      </w:r>
    </w:p>
    <w:p>
      <w:r>
        <w:br w:type="page"/>
      </w:r>
    </w:p>
    <w:p>
      <w:pPr>
        <w:pStyle w:val="Heading1"/>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Technical Design Document (TDD) specifies the data model, API contracts, integration mechanics, and sequence flows for the two modules whose requirements are locked in the companion BRD/PRD (PHN-HR-2026-01-BRDPRD): Module 1 — Job Description (JD) Intake &amp; Freezing, and Module 2 — Candidate Sourcing &amp; Resume Aggregation. It is the engineering handoff artifact for these two modules; it does not restate business rationale, which lives in the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entity/field-level data model, REST API contracts, third-party integration specifications (Naukri RMS, LinkedIn Recruiter API, email intake, resume/NLP parsing), sequence flows, and the technical non-functional considerations specific to these two modules. Out of scope: UI/screen design (a separate UX specification), and the data model/APIs for Modules 3–10, which will be issued as their own Technical Design documents once each module's requirements are locked.</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BRD/PRD — Phoneme HR Suite: Candidate Search to Onboarding Module (PHN-HR-2026-01-BRDPRD), Section 4.1 and 4.2 — the locked feature lists and locked decisions this design implements.</w:t>
      </w:r>
    </w:p>
    <w:p>
      <w:pPr>
        <w:pStyle w:val="ListParagraph"/>
        <w:numPr>
          <w:ilvl w:val="0"/>
          <w:numId w:val="2"/>
        </w:numPr>
        <w:spacing w:after="80" w:line="280"/>
      </w:pPr>
      <w:r>
        <w:rPr>
          <w:rFonts w:ascii="Calibri" w:cs="Calibri" w:eastAsia="Calibri" w:hAnsi="Calibri"/>
          <w:color w:val="1A1A1A"/>
          <w:sz w:val="22"/>
          <w:szCs w:val="22"/>
        </w:rPr>
        <w:t xml:space="preserve">Naukri RMS (Recruiter Management System) employer API documentation.</w:t>
      </w:r>
    </w:p>
    <w:p>
      <w:pPr>
        <w:pStyle w:val="ListParagraph"/>
        <w:numPr>
          <w:ilvl w:val="0"/>
          <w:numId w:val="2"/>
        </w:numPr>
        <w:spacing w:after="80" w:line="280"/>
      </w:pPr>
      <w:r>
        <w:rPr>
          <w:rFonts w:ascii="Calibri" w:cs="Calibri" w:eastAsia="Calibri" w:hAnsi="Calibri"/>
          <w:color w:val="1A1A1A"/>
          <w:sz w:val="22"/>
          <w:szCs w:val="22"/>
        </w:rPr>
        <w:t xml:space="preserve">LinkedIn Recruiter / Talent Solutions API documentation (OAuth2 authorization-code flow).</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TDD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Natural Language Processing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Management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PII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Personally Identifiable Information</w:t>
            </w:r>
          </w:p>
        </w:tc>
      </w:tr>
    </w:tbl>
    <w:p>
      <w:pPr>
        <w:spacing w:after="200"/>
      </w:pPr>
    </w:p>
    <w:p>
      <w:pPr>
        <w:pStyle w:val="Heading1"/>
        <w:spacing w:after="140" w:before="320"/>
      </w:pPr>
      <w:bookmarkStart w:name="bm_5_2_system_context_architecture_" w:id="1005"/>
      <w:r>
        <w:rPr>
          <w:rFonts w:ascii="Calibri" w:cs="Calibri" w:eastAsia="Calibri" w:hAnsi="Calibri"/>
          <w:b/>
          <w:bCs/>
          <w:color w:val="D34817"/>
          <w:sz w:val="30"/>
          <w:szCs w:val="30"/>
        </w:rPr>
        <w:t xml:space="preserve">2. System Context &amp; Architecture Overview</w:t>
      </w:r>
      <w:bookmarkEnd w:id="1005"/>
    </w:p>
    <w:p>
      <w:pPr>
        <w:spacing w:after="160" w:line="300"/>
        <w:jc w:val="both"/>
      </w:pPr>
      <w:r>
        <w:rPr>
          <w:rFonts w:ascii="Calibri" w:cs="Calibri" w:eastAsia="Calibri" w:hAnsi="Calibri"/>
          <w:color w:val="1A1A1A"/>
          <w:sz w:val="22"/>
          <w:szCs w:val="22"/>
        </w:rPr>
        <w:t xml:space="preserve">Both modules sit behind the tenant-aware API layer described in the BRD/PRD's solution overview. Module 1 owns the requisition and JD lifecycle; Module 2 owns candidate intake and dedupe. Module 1's freeze action is the trigger that hands a requisition to Module 2 (publish to sourcing channels); Module 2's unified candidate record is the entry point for Module 3 (Screening &amp; Shortlisting, out of scope here).</w:t>
      </w:r>
    </w:p>
    <w:p>
      <w:pPr>
        <w:pStyle w:val="Heading3"/>
        <w:spacing w:after="80" w:before="160"/>
      </w:pPr>
      <w:r>
        <w:rPr>
          <w:rFonts w:ascii="Calibri" w:cs="Calibri" w:eastAsia="Calibri" w:hAnsi="Calibri"/>
          <w:b/>
          <w:bCs/>
          <w:color w:val="000000"/>
          <w:sz w:val="22"/>
          <w:szCs w:val="22"/>
        </w:rPr>
        <w:t xml:space="preserve">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Component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Owns</w:t>
            </w:r>
          </w:p>
        </w:tc>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Consumes / Produces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 lifecycle, approval state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Produces requisition.frozen event consumed by Publish Service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multi-variant JD generation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briefs; produces JDVersion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Weighted matrix generation and storage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Triggered by requisition freeze; produces ScoringMatrix + ScoringCriterion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Fan-out of a frozen requisition to configured sourcing channels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requisition.frozen; calls channel adapters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(Naukri RMS, LinkedIn, Email, Manual, Referral)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ingestion/posting logic</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 raw candidate/application payloads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field extraction from resume files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resume files; produces parsed candidate JSON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 candidate detection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parsed candidate records; produces DuplicateMatch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Canonical Candidate and Application records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Serves search/filter queries for the unified resume inbox</w:t>
            </w:r>
          </w:p>
        </w:tc>
      </w:tr>
    </w:tbl>
    <w:p>
      <w:pPr>
        <w:spacing w:after="200"/>
      </w:pPr>
    </w:p>
    <w:p>
      <w:pPr>
        <w:pStyle w:val="Heading1"/>
        <w:spacing w:after="140" w:before="320"/>
      </w:pPr>
      <w:bookmarkStart w:name="bm_6_3_data_model_module_1_jd_intak" w:id="1006"/>
      <w:r>
        <w:rPr>
          <w:rFonts w:ascii="Calibri" w:cs="Calibri" w:eastAsia="Calibri" w:hAnsi="Calibri"/>
          <w:b/>
          <w:bCs/>
          <w:color w:val="D34817"/>
          <w:sz w:val="30"/>
          <w:szCs w:val="30"/>
        </w:rPr>
        <w:t xml:space="preserve">3. Data Model — Module 1 (JD Intake &amp; Freezing)</w:t>
      </w:r>
      <w:bookmarkEnd w:id="1006"/>
    </w:p>
    <w:p>
      <w:pPr>
        <w:pStyle w:val="Heading3"/>
        <w:spacing w:after="80" w:before="160"/>
      </w:pPr>
      <w:r>
        <w:rPr>
          <w:rFonts w:ascii="Calibri" w:cs="Calibri" w:eastAsia="Calibri" w:hAnsi="Calibri"/>
          <w:b/>
          <w:bCs/>
          <w:color w:val="000000"/>
          <w:sz w:val="22"/>
          <w:szCs w:val="22"/>
        </w:rPr>
        <w:t xml:space="preserve">JobRequisition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query scoped by this field — see BRD/PRD architecture note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department_id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Nullable if not supplied in the brief; flagged for manager confirmation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manager who submitted the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 / updated_at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JDBrief (raw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raw_text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Verbatim manager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email | portal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received_at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JDField (NLP-extracted structured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role_title | experience_range | education_pref | comp_band | job_role_tag | must_have_skills | domain_competencies | soft_skills | department | target_start_date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field_value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 JSON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Below tenant-configured threshold (default 0.75) → manager_confirmed forced false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manager_confirmed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Gate before this field can feed a frozen JD</w:t>
            </w:r>
          </w:p>
        </w:tc>
      </w:tr>
    </w:tbl>
    <w:p>
      <w:pPr>
        <w:pStyle w:val="Heading3"/>
        <w:spacing w:after="80" w:before="160"/>
      </w:pPr>
      <w:r>
        <w:rPr>
          <w:rFonts w:ascii="Calibri" w:cs="Calibri" w:eastAsia="Calibri" w:hAnsi="Calibri"/>
          <w:b/>
          <w:bCs/>
          <w:color w:val="000000"/>
          <w:sz w:val="22"/>
          <w:szCs w:val="22"/>
        </w:rPr>
        <w:t xml:space="preserve">JDVersion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version_no</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Monotonically increasing per requisition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variant_type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formal | candidate_friendly | condensed | manager_edited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generated_by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system | manager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is_frozen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on exactly one version per requisition, and immutable once set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ScoringMatrix / ScoringCriterion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ScoringMatrix.id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ScoringMatrix.requisition_id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One matrix per frozen requisition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ScoringMatrix.frozen_at</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after manager confirms weights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ScoringCriterion.id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ScoringCriterion.matrix_id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ScoringCriterion.category</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core_skills | experience_seniority | domain_competency | behavioral_proxy | education_fit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ScoringCriterion.criterion_name</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"Power BI proficiency"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ScoringCriterion.weight_percent</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 criteria for a matrix sum to 100</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ScoringCriterion.source_field_ref</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JDField)</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Traceability back to the JD field that generated this criterion</w:t>
            </w:r>
          </w:p>
        </w:tc>
      </w:tr>
    </w:tbl>
    <w:p>
      <w:pPr>
        <w:spacing w:after="200"/>
      </w:pPr>
    </w:p>
    <w:p>
      <w:pPr>
        <w:pStyle w:val="Heading1"/>
        <w:spacing w:after="140" w:before="320"/>
      </w:pPr>
      <w:bookmarkStart w:name="bm_7_4_data_model_module_2_sourcing" w:id="1007"/>
      <w:r>
        <w:rPr>
          <w:rFonts w:ascii="Calibri" w:cs="Calibri" w:eastAsia="Calibri" w:hAnsi="Calibri"/>
          <w:b/>
          <w:bCs/>
          <w:color w:val="D34817"/>
          <w:sz w:val="30"/>
          <w:szCs w:val="30"/>
        </w:rPr>
        <w:t xml:space="preserve">4. Data Model — Module 2 (Sourcing &amp; Resume Aggregation)</w:t>
      </w:r>
      <w:bookmarkEnd w:id="1007"/>
    </w:p>
    <w:p>
      <w:pPr>
        <w:pStyle w:val="Heading3"/>
        <w:spacing w:after="80" w:before="160"/>
      </w:pPr>
      <w:r>
        <w:rPr>
          <w:rFonts w:ascii="Calibri" w:cs="Calibri" w:eastAsia="Calibri" w:hAnsi="Calibri"/>
          <w:b/>
          <w:bCs/>
          <w:color w:val="000000"/>
          <w:sz w:val="22"/>
          <w:szCs w:val="22"/>
        </w:rPr>
        <w:t xml:space="preserve">SourcingChannelConfig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naukri_rms | linkedin_recruiter | niche_board | email_intake | manual_upload | referral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credentials_ref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Secret store)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Never stored in plaintext in this table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is_active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Candidate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Reusable across requisitions within a tenant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name / email / phone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dedupe keys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resume_file_ref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object storage)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parsed_json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JSONB</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output of the Resume Parsing Service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source_channel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Matches SourcingChannelConfig.channel_type at first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Feeds Module 3 pipeline stage — out of scope of this TDD beyond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applied_at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DuplicateMatch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candidate_id_primary / candidate_id_duplicate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exact_email | exact_phone | content_similarity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See Section 9 for thresholds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once a recruiter confirms or overrides the match</w:t>
            </w:r>
          </w:p>
        </w:tc>
      </w:tr>
    </w:tbl>
    <w:p>
      <w:pPr>
        <w:spacing w:after="200"/>
      </w:pPr>
    </w:p>
    <w:p>
      <w:pPr>
        <w:pStyle w:val="Heading1"/>
        <w:spacing w:after="140" w:before="320"/>
      </w:pPr>
      <w:bookmarkStart w:name="bm_8_5_api_contracts_module_1" w:id="1008"/>
      <w:r>
        <w:rPr>
          <w:rFonts w:ascii="Calibri" w:cs="Calibri" w:eastAsia="Calibri" w:hAnsi="Calibri"/>
          <w:b/>
          <w:bCs/>
          <w:color w:val="D34817"/>
          <w:sz w:val="30"/>
          <w:szCs w:val="30"/>
        </w:rPr>
        <w:t xml:space="preserve">5. API Contracts — Module 1</w:t>
      </w:r>
      <w:bookmarkEnd w:id="1008"/>
    </w:p>
    <w:p>
      <w:pPr>
        <w:pStyle w:val="Heading3"/>
        <w:spacing w:after="80" w:before="160"/>
      </w:pPr>
      <w:r>
        <w:rPr>
          <w:rFonts w:ascii="Calibri" w:cs="Calibri" w:eastAsia="Calibri" w:hAnsi="Calibri"/>
          <w:b/>
          <w:bCs/>
          <w:color w:val="000000"/>
          <w:sz w:val="22"/>
          <w:szCs w:val="22"/>
        </w:rPr>
        <w:t xml:space="preserve">POST /api/v1/requisitions/intake</w:t>
      </w:r>
    </w:p>
    <w:p>
      <w:pPr>
        <w:spacing w:after="160" w:line="300"/>
        <w:jc w:val="both"/>
      </w:pPr>
      <w:r>
        <w:rPr>
          <w:rFonts w:ascii="Calibri" w:cs="Calibri" w:eastAsia="Calibri" w:hAnsi="Calibri"/>
          <w:color w:val="1A1A1A"/>
          <w:sz w:val="22"/>
          <w:szCs w:val="22"/>
        </w:rPr>
        <w:t xml:space="preserve">Creates a requisition from a manager's raw brief and kicks off NLP extraction.</w:t>
      </w:r>
    </w:p>
    <w:p>
      <w:pPr>
        <w:shd w:fill="F7F7F7" w:color="auto" w:val="clear"/>
        <w:spacing w:after="100" w:line="260"/>
      </w:pPr>
      <w:r>
        <w:rPr>
          <w:rFonts w:ascii="Consolas" w:cs="Consolas" w:eastAsia="Consolas" w:hAnsi="Consolas"/>
          <w:color w:val="1A1A1A"/>
          <w:sz w:val="19"/>
          <w:szCs w:val="19"/>
        </w:rPr>
        <w:t xml:space="preserve">Request:  { "tenant_id": "uuid", "department_id": "uuid|null", "raw_brief_text": "string", "source": "email|portal" }
Response: 201 { "requisition_id": "uuid", "status": "Draft" }</w:t>
      </w:r>
    </w:p>
    <w:p>
      <w:pPr>
        <w:pStyle w:val="Heading3"/>
        <w:spacing w:after="80" w:before="160"/>
      </w:pPr>
      <w:r>
        <w:rPr>
          <w:rFonts w:ascii="Calibri" w:cs="Calibri" w:eastAsia="Calibri" w:hAnsi="Calibri"/>
          <w:b/>
          <w:bCs/>
          <w:color w:val="000000"/>
          <w:sz w:val="22"/>
          <w:szCs w:val="22"/>
        </w:rPr>
        <w:t xml:space="preserve">GET /api/v1/requisitions/{id}/jd-versions</w:t>
      </w:r>
    </w:p>
    <w:p>
      <w:pPr>
        <w:spacing w:after="160" w:line="300"/>
        <w:jc w:val="both"/>
      </w:pPr>
      <w:r>
        <w:rPr>
          <w:rFonts w:ascii="Calibri" w:cs="Calibri" w:eastAsia="Calibri" w:hAnsi="Calibri"/>
          <w:color w:val="1A1A1A"/>
          <w:sz w:val="22"/>
          <w:szCs w:val="22"/>
        </w:rPr>
        <w:t xml:space="preserve">Lists all generated JD variants for a requisition, in version order.</w:t>
      </w:r>
    </w:p>
    <w:p>
      <w:pPr>
        <w:pStyle w:val="Heading3"/>
        <w:spacing w:after="80" w:before="160"/>
      </w:pPr>
      <w:r>
        <w:rPr>
          <w:rFonts w:ascii="Calibri" w:cs="Calibri" w:eastAsia="Calibri" w:hAnsi="Calibri"/>
          <w:b/>
          <w:bCs/>
          <w:color w:val="000000"/>
          <w:sz w:val="22"/>
          <w:szCs w:val="22"/>
        </w:rPr>
        <w:t xml:space="preserve">POST /api/v1/requisitions/{id}/jd-versions/{versionId}/feedback</w:t>
      </w:r>
    </w:p>
    <w:p>
      <w:pPr>
        <w:spacing w:after="160" w:line="300"/>
        <w:jc w:val="both"/>
      </w:pPr>
      <w:r>
        <w:rPr>
          <w:rFonts w:ascii="Calibri" w:cs="Calibri" w:eastAsia="Calibri" w:hAnsi="Calibri"/>
          <w:color w:val="1A1A1A"/>
          <w:sz w:val="22"/>
          <w:szCs w:val="22"/>
        </w:rPr>
        <w:t xml:space="preserve">Submits manager feedback (email reply or portal form) for NLP parsing into a structured diff and a new draft version.</w:t>
      </w:r>
    </w:p>
    <w:p>
      <w:pPr>
        <w:shd w:fill="F7F7F7" w:color="auto" w:val="clear"/>
        <w:spacing w:after="100" w:line="260"/>
      </w:pPr>
      <w:r>
        <w:rPr>
          <w:rFonts w:ascii="Consolas" w:cs="Consolas" w:eastAsia="Consolas" w:hAnsi="Consolas"/>
          <w:color w:val="1A1A1A"/>
          <w:sz w:val="19"/>
          <w:szCs w:val="19"/>
        </w:rPr>
        <w:t xml:space="preserve">Request:  { "feedback_text": "string", "source": "email|portal" }
Response: 202 { "new_version_id": "uuid", "status": "Revising", "low_confidence_fields": ["string", ...] }</w:t>
      </w:r>
    </w:p>
    <w:p>
      <w:pPr>
        <w:pStyle w:val="Heading3"/>
        <w:spacing w:after="80" w:before="160"/>
      </w:pPr>
      <w:r>
        <w:rPr>
          <w:rFonts w:ascii="Calibri" w:cs="Calibri" w:eastAsia="Calibri" w:hAnsi="Calibri"/>
          <w:b/>
          <w:bCs/>
          <w:color w:val="000000"/>
          <w:sz w:val="22"/>
          <w:szCs w:val="22"/>
        </w:rPr>
        <w:t xml:space="preserve">POST /api/v1/requisitions/{id}/freeze</w:t>
      </w:r>
    </w:p>
    <w:p>
      <w:pPr>
        <w:spacing w:after="160" w:line="300"/>
        <w:jc w:val="both"/>
      </w:pPr>
      <w:r>
        <w:rPr>
          <w:rFonts w:ascii="Calibri" w:cs="Calibri" w:eastAsia="Calibri" w:hAnsi="Calibri"/>
          <w:color w:val="1A1A1A"/>
          <w:sz w:val="22"/>
          <w:szCs w:val="22"/>
        </w:rPr>
        <w:t xml:space="preserve">Freezes a JD version and confirms scoring-matrix weights in a single atomic action — matches the locked decision that freezing is a hard, immutable state change.</w:t>
      </w:r>
    </w:p>
    <w:p>
      <w:pPr>
        <w:shd w:fill="F7F7F7" w:color="auto" w:val="clear"/>
        <w:spacing w:after="100" w:line="260"/>
      </w:pPr>
      <w:r>
        <w:rPr>
          <w:rFonts w:ascii="Consolas" w:cs="Consolas" w:eastAsia="Consolas" w:hAnsi="Consolas"/>
          <w:color w:val="1A1A1A"/>
          <w:sz w:val="19"/>
          <w:szCs w:val="19"/>
        </w:rPr>
        <w:t xml:space="preserve">Request:  { "approved_version_id": "uuid", "matrix_weights": [ { "criterion_id": "uuid", "weight_percent": number }, ... ] }
Response: 200 { "status": "Frozen_Open", "frozen_jd_version_id": "uuid", "scoring_matrix_id": "uuid" }
Errors:   409 if weights do not sum to 100; 409 if requisition is already frozen</w:t>
      </w:r>
    </w:p>
    <w:p>
      <w:pPr>
        <w:pStyle w:val="Heading3"/>
        <w:spacing w:after="80" w:before="160"/>
      </w:pPr>
      <w:r>
        <w:rPr>
          <w:rFonts w:ascii="Calibri" w:cs="Calibri" w:eastAsia="Calibri" w:hAnsi="Calibri"/>
          <w:b/>
          <w:bCs/>
          <w:color w:val="000000"/>
          <w:sz w:val="22"/>
          <w:szCs w:val="22"/>
        </w:rPr>
        <w:t xml:space="preserve">GET /api/v1/requisitions/{id}/scoring-matrix</w:t>
      </w:r>
    </w:p>
    <w:p>
      <w:pPr>
        <w:spacing w:after="160" w:line="300"/>
        <w:jc w:val="both"/>
      </w:pPr>
      <w:r>
        <w:rPr>
          <w:rFonts w:ascii="Calibri" w:cs="Calibri" w:eastAsia="Calibri" w:hAnsi="Calibri"/>
          <w:color w:val="1A1A1A"/>
          <w:sz w:val="22"/>
          <w:szCs w:val="22"/>
        </w:rPr>
        <w:t xml:space="preserve">Returns the frozen scoring matrix for consumption by the Module 3 scoring engine.</w:t>
      </w:r>
    </w:p>
    <w:p>
      <w:pPr>
        <w:spacing w:after="200"/>
      </w:pPr>
    </w:p>
    <w:p>
      <w:pPr>
        <w:pStyle w:val="Heading1"/>
        <w:spacing w:after="140" w:before="320"/>
      </w:pPr>
      <w:bookmarkStart w:name="bm_9_6_api_contracts_module_2" w:id="1009"/>
      <w:r>
        <w:rPr>
          <w:rFonts w:ascii="Calibri" w:cs="Calibri" w:eastAsia="Calibri" w:hAnsi="Calibri"/>
          <w:b/>
          <w:bCs/>
          <w:color w:val="D34817"/>
          <w:sz w:val="30"/>
          <w:szCs w:val="30"/>
        </w:rPr>
        <w:t xml:space="preserve">6. API Contracts — Module 2</w:t>
      </w:r>
      <w:bookmarkEnd w:id="1009"/>
    </w:p>
    <w:p>
      <w:pPr>
        <w:pStyle w:val="Heading3"/>
        <w:spacing w:after="80" w:before="160"/>
      </w:pPr>
      <w:r>
        <w:rPr>
          <w:rFonts w:ascii="Calibri" w:cs="Calibri" w:eastAsia="Calibri" w:hAnsi="Calibri"/>
          <w:b/>
          <w:bCs/>
          <w:color w:val="000000"/>
          <w:sz w:val="22"/>
          <w:szCs w:val="22"/>
        </w:rPr>
        <w:t xml:space="preserve">POST /api/v1/requisitions/{id}/publish</w:t>
      </w:r>
    </w:p>
    <w:p>
      <w:pPr>
        <w:spacing w:after="160" w:line="300"/>
        <w:jc w:val="both"/>
      </w:pPr>
      <w:r>
        <w:rPr>
          <w:rFonts w:ascii="Calibri" w:cs="Calibri" w:eastAsia="Calibri" w:hAnsi="Calibri"/>
          <w:color w:val="1A1A1A"/>
          <w:sz w:val="22"/>
          <w:szCs w:val="22"/>
        </w:rPr>
        <w:t xml:space="preserve">Triggered automatically on requisition freeze (or manually re-triggered by a recruiter); fans out to every active SourcingChannelConfig for the tenant.</w:t>
      </w:r>
    </w:p>
    <w:p>
      <w:pPr>
        <w:pStyle w:val="Heading3"/>
        <w:spacing w:after="80" w:before="160"/>
      </w:pPr>
      <w:r>
        <w:rPr>
          <w:rFonts w:ascii="Calibri" w:cs="Calibri" w:eastAsia="Calibri" w:hAnsi="Calibri"/>
          <w:b/>
          <w:bCs/>
          <w:color w:val="000000"/>
          <w:sz w:val="22"/>
          <w:szCs w:val="22"/>
        </w:rPr>
        <w:t xml:space="preserve">POST /webhooks/naukri-rms/applications</w:t>
      </w:r>
    </w:p>
    <w:p>
      <w:pPr>
        <w:spacing w:after="160" w:line="300"/>
        <w:jc w:val="both"/>
      </w:pPr>
      <w:r>
        <w:rPr>
          <w:rFonts w:ascii="Calibri" w:cs="Calibri" w:eastAsia="Calibri" w:hAnsi="Calibri"/>
          <w:color w:val="1A1A1A"/>
          <w:sz w:val="22"/>
          <w:szCs w:val="22"/>
        </w:rPr>
        <w:t xml:space="preserve">Inbound webhook (or polling result) from Naukri RMS carrying a new application/resume.</w:t>
      </w:r>
    </w:p>
    <w:p>
      <w:pPr>
        <w:shd w:fill="F7F7F7" w:color="auto" w:val="clear"/>
        <w:spacing w:after="100" w:line="260"/>
      </w:pPr>
      <w:r>
        <w:rPr>
          <w:rFonts w:ascii="Consolas" w:cs="Consolas" w:eastAsia="Consolas" w:hAnsi="Consolas"/>
          <w:color w:val="1A1A1A"/>
          <w:sz w:val="19"/>
          <w:szCs w:val="19"/>
        </w:rPr>
        <w:t xml:space="preserve">Request (from Naukri RMS): { "external_application_id": "string", "requisition_external_ref": "string", "resume_url": "string", "applicant": { "name", "email", "phone" } }
Response: 202 { "candidate_id": "uuid", "application_id": "uuid", "duplicate_check": "queued" }</w:t>
      </w:r>
    </w:p>
    <w:p>
      <w:pPr>
        <w:pStyle w:val="Heading3"/>
        <w:spacing w:after="80" w:before="160"/>
      </w:pPr>
      <w:r>
        <w:rPr>
          <w:rFonts w:ascii="Calibri" w:cs="Calibri" w:eastAsia="Calibri" w:hAnsi="Calibri"/>
          <w:b/>
          <w:bCs/>
          <w:color w:val="000000"/>
          <w:sz w:val="22"/>
          <w:szCs w:val="22"/>
        </w:rPr>
        <w:t xml:space="preserve">POST /webhooks/linkedin-recruiter/applications</w:t>
      </w:r>
    </w:p>
    <w:p>
      <w:pPr>
        <w:spacing w:after="160" w:line="300"/>
        <w:jc w:val="both"/>
      </w:pPr>
      <w:r>
        <w:rPr>
          <w:rFonts w:ascii="Calibri" w:cs="Calibri" w:eastAsia="Calibri" w:hAnsi="Calibri"/>
          <w:color w:val="1A1A1A"/>
          <w:sz w:val="22"/>
          <w:szCs w:val="22"/>
        </w:rPr>
        <w:t xml:space="preserve">Equivalent inbound contract for LinkedIn Recruiter/Talent Solutions.</w:t>
      </w:r>
    </w:p>
    <w:p>
      <w:pPr>
        <w:pStyle w:val="Heading3"/>
        <w:spacing w:after="80" w:before="160"/>
      </w:pPr>
      <w:r>
        <w:rPr>
          <w:rFonts w:ascii="Calibri" w:cs="Calibri" w:eastAsia="Calibri" w:hAnsi="Calibri"/>
          <w:b/>
          <w:bCs/>
          <w:color w:val="000000"/>
          <w:sz w:val="22"/>
          <w:szCs w:val="22"/>
        </w:rPr>
        <w:t xml:space="preserve">POST /webhooks/email-intake/resume</w:t>
      </w:r>
    </w:p>
    <w:p>
      <w:pPr>
        <w:spacing w:after="160" w:line="300"/>
        <w:jc w:val="both"/>
      </w:pPr>
      <w:r>
        <w:rPr>
          <w:rFonts w:ascii="Calibri" w:cs="Calibri" w:eastAsia="Calibri" w:hAnsi="Calibri"/>
          <w:color w:val="1A1A1A"/>
          <w:sz w:val="22"/>
          <w:szCs w:val="22"/>
        </w:rPr>
        <w:t xml:space="preserve">Inbound-email-parse webhook: dedicated tenant intake address receives an email with a resume attachment; the email provider's inbound-parse service posts the parsed MIME payload here.</w:t>
      </w:r>
    </w:p>
    <w:p>
      <w:pPr>
        <w:pStyle w:val="Heading3"/>
        <w:spacing w:after="80" w:before="160"/>
      </w:pPr>
      <w:r>
        <w:rPr>
          <w:rFonts w:ascii="Calibri" w:cs="Calibri" w:eastAsia="Calibri" w:hAnsi="Calibri"/>
          <w:b/>
          <w:bCs/>
          <w:color w:val="000000"/>
          <w:sz w:val="22"/>
          <w:szCs w:val="22"/>
        </w:rPr>
        <w:t xml:space="preserve">POST /api/v1/candidates/upload</w:t>
      </w:r>
    </w:p>
    <w:p>
      <w:pPr>
        <w:spacing w:after="160" w:line="300"/>
        <w:jc w:val="both"/>
      </w:pPr>
      <w:r>
        <w:rPr>
          <w:rFonts w:ascii="Calibri" w:cs="Calibri" w:eastAsia="Calibri" w:hAnsi="Calibri"/>
          <w:color w:val="1A1A1A"/>
          <w:sz w:val="22"/>
          <w:szCs w:val="22"/>
        </w:rPr>
        <w:t xml:space="preserve">Manual single/bulk upload path used by recruiters as the universal fallback for channels without an API.</w:t>
      </w:r>
    </w:p>
    <w:p>
      <w:pPr>
        <w:pStyle w:val="Heading3"/>
        <w:spacing w:after="80" w:before="160"/>
      </w:pPr>
      <w:r>
        <w:rPr>
          <w:rFonts w:ascii="Calibri" w:cs="Calibri" w:eastAsia="Calibri" w:hAnsi="Calibri"/>
          <w:b/>
          <w:bCs/>
          <w:color w:val="000000"/>
          <w:sz w:val="22"/>
          <w:szCs w:val="22"/>
        </w:rPr>
        <w:t xml:space="preserve">GET /api/v1/candidates/search</w:t>
      </w:r>
    </w:p>
    <w:p>
      <w:pPr>
        <w:spacing w:after="160" w:line="300"/>
        <w:jc w:val="both"/>
      </w:pPr>
      <w:r>
        <w:rPr>
          <w:rFonts w:ascii="Calibri" w:cs="Calibri" w:eastAsia="Calibri" w:hAnsi="Calibri"/>
          <w:color w:val="1A1A1A"/>
          <w:sz w:val="22"/>
          <w:szCs w:val="22"/>
        </w:rPr>
        <w:t xml:space="preserve">Full-text and filtered search across the tenant's candidate pool — backs the unified resume inbox and Module 2's candidate database search feature.</w:t>
      </w:r>
    </w:p>
    <w:p>
      <w:pPr>
        <w:shd w:fill="F7F7F7" w:color="auto" w:val="clear"/>
        <w:spacing w:after="100" w:line="260"/>
      </w:pPr>
      <w:r>
        <w:rPr>
          <w:rFonts w:ascii="Consolas" w:cs="Consolas" w:eastAsia="Consolas" w:hAnsi="Consolas"/>
          <w:color w:val="1A1A1A"/>
          <w:sz w:val="19"/>
          <w:szCs w:val="19"/>
        </w:rPr>
        <w:t xml:space="preserve">Query params: q, skills[], experience_min, experience_max, source_channel[], requisition_id, page, page_size</w:t>
      </w:r>
    </w:p>
    <w:p>
      <w:pPr>
        <w:spacing w:after="200"/>
      </w:pPr>
    </w:p>
    <w:p>
      <w:pPr>
        <w:pStyle w:val="Heading1"/>
        <w:spacing w:after="140" w:before="320"/>
      </w:pPr>
      <w:bookmarkStart w:name="bm_10_7_integration_specifications" w:id="1010"/>
      <w:r>
        <w:rPr>
          <w:rFonts w:ascii="Calibri" w:cs="Calibri" w:eastAsia="Calibri" w:hAnsi="Calibri"/>
          <w:b/>
          <w:bCs/>
          <w:color w:val="D34817"/>
          <w:sz w:val="30"/>
          <w:szCs w:val="30"/>
        </w:rPr>
        <w:t xml:space="preserve">7. Integration Specifications</w:t>
      </w:r>
      <w:bookmarkEnd w:id="1010"/>
    </w:p>
    <w:p>
      <w:pPr>
        <w:pStyle w:val="Heading3"/>
        <w:spacing w:after="80" w:before="160"/>
      </w:pPr>
      <w:r>
        <w:rPr>
          <w:rFonts w:ascii="Calibri" w:cs="Calibri" w:eastAsia="Calibri" w:hAnsi="Calibri"/>
          <w:b/>
          <w:bCs/>
          <w:color w:val="000000"/>
          <w:sz w:val="22"/>
          <w:szCs w:val="22"/>
        </w:rPr>
        <w:t xml:space="preserve">7.1 Naukri RMS</w:t>
      </w:r>
    </w:p>
    <w:p>
      <w:pPr>
        <w:pStyle w:val="ListParagraph"/>
        <w:numPr>
          <w:ilvl w:val="0"/>
          <w:numId w:val="2"/>
        </w:numPr>
        <w:spacing w:after="80" w:line="280"/>
      </w:pPr>
      <w:r>
        <w:rPr>
          <w:rFonts w:ascii="Calibri" w:cs="Calibri" w:eastAsia="Calibri" w:hAnsi="Calibri"/>
          <w:color w:val="1A1A1A"/>
          <w:sz w:val="22"/>
          <w:szCs w:val="22"/>
        </w:rPr>
        <w:t xml:space="preserve">Auth: OAuth2 client-credentials, per-tenant contracted employer account.</w:t>
      </w:r>
    </w:p>
    <w:p>
      <w:pPr>
        <w:pStyle w:val="ListParagraph"/>
        <w:numPr>
          <w:ilvl w:val="0"/>
          <w:numId w:val="2"/>
        </w:numPr>
        <w:spacing w:after="80" w:line="280"/>
      </w:pPr>
      <w:r>
        <w:rPr>
          <w:rFonts w:ascii="Calibri" w:cs="Calibri" w:eastAsia="Calibri" w:hAnsi="Calibri"/>
          <w:color w:val="1A1A1A"/>
          <w:sz w:val="22"/>
          <w:szCs w:val="22"/>
        </w:rPr>
        <w:t xml:space="preserve">Direction: confirm at vendor onboarding whether push (webhook) or poll is available under the contracted plan — Section 11 lists this as an open technical decision.</w:t>
      </w:r>
    </w:p>
    <w:p>
      <w:pPr>
        <w:pStyle w:val="ListParagraph"/>
        <w:numPr>
          <w:ilvl w:val="0"/>
          <w:numId w:val="2"/>
        </w:numPr>
        <w:spacing w:after="80" w:line="280"/>
      </w:pPr>
      <w:r>
        <w:rPr>
          <w:rFonts w:ascii="Calibri" w:cs="Calibri" w:eastAsia="Calibri" w:hAnsi="Calibri"/>
          <w:color w:val="1A1A1A"/>
          <w:sz w:val="22"/>
          <w:szCs w:val="22"/>
        </w:rPr>
        <w:t xml:space="preserve">Rate limits: respect vendor-published limits; Publish Service applies exponential backoff on 429 responses.</w:t>
      </w:r>
    </w:p>
    <w:p>
      <w:pPr>
        <w:pStyle w:val="Heading3"/>
        <w:spacing w:after="80" w:before="160"/>
      </w:pPr>
      <w:r>
        <w:rPr>
          <w:rFonts w:ascii="Calibri" w:cs="Calibri" w:eastAsia="Calibri" w:hAnsi="Calibri"/>
          <w:b/>
          <w:bCs/>
          <w:color w:val="000000"/>
          <w:sz w:val="22"/>
          <w:szCs w:val="22"/>
        </w:rPr>
        <w:t xml:space="preserve">7.2 LinkedIn Recruiter / Talent Solutions API</w:t>
      </w:r>
    </w:p>
    <w:p>
      <w:pPr>
        <w:pStyle w:val="ListParagraph"/>
        <w:numPr>
          <w:ilvl w:val="0"/>
          <w:numId w:val="2"/>
        </w:numPr>
        <w:spacing w:after="80" w:line="280"/>
      </w:pPr>
      <w:r>
        <w:rPr>
          <w:rFonts w:ascii="Calibri" w:cs="Calibri" w:eastAsia="Calibri" w:hAnsi="Calibri"/>
          <w:color w:val="1A1A1A"/>
          <w:sz w:val="22"/>
          <w:szCs w:val="22"/>
        </w:rPr>
        <w:t xml:space="preserve">Auth: OAuth2 authorization-code flow, requiring a per-tenant recruiter to grant consent once during channel setup.</w:t>
      </w:r>
    </w:p>
    <w:p>
      <w:pPr>
        <w:pStyle w:val="ListParagraph"/>
        <w:numPr>
          <w:ilvl w:val="0"/>
          <w:numId w:val="2"/>
        </w:numPr>
        <w:spacing w:after="80" w:line="280"/>
      </w:pPr>
      <w:r>
        <w:rPr>
          <w:rFonts w:ascii="Calibri" w:cs="Calibri" w:eastAsia="Calibri" w:hAnsi="Calibri"/>
          <w:color w:val="1A1A1A"/>
          <w:sz w:val="22"/>
          <w:szCs w:val="22"/>
        </w:rPr>
        <w:t xml:space="preserve">Token refresh handled by the channel adapter; a failed refresh marks the channel Integration Error and alerts the tenant admin without blocking other channels.</w:t>
      </w:r>
    </w:p>
    <w:p>
      <w:pPr>
        <w:pStyle w:val="Heading3"/>
        <w:spacing w:after="80" w:before="160"/>
      </w:pPr>
      <w:r>
        <w:rPr>
          <w:rFonts w:ascii="Calibri" w:cs="Calibri" w:eastAsia="Calibri" w:hAnsi="Calibri"/>
          <w:b/>
          <w:bCs/>
          <w:color w:val="000000"/>
          <w:sz w:val="22"/>
          <w:szCs w:val="22"/>
        </w:rPr>
        <w:t xml:space="preserve">7.3 Email Intake</w:t>
      </w:r>
    </w:p>
    <w:p>
      <w:pPr>
        <w:pStyle w:val="ListParagraph"/>
        <w:numPr>
          <w:ilvl w:val="0"/>
          <w:numId w:val="2"/>
        </w:numPr>
        <w:spacing w:after="80" w:line="280"/>
      </w:pPr>
      <w:r>
        <w:rPr>
          <w:rFonts w:ascii="Calibri" w:cs="Calibri" w:eastAsia="Calibri" w:hAnsi="Calibri"/>
          <w:color w:val="1A1A1A"/>
          <w:sz w:val="22"/>
          <w:szCs w:val="22"/>
        </w:rPr>
        <w:t xml:space="preserve">A dedicated per-tenant intake address, provisioned at tenant setup, routed through a transactional-email provider's inbound-parse webhook (e.g. SendGrid Inbound Parse or equivalent).</w:t>
      </w:r>
    </w:p>
    <w:p>
      <w:pPr>
        <w:pStyle w:val="ListParagraph"/>
        <w:numPr>
          <w:ilvl w:val="0"/>
          <w:numId w:val="2"/>
        </w:numPr>
        <w:spacing w:after="80" w:line="280"/>
      </w:pPr>
      <w:r>
        <w:rPr>
          <w:rFonts w:ascii="Calibri" w:cs="Calibri" w:eastAsia="Calibri" w:hAnsi="Calibri"/>
          <w:color w:val="1A1A1A"/>
          <w:sz w:val="22"/>
          <w:szCs w:val="22"/>
        </w:rPr>
        <w:t xml:space="preserve">Attachment extraction feeds the Resume Parsing Service; the email body itself is retained for audit but is not parsed for structured fields.</w:t>
      </w:r>
    </w:p>
    <w:p>
      <w:pPr>
        <w:pStyle w:val="Heading3"/>
        <w:spacing w:after="80" w:before="160"/>
      </w:pPr>
      <w:r>
        <w:rPr>
          <w:rFonts w:ascii="Calibri" w:cs="Calibri" w:eastAsia="Calibri" w:hAnsi="Calibri"/>
          <w:b/>
          <w:bCs/>
          <w:color w:val="000000"/>
          <w:sz w:val="22"/>
          <w:szCs w:val="22"/>
        </w:rPr>
        <w:t xml:space="preserve">7.4 Resume Parsing Service</w:t>
      </w:r>
    </w:p>
    <w:p>
      <w:pPr>
        <w:pStyle w:val="ListParagraph"/>
        <w:numPr>
          <w:ilvl w:val="0"/>
          <w:numId w:val="2"/>
        </w:numPr>
        <w:spacing w:after="80" w:line="280"/>
      </w:pPr>
      <w:r>
        <w:rPr>
          <w:rFonts w:ascii="Calibri" w:cs="Calibri" w:eastAsia="Calibri" w:hAnsi="Calibri"/>
          <w:color w:val="1A1A1A"/>
          <w:sz w:val="22"/>
          <w:szCs w:val="22"/>
        </w:rPr>
        <w:t xml:space="preserve">Accepts PDF/DOCX; returns structured JSON (contact, work history, skills, education) with a per-field confidence score, consistent with the JDField confidence model in Module 1.</w:t>
      </w:r>
    </w:p>
    <w:p>
      <w:pPr>
        <w:pStyle w:val="ListParagraph"/>
        <w:numPr>
          <w:ilvl w:val="0"/>
          <w:numId w:val="2"/>
        </w:numPr>
        <w:spacing w:after="80" w:line="280"/>
      </w:pPr>
      <w:r>
        <w:rPr>
          <w:rFonts w:ascii="Calibri" w:cs="Calibri" w:eastAsia="Calibri" w:hAnsi="Calibri"/>
          <w:color w:val="1A1A1A"/>
          <w:sz w:val="22"/>
          <w:szCs w:val="22"/>
        </w:rPr>
        <w:t xml:space="preserve">Build-vs-buy is an open decision — see Section 11.</w:t>
      </w:r>
    </w:p>
    <w:p>
      <w:pPr>
        <w:spacing w:after="200"/>
      </w:pPr>
    </w:p>
    <w:p>
      <w:pPr>
        <w:pStyle w:val="Heading1"/>
        <w:spacing w:after="140" w:before="320"/>
      </w:pPr>
      <w:bookmarkStart w:name="bm_11_8_sequence_flows" w:id="1011"/>
      <w:r>
        <w:rPr>
          <w:rFonts w:ascii="Calibri" w:cs="Calibri" w:eastAsia="Calibri" w:hAnsi="Calibri"/>
          <w:b/>
          <w:bCs/>
          <w:color w:val="D34817"/>
          <w:sz w:val="30"/>
          <w:szCs w:val="30"/>
        </w:rPr>
        <w:t xml:space="preserve">8. Sequence Flows</w:t>
      </w:r>
      <w:bookmarkEnd w:id="1011"/>
    </w:p>
    <w:p>
      <w:pPr>
        <w:pStyle w:val="Heading3"/>
        <w:spacing w:after="80" w:before="160"/>
      </w:pPr>
      <w:r>
        <w:rPr>
          <w:rFonts w:ascii="Calibri" w:cs="Calibri" w:eastAsia="Calibri" w:hAnsi="Calibri"/>
          <w:b/>
          <w:bCs/>
          <w:color w:val="000000"/>
          <w:sz w:val="22"/>
          <w:szCs w:val="22"/>
        </w:rPr>
        <w:t xml:space="preserve">8.1 Module 1 — JD Intake to Freeze</w:t>
      </w:r>
    </w:p>
    <w:p>
      <w:pPr>
        <w:pStyle w:val="ListParagraph"/>
        <w:numPr>
          <w:ilvl w:val="0"/>
          <w:numId w:val="3"/>
        </w:numPr>
        <w:spacing w:after="80" w:line="280"/>
      </w:pPr>
      <w:r>
        <w:rPr>
          <w:rFonts w:ascii="Calibri" w:cs="Calibri" w:eastAsia="Calibri" w:hAnsi="Calibri"/>
          <w:color w:val="1A1A1A"/>
          <w:sz w:val="22"/>
          <w:szCs w:val="22"/>
        </w:rPr>
        <w:t xml:space="preserve">Manager → Email/Portal: submits raw brief.</w:t>
      </w:r>
    </w:p>
    <w:p>
      <w:pPr>
        <w:pStyle w:val="ListParagraph"/>
        <w:numPr>
          <w:ilvl w:val="0"/>
          <w:numId w:val="3"/>
        </w:numPr>
        <w:spacing w:after="80" w:line="280"/>
      </w:pPr>
      <w:r>
        <w:rPr>
          <w:rFonts w:ascii="Calibri" w:cs="Calibri" w:eastAsia="Calibri" w:hAnsi="Calibri"/>
          <w:color w:val="1A1A1A"/>
          <w:sz w:val="22"/>
          <w:szCs w:val="22"/>
        </w:rPr>
        <w:t xml:space="preserve">Requisition Service: creates JobRequisition (status Draft) and JDBrief record.</w:t>
      </w:r>
    </w:p>
    <w:p>
      <w:pPr>
        <w:pStyle w:val="ListParagraph"/>
        <w:numPr>
          <w:ilvl w:val="0"/>
          <w:numId w:val="3"/>
        </w:numPr>
        <w:spacing w:after="80" w:line="280"/>
      </w:pPr>
      <w:r>
        <w:rPr>
          <w:rFonts w:ascii="Calibri" w:cs="Calibri" w:eastAsia="Calibri" w:hAnsi="Calibri"/>
          <w:color w:val="1A1A1A"/>
          <w:sz w:val="22"/>
          <w:szCs w:val="22"/>
        </w:rPr>
        <w:t xml:space="preserve">JD Generation Service: runs NLP extraction → JDField records; generates 2–3 JDVersion drafts.</w:t>
      </w:r>
    </w:p>
    <w:p>
      <w:pPr>
        <w:pStyle w:val="ListParagraph"/>
        <w:numPr>
          <w:ilvl w:val="0"/>
          <w:numId w:val="3"/>
        </w:numPr>
        <w:spacing w:after="80" w:line="280"/>
      </w:pPr>
      <w:r>
        <w:rPr>
          <w:rFonts w:ascii="Calibri" w:cs="Calibri" w:eastAsia="Calibri" w:hAnsi="Calibri"/>
          <w:color w:val="1A1A1A"/>
          <w:sz w:val="22"/>
          <w:szCs w:val="22"/>
        </w:rPr>
        <w:t xml:space="preserve">Notification Service: emails manager, updates portal Pending JD Approval queue.</w:t>
      </w:r>
    </w:p>
    <w:p>
      <w:pPr>
        <w:pStyle w:val="ListParagraph"/>
        <w:numPr>
          <w:ilvl w:val="0"/>
          <w:numId w:val="3"/>
        </w:numPr>
        <w:spacing w:after="80" w:line="280"/>
      </w:pPr>
      <w:r>
        <w:rPr>
          <w:rFonts w:ascii="Calibri" w:cs="Calibri" w:eastAsia="Calibri" w:hAnsi="Calibri"/>
          <w:color w:val="1A1A1A"/>
          <w:sz w:val="22"/>
          <w:szCs w:val="22"/>
        </w:rPr>
        <w:t xml:space="preserve">Manager → Email reply or Portal edit: feedback submitted via POST .../feedback.</w:t>
      </w:r>
    </w:p>
    <w:p>
      <w:pPr>
        <w:pStyle w:val="ListParagraph"/>
        <w:numPr>
          <w:ilvl w:val="0"/>
          <w:numId w:val="3"/>
        </w:numPr>
        <w:spacing w:after="80" w:line="280"/>
      </w:pPr>
      <w:r>
        <w:rPr>
          <w:rFonts w:ascii="Calibri" w:cs="Calibri" w:eastAsia="Calibri" w:hAnsi="Calibri"/>
          <w:color w:val="1A1A1A"/>
          <w:sz w:val="22"/>
          <w:szCs w:val="22"/>
        </w:rPr>
        <w:t xml:space="preserve">JD Generation Service: parses feedback into a structured diff → new JDVersion (status Revising). Loop to step 4 until manager freezes.</w:t>
      </w:r>
    </w:p>
    <w:p>
      <w:pPr>
        <w:pStyle w:val="ListParagraph"/>
        <w:numPr>
          <w:ilvl w:val="0"/>
          <w:numId w:val="3"/>
        </w:numPr>
        <w:spacing w:after="80" w:line="280"/>
      </w:pPr>
      <w:r>
        <w:rPr>
          <w:rFonts w:ascii="Calibri" w:cs="Calibri" w:eastAsia="Calibri" w:hAnsi="Calibri"/>
          <w:color w:val="1A1A1A"/>
          <w:sz w:val="22"/>
          <w:szCs w:val="22"/>
        </w:rPr>
        <w:t xml:space="preserve">SLA Scheduler: if no manager response within the configured window, triggers a reminder, then an HR escalation notification.</w:t>
      </w:r>
    </w:p>
    <w:p>
      <w:pPr>
        <w:pStyle w:val="ListParagraph"/>
        <w:numPr>
          <w:ilvl w:val="0"/>
          <w:numId w:val="3"/>
        </w:numPr>
        <w:spacing w:after="80" w:line="280"/>
      </w:pPr>
      <w:r>
        <w:rPr>
          <w:rFonts w:ascii="Calibri" w:cs="Calibri" w:eastAsia="Calibri" w:hAnsi="Calibri"/>
          <w:color w:val="1A1A1A"/>
          <w:sz w:val="22"/>
          <w:szCs w:val="22"/>
        </w:rPr>
        <w:t xml:space="preserve">Manager → POST .../freeze: approves final version and confirms matrix weights.</w:t>
      </w:r>
    </w:p>
    <w:p>
      <w:pPr>
        <w:pStyle w:val="ListParagraph"/>
        <w:numPr>
          <w:ilvl w:val="0"/>
          <w:numId w:val="3"/>
        </w:numPr>
        <w:spacing w:after="80" w:line="280"/>
      </w:pPr>
      <w:r>
        <w:rPr>
          <w:rFonts w:ascii="Calibri" w:cs="Calibri" w:eastAsia="Calibri" w:hAnsi="Calibri"/>
          <w:color w:val="1A1A1A"/>
          <w:sz w:val="22"/>
          <w:szCs w:val="22"/>
        </w:rPr>
        <w:t xml:space="preserve">Scoring Matrix Service: persists ScoringMatrix + ScoringCriterion, marks JDVersion is_frozen = true, sets JobRequisition.status = Frozen_Open.</w:t>
      </w:r>
    </w:p>
    <w:p>
      <w:pPr>
        <w:pStyle w:val="ListParagraph"/>
        <w:numPr>
          <w:ilvl w:val="0"/>
          <w:numId w:val="3"/>
        </w:numPr>
        <w:spacing w:after="80" w:line="280"/>
      </w:pPr>
      <w:r>
        <w:rPr>
          <w:rFonts w:ascii="Calibri" w:cs="Calibri" w:eastAsia="Calibri" w:hAnsi="Calibri"/>
          <w:color w:val="1A1A1A"/>
          <w:sz w:val="22"/>
          <w:szCs w:val="22"/>
        </w:rPr>
        <w:t xml:space="preserve">Requisition Service: emits requisition.frozen event, consumed by the Module 2 Publish Service.</w:t>
      </w:r>
    </w:p>
    <w:p>
      <w:pPr>
        <w:pStyle w:val="Heading3"/>
        <w:spacing w:after="80" w:before="160"/>
      </w:pPr>
      <w:r>
        <w:rPr>
          <w:rFonts w:ascii="Calibri" w:cs="Calibri" w:eastAsia="Calibri" w:hAnsi="Calibri"/>
          <w:b/>
          <w:bCs/>
          <w:color w:val="000000"/>
          <w:sz w:val="22"/>
          <w:szCs w:val="22"/>
        </w:rPr>
        <w:t xml:space="preserve">8.2 Module 2 — Publish to Unified Candidate Record</w:t>
      </w:r>
    </w:p>
    <w:p>
      <w:pPr>
        <w:pStyle w:val="ListParagraph"/>
        <w:numPr>
          <w:ilvl w:val="0"/>
          <w:numId w:val="4"/>
        </w:numPr>
        <w:spacing w:after="80" w:line="280"/>
      </w:pPr>
      <w:r>
        <w:rPr>
          <w:rFonts w:ascii="Calibri" w:cs="Calibri" w:eastAsia="Calibri" w:hAnsi="Calibri"/>
          <w:color w:val="1A1A1A"/>
          <w:sz w:val="22"/>
          <w:szCs w:val="22"/>
        </w:rPr>
        <w:t xml:space="preserve">Publish Service: consumes requisition.frozen; calls each active channel adapter for the tenant.</w:t>
      </w:r>
    </w:p>
    <w:p>
      <w:pPr>
        <w:pStyle w:val="ListParagraph"/>
        <w:numPr>
          <w:ilvl w:val="0"/>
          <w:numId w:val="4"/>
        </w:numPr>
        <w:spacing w:after="80" w:line="280"/>
      </w:pPr>
      <w:r>
        <w:rPr>
          <w:rFonts w:ascii="Calibri" w:cs="Calibri" w:eastAsia="Calibri" w:hAnsi="Calibri"/>
          <w:color w:val="1A1A1A"/>
          <w:sz w:val="22"/>
          <w:szCs w:val="22"/>
        </w:rPr>
        <w:t xml:space="preserve">Channel Adapter (Naukri RMS / LinkedIn / email / manual / referral): posts the requisition or begins listening/polling for applications.</w:t>
      </w:r>
    </w:p>
    <w:p>
      <w:pPr>
        <w:pStyle w:val="ListParagraph"/>
        <w:numPr>
          <w:ilvl w:val="0"/>
          <w:numId w:val="4"/>
        </w:numPr>
        <w:spacing w:after="80" w:line="280"/>
      </w:pPr>
      <w:r>
        <w:rPr>
          <w:rFonts w:ascii="Calibri" w:cs="Calibri" w:eastAsia="Calibri" w:hAnsi="Calibri"/>
          <w:color w:val="1A1A1A"/>
          <w:sz w:val="22"/>
          <w:szCs w:val="22"/>
        </w:rPr>
        <w:t xml:space="preserve">Inbound application/resume arrives via webhook, poll result, or manual upload.</w:t>
      </w:r>
    </w:p>
    <w:p>
      <w:pPr>
        <w:pStyle w:val="ListParagraph"/>
        <w:numPr>
          <w:ilvl w:val="0"/>
          <w:numId w:val="4"/>
        </w:numPr>
        <w:spacing w:after="80" w:line="280"/>
      </w:pPr>
      <w:r>
        <w:rPr>
          <w:rFonts w:ascii="Calibri" w:cs="Calibri" w:eastAsia="Calibri" w:hAnsi="Calibri"/>
          <w:color w:val="1A1A1A"/>
          <w:sz w:val="22"/>
          <w:szCs w:val="22"/>
        </w:rPr>
        <w:t xml:space="preserve">Resume Parsing Service: extracts structured candidate fields; tags source_channel.</w:t>
      </w:r>
    </w:p>
    <w:p>
      <w:pPr>
        <w:pStyle w:val="ListParagraph"/>
        <w:numPr>
          <w:ilvl w:val="0"/>
          <w:numId w:val="4"/>
        </w:numPr>
        <w:spacing w:after="80" w:line="280"/>
      </w:pPr>
      <w:r>
        <w:rPr>
          <w:rFonts w:ascii="Calibri" w:cs="Calibri" w:eastAsia="Calibri" w:hAnsi="Calibri"/>
          <w:color w:val="1A1A1A"/>
          <w:sz w:val="22"/>
          <w:szCs w:val="22"/>
        </w:rPr>
        <w:t xml:space="preserve">Dedupe Service: checks against existing Candidate records for the tenant (see Section 9 for match logic); links to an existing record or creates a new one.</w:t>
      </w:r>
    </w:p>
    <w:p>
      <w:pPr>
        <w:pStyle w:val="ListParagraph"/>
        <w:numPr>
          <w:ilvl w:val="0"/>
          <w:numId w:val="4"/>
        </w:numPr>
        <w:spacing w:after="80" w:line="280"/>
      </w:pPr>
      <w:r>
        <w:rPr>
          <w:rFonts w:ascii="Calibri" w:cs="Calibri" w:eastAsia="Calibri" w:hAnsi="Calibri"/>
          <w:color w:val="1A1A1A"/>
          <w:sz w:val="22"/>
          <w:szCs w:val="22"/>
        </w:rPr>
        <w:t xml:space="preserve">Candidate Store: persists/updates Candidate and Application; Unified Inbox Index makes the record searchable.</w:t>
      </w:r>
    </w:p>
    <w:p>
      <w:pPr>
        <w:spacing w:after="200"/>
      </w:pPr>
    </w:p>
    <w:p>
      <w:pPr>
        <w:pStyle w:val="Heading1"/>
        <w:spacing w:after="140" w:before="320"/>
      </w:pPr>
      <w:bookmarkStart w:name="bm_12_9_non_functional_technical_con" w:id="1012"/>
      <w:r>
        <w:rPr>
          <w:rFonts w:ascii="Calibri" w:cs="Calibri" w:eastAsia="Calibri" w:hAnsi="Calibri"/>
          <w:b/>
          <w:bCs/>
          <w:color w:val="D34817"/>
          <w:sz w:val="30"/>
          <w:szCs w:val="30"/>
        </w:rPr>
        <w:t xml:space="preserve">9. Non-Functional / Technical Considerations</w:t>
      </w:r>
      <w:bookmarkEnd w:id="1012"/>
    </w:p>
    <w:p>
      <w:pPr>
        <w:pStyle w:val="ListParagraph"/>
        <w:numPr>
          <w:ilvl w:val="0"/>
          <w:numId w:val="2"/>
        </w:numPr>
        <w:spacing w:after="80" w:line="280"/>
      </w:pPr>
      <w:r>
        <w:rPr>
          <w:rFonts w:ascii="Calibri" w:cs="Calibri" w:eastAsia="Calibri" w:hAnsi="Calibri"/>
          <w:color w:val="1A1A1A"/>
          <w:sz w:val="22"/>
          <w:szCs w:val="22"/>
        </w:rPr>
        <w:t xml:space="preserve">Idempotency: every inbound webhook endpoint (Naukri RMS, LinkedIn, email intake) is keyed on (channel_type, external_id) so a vendor retry does not create a duplicate Candidate/Application.</w:t>
      </w:r>
    </w:p>
    <w:p>
      <w:pPr>
        <w:pStyle w:val="ListParagraph"/>
        <w:numPr>
          <w:ilvl w:val="0"/>
          <w:numId w:val="2"/>
        </w:numPr>
        <w:spacing w:after="80" w:line="280"/>
      </w:pPr>
      <w:r>
        <w:rPr>
          <w:rFonts w:ascii="Calibri" w:cs="Calibri" w:eastAsia="Calibri" w:hAnsi="Calibri"/>
          <w:color w:val="1A1A1A"/>
          <w:sz w:val="22"/>
          <w:szCs w:val="22"/>
        </w:rPr>
        <w:t xml:space="preserve">JD immutability: a frozen JDVersion is enforced read-only at both the application layer and a database-level constraint — not application-logic discipline alone.</w:t>
      </w:r>
    </w:p>
    <w:p>
      <w:pPr>
        <w:pStyle w:val="ListParagraph"/>
        <w:numPr>
          <w:ilvl w:val="0"/>
          <w:numId w:val="2"/>
        </w:numPr>
        <w:spacing w:after="80" w:line="280"/>
      </w:pPr>
      <w:r>
        <w:rPr>
          <w:rFonts w:ascii="Calibri" w:cs="Calibri" w:eastAsia="Calibri" w:hAnsi="Calibri"/>
          <w:color w:val="1A1A1A"/>
          <w:sz w:val="22"/>
          <w:szCs w:val="22"/>
        </w:rPr>
        <w:t xml:space="preserve">NLP confidence threshold: tenant-configurable, default 0.75; any JDField below threshold forces manager_confirmed = false and blocks freeze until resolved.</w:t>
      </w:r>
    </w:p>
    <w:p>
      <w:pPr>
        <w:pStyle w:val="ListParagraph"/>
        <w:numPr>
          <w:ilvl w:val="0"/>
          <w:numId w:val="2"/>
        </w:numPr>
        <w:spacing w:after="80" w:line="280"/>
      </w:pPr>
      <w:r>
        <w:rPr>
          <w:rFonts w:ascii="Calibri" w:cs="Calibri" w:eastAsia="Calibri" w:hAnsi="Calibri"/>
          <w:color w:val="1A1A1A"/>
          <w:sz w:val="22"/>
          <w:szCs w:val="22"/>
        </w:rPr>
        <w:t xml:space="preserve">SLA escalation: implemented as a scheduled job (not a request-time check) polling PendingApproval requisitions against their configured SLA window.</w:t>
      </w:r>
    </w:p>
    <w:p>
      <w:pPr>
        <w:pStyle w:val="ListParagraph"/>
        <w:numPr>
          <w:ilvl w:val="0"/>
          <w:numId w:val="2"/>
        </w:numPr>
        <w:spacing w:after="80" w:line="280"/>
      </w:pPr>
      <w:r>
        <w:rPr>
          <w:rFonts w:ascii="Calibri" w:cs="Calibri" w:eastAsia="Calibri" w:hAnsi="Calibri"/>
          <w:color w:val="1A1A1A"/>
          <w:sz w:val="22"/>
          <w:szCs w:val="22"/>
        </w:rPr>
        <w:t xml:space="preserve">Dedupe matching order: exact match on email, then exact match on phone (both high-confidence, auto-link), then content-similarity scoring on parsed resume text (e.g. embedding cosine similarity) for a manual-review confidence band rather than an auto-link — false positives here would silently merge two different candidates.</w:t>
      </w:r>
    </w:p>
    <w:p>
      <w:pPr>
        <w:pStyle w:val="ListParagraph"/>
        <w:numPr>
          <w:ilvl w:val="0"/>
          <w:numId w:val="2"/>
        </w:numPr>
        <w:spacing w:after="80" w:line="280"/>
      </w:pPr>
      <w:r>
        <w:rPr>
          <w:rFonts w:ascii="Calibri" w:cs="Calibri" w:eastAsia="Calibri" w:hAnsi="Calibri"/>
          <w:color w:val="1A1A1A"/>
          <w:sz w:val="22"/>
          <w:szCs w:val="22"/>
        </w:rPr>
        <w:t xml:space="preserve">Vendor rate limits: all channel adapters implement exponential backoff and surface a distinct Integration Error channel status so one vendor outage never blocks other channels or the unified inbox.</w:t>
      </w:r>
    </w:p>
    <w:p>
      <w:pPr>
        <w:spacing w:after="200"/>
      </w:pPr>
    </w:p>
    <w:p>
      <w:pPr>
        <w:pStyle w:val="Heading1"/>
        <w:spacing w:after="140" w:before="320"/>
      </w:pPr>
      <w:bookmarkStart w:name="bm_13_10_error_handling_edge_cases" w:id="1013"/>
      <w:r>
        <w:rPr>
          <w:rFonts w:ascii="Calibri" w:cs="Calibri" w:eastAsia="Calibri" w:hAnsi="Calibri"/>
          <w:b/>
          <w:bCs/>
          <w:color w:val="D34817"/>
          <w:sz w:val="30"/>
          <w:szCs w:val="30"/>
        </w:rPr>
        <w:t xml:space="preserve">10. Error Handling &amp; Edge Cases</w:t>
      </w:r>
      <w:bookmarkEnd w:id="1013"/>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Scenario</w:t>
            </w:r>
          </w:p>
        </w:tc>
        <w:tc>
          <w:tcPr>
            <w:tcW w:type="dxa" w:w="6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Handling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fails entirely on a brief</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remains in Draft; manager is offered a manual structured-entry form as a fallback rather than a blocked pipeline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Job-board API authentication failure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marked Integration Error; other channels continue publishing; tenant admin is alerted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attempts to edit a frozen JD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the API layer (409); the correct path is a new version via the standard feedback/edit flow, which reopens approval rather than mutating the frozen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Duplicate-detection false positive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can mark a DuplicateMatch as resolved=true with an explicit "not a duplicate" override, which is retained for audit</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Matrix weights submitted not summing to 100</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Freeze request rejected (409) with the offending total returned, rather than silently normalizing</w:t>
            </w:r>
          </w:p>
        </w:tc>
      </w:tr>
    </w:tbl>
    <w:p>
      <w:pPr>
        <w:spacing w:after="200"/>
      </w:pPr>
    </w:p>
    <w:p>
      <w:pPr>
        <w:pStyle w:val="Heading1"/>
        <w:spacing w:after="140" w:before="320"/>
      </w:pPr>
      <w:bookmarkStart w:name="bm_14_11_open_technical_decisions_de" w:id="1014"/>
      <w:r>
        <w:rPr>
          <w:rFonts w:ascii="Calibri" w:cs="Calibri" w:eastAsia="Calibri" w:hAnsi="Calibri"/>
          <w:b/>
          <w:bCs/>
          <w:color w:val="D34817"/>
          <w:sz w:val="30"/>
          <w:szCs w:val="30"/>
        </w:rPr>
        <w:t xml:space="preserve">11. Open Technical Decisions / Dependencies</w:t>
      </w:r>
      <w:bookmarkEnd w:id="1014"/>
    </w:p>
    <w:p>
      <w:pPr>
        <w:pStyle w:val="ListParagraph"/>
        <w:numPr>
          <w:ilvl w:val="0"/>
          <w:numId w:val="5"/>
        </w:numPr>
        <w:spacing w:after="80" w:line="280"/>
      </w:pPr>
      <w:r>
        <w:rPr>
          <w:rFonts w:ascii="Calibri" w:cs="Calibri" w:eastAsia="Calibri" w:hAnsi="Calibri"/>
          <w:color w:val="1A1A1A"/>
          <w:sz w:val="22"/>
          <w:szCs w:val="22"/>
        </w:rPr>
        <w:t xml:space="preserve">Naukri RMS integration direction — confirm push (webhook) vs. poll availability under the contracted plan.</w:t>
      </w:r>
    </w:p>
    <w:p>
      <w:pPr>
        <w:pStyle w:val="ListParagraph"/>
        <w:numPr>
          <w:ilvl w:val="0"/>
          <w:numId w:val="5"/>
        </w:numPr>
        <w:spacing w:after="80" w:line="280"/>
      </w:pPr>
      <w:r>
        <w:rPr>
          <w:rFonts w:ascii="Calibri" w:cs="Calibri" w:eastAsia="Calibri" w:hAnsi="Calibri"/>
          <w:color w:val="1A1A1A"/>
          <w:sz w:val="22"/>
          <w:szCs w:val="22"/>
        </w:rPr>
        <w:t xml:space="preserve">Resume-parsing provider — build an in-house parser vs. license a third-party resume-parsing API.</w:t>
      </w:r>
    </w:p>
    <w:p>
      <w:pPr>
        <w:pStyle w:val="ListParagraph"/>
        <w:numPr>
          <w:ilvl w:val="0"/>
          <w:numId w:val="5"/>
        </w:numPr>
        <w:spacing w:after="80" w:line="280"/>
      </w:pPr>
      <w:r>
        <w:rPr>
          <w:rFonts w:ascii="Calibri" w:cs="Calibri" w:eastAsia="Calibri" w:hAnsi="Calibri"/>
          <w:color w:val="1A1A1A"/>
          <w:sz w:val="22"/>
          <w:szCs w:val="22"/>
        </w:rPr>
        <w:t xml:space="preserve">NLP model for brief-to-schema extraction — an in-house fine-tuned model vs. a third-party LLM API, and the associated per-tenant data-residency implications under the DPDP Act.</w:t>
      </w:r>
    </w:p>
    <w:p>
      <w:pPr>
        <w:pStyle w:val="ListParagraph"/>
        <w:numPr>
          <w:ilvl w:val="0"/>
          <w:numId w:val="5"/>
        </w:numPr>
        <w:spacing w:after="80" w:line="280"/>
      </w:pPr>
      <w:r>
        <w:rPr>
          <w:rFonts w:ascii="Calibri" w:cs="Calibri" w:eastAsia="Calibri" w:hAnsi="Calibri"/>
          <w:color w:val="1A1A1A"/>
          <w:sz w:val="22"/>
          <w:szCs w:val="22"/>
        </w:rPr>
        <w:t xml:space="preserve">Similarity-search infrastructure for duplicate detection — pgvector on the existing PostgreSQL instance vs. a dedicated vector-search service, driven by expected candidate-pool scale per tenant.</w:t>
      </w:r>
    </w:p>
    <w:p>
      <w:pPr>
        <w:pStyle w:val="ListParagraph"/>
        <w:numPr>
          <w:ilvl w:val="0"/>
          <w:numId w:val="5"/>
        </w:numPr>
        <w:spacing w:after="80" w:line="280"/>
      </w:pPr>
      <w:r>
        <w:rPr>
          <w:rFonts w:ascii="Calibri" w:cs="Calibri" w:eastAsia="Calibri" w:hAnsi="Calibri"/>
          <w:color w:val="1A1A1A"/>
          <w:sz w:val="22"/>
          <w:szCs w:val="22"/>
        </w:rPr>
        <w:t xml:space="preserve">Default and tenant-configurable bounds for the NLP confidence threshold and the SLA escalation window.</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DESIGN (HLD/LLD)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2026-09-10T07:58:05.295Z</dcterms:created>
  <dcterms:modified xsi:type="dcterms:W3CDTF">2026-09-10T07:58:05.295Z</dcterms:modified>
</cp:coreProperties>
</file>

<file path=docProps/custom.xml><?xml version="1.0" encoding="utf-8"?>
<Properties xmlns="http://schemas.openxmlformats.org/officeDocument/2006/custom-properties" xmlns:vt="http://schemas.openxmlformats.org/officeDocument/2006/docPropsVTypes"/>
</file>