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drawing>
          <wp:inline distT="0" distB="0" distL="0" distR="0">
            <wp:extent cx="16192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619250" cy="571500"/>
                    </a:xfrm>
                    <a:prstGeom prst="rect">
                      <a:avLst/>
                    </a:prstGeom>
                  </pic:spPr>
                </pic:pic>
              </a:graphicData>
            </a:graphic>
          </wp:inline>
        </w:drawing>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FFFFFF" w:sz="0"/>
              <w:left w:val="none" w:color="FFFFFF" w:sz="0"/>
              <w:bottom w:val="none" w:color="FFFFFF" w:sz="0"/>
              <w:right w:val="none" w:color="FFFFFF" w:sz="0"/>
            </w:tcBorders>
            <w:shd w:fill="D34817" w:color="auto" w:val="clear"/>
            <w:tcMar>
              <w:top w:type="dxa" w:w="300"/>
              <w:left w:type="dxa" w:w="300"/>
              <w:bottom w:type="dxa" w:w="300"/>
              <w:right w:type="dxa" w:w="300"/>
            </w:tcMar>
          </w:tcPr>
          <w:p>
            <w:pPr>
              <w:spacing w:after="80"/>
              <w:jc w:val="center"/>
            </w:pPr>
            <w:r>
              <w:rPr>
                <w:rFonts w:ascii="Calibri" w:cs="Calibri" w:eastAsia="Calibri" w:hAnsi="Calibri"/>
                <w:b/>
                <w:bCs/>
                <w:color w:val="FFFFFF"/>
                <w:sz w:val="40"/>
                <w:szCs w:val="40"/>
              </w:rPr>
              <w:t xml:space="preserve">Phoneme SDLC Operating Procedure</w:t>
            </w:r>
          </w:p>
          <w:p>
            <w:pPr>
              <w:jc w:val="center"/>
            </w:pPr>
            <w:r>
              <w:rPr>
                <w:rFonts w:ascii="Calibri" w:cs="Calibri" w:eastAsia="Calibri" w:hAnsi="Calibri"/>
                <w:color w:val="FFFFFF"/>
                <w:sz w:val="26"/>
                <w:szCs w:val="26"/>
              </w:rPr>
              <w:t xml:space="preserve">Development → Staging → QA Test Execution → CI/CD → Production Release Framework</w:t>
            </w:r>
          </w:p>
        </w:tc>
      </w:tr>
      <w:tr>
        <w:tc>
          <w:tcPr>
            <w:tcBorders>
              <w:top w:val="none" w:color="FFFFFF" w:sz="0"/>
              <w:left w:val="none" w:color="FFFFFF" w:sz="0"/>
              <w:bottom w:val="none" w:color="FFFFFF" w:sz="0"/>
              <w:right w:val="none" w:color="FFFFFF" w:sz="0"/>
            </w:tcBorders>
            <w:shd w:fill="8C8C8C" w:color="auto" w:val="clear"/>
          </w:tcPr>
          <w:p>
            <w:r>
              <w:rPr>
                <w:sz w:val="4"/>
                <w:szCs w:val="4"/>
              </w:rPr>
              <w:t xml:space="preserve"> </w:t>
            </w:r>
          </w:p>
        </w:tc>
      </w:tr>
    </w:tbl>
    <w:p>
      <w:pPr>
        <w:spacing w:after="500"/>
      </w:pPr>
    </w:p>
    <w:p>
      <w:pPr>
        <w:spacing w:after="2000"/>
        <w:jc w:val="center"/>
      </w:pPr>
      <w:r>
        <w:rPr>
          <w:rFonts w:ascii="Calibri" w:cs="Calibri" w:eastAsia="Calibri" w:hAnsi="Calibri"/>
          <w:b/>
          <w:bCs/>
          <w:color w:val="000000"/>
          <w:sz w:val="26"/>
          <w:szCs w:val="26"/>
        </w:rPr>
        <w:t xml:space="preserve">STANDARD OPERATING PROCEDURE</w:t>
      </w:r>
    </w:p>
    <w:p>
      <w:pPr>
        <w:spacing w:after="2200"/>
      </w:pPr>
    </w:p>
    <w:p>
      <w:pPr>
        <w:spacing w:after="60"/>
        <w:jc w:val="center"/>
      </w:pPr>
      <w:r>
        <w:rPr>
          <w:rFonts w:ascii="Calibri" w:cs="Calibri" w:eastAsia="Calibri" w:hAnsi="Calibri"/>
          <w:b/>
          <w:bCs/>
          <w:color w:val="D34817"/>
          <w:sz w:val="22"/>
          <w:szCs w:val="22"/>
        </w:rPr>
        <w:t xml:space="preserve">PHN-SDLC-2026-01-SOP</w:t>
      </w:r>
    </w:p>
    <w:p>
      <w:pPr>
        <w:spacing w:after="60"/>
        <w:jc w:val="center"/>
      </w:pPr>
      <w:r>
        <w:rPr>
          <w:rFonts w:ascii="Calibri" w:cs="Calibri" w:eastAsia="Calibri" w:hAnsi="Calibri"/>
          <w:color w:val="1A1A1A"/>
          <w:sz w:val="20"/>
          <w:szCs w:val="20"/>
        </w:rPr>
        <w:t xml:space="preserve">September 2026</w:t>
      </w:r>
    </w:p>
    <w:p>
      <w:pPr>
        <w:spacing w:after="60"/>
        <w:jc w:val="center"/>
      </w:pPr>
      <w:r>
        <w:rPr>
          <w:rFonts w:ascii="Calibri" w:cs="Calibri" w:eastAsia="Calibri" w:hAnsi="Calibri"/>
          <w:color w:val="1A1A1A"/>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39_document_control" w:id="1039"/>
      <w:r>
        <w:rPr>
          <w:rFonts w:ascii="Calibri" w:cs="Calibri" w:eastAsia="Calibri" w:hAnsi="Calibri"/>
          <w:b/>
          <w:bCs/>
          <w:color w:val="D34817"/>
          <w:sz w:val="30"/>
          <w:szCs w:val="30"/>
        </w:rPr>
        <w:t xml:space="preserve">Document Control</w:t>
      </w:r>
      <w:bookmarkEnd w:id="1039"/>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Detail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 — Development, Staging, QA, and CI/CD Framework</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PHN-SDLC-2026-01-SOP, Version 1.4 (Draft — pending Reviewed/Approved sign-off)</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 use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Quality Assurance/ and Deployment/ folders, HR Management repository</w:t>
            </w:r>
          </w:p>
        </w:tc>
      </w:tr>
    </w:tbl>
    <w:p>
      <w:pPr>
        <w:spacing w:after="200"/>
      </w:pPr>
    </w:p>
    <w:p>
      <w:pPr>
        <w:pStyle w:val="Heading1"/>
        <w:spacing w:after="140" w:before="320"/>
      </w:pPr>
      <w:bookmarkStart w:name="bm_40_authorization" w:id="1040"/>
      <w:r>
        <w:rPr>
          <w:rFonts w:ascii="Calibri" w:cs="Calibri" w:eastAsia="Calibri" w:hAnsi="Calibri"/>
          <w:b/>
          <w:bCs/>
          <w:color w:val="D34817"/>
          <w:sz w:val="30"/>
          <w:szCs w:val="30"/>
        </w:rPr>
        <w:t xml:space="preserve">Authorization</w:t>
      </w:r>
      <w:bookmarkEnd w:id="1040"/>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t>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1_change_log" w:id="1041"/>
      <w:r>
        <w:rPr>
          <w:rFonts w:ascii="Calibri" w:cs="Calibri" w:eastAsia="Calibri" w:hAnsi="Calibri"/>
          <w:b/>
          <w:bCs/>
          <w:color w:val="D34817"/>
          <w:sz w:val="30"/>
          <w:szCs w:val="30"/>
        </w:rPr>
        <w:t xml:space="preserve">Change Log</w:t>
      </w:r>
      <w:bookmarkEnd w:id="1041"/>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400"/>
        <w:gridCol w:w="800"/>
        <w:gridCol w:w="3900"/>
        <w:gridCol w:w="14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SOP — Dev/Staging/QA/CI-CD framework and monitoring tool recommendation</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Environment Preparation Procedures — Machine A/B setup, Coolify self-hosted staging auto-deploy, production CI/CD pipeline, monitoring dashboard, and test-result versioning/sign-off convention. Renumbered Sections 8-10 to 9-11.</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1.2</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8.3, Appendix A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8.3 with the as-built Coolify setup (GitHub App source instead of a plain deploy key; per-project “production”/“staging” Coolify environments; curl auto-install in the server setup script). Added Appendix A, a screenshot walkthrough of the live Teamora HRMS Coolify setup.</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1.3</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8.4, Appendix B (new)</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8.4 with the as-built Project Monitoring Dashboard for Teamora HRMS — Section 7.2's lightweight alternative (GitHub Projects + self-hosted Kiwi TCMS) rather than Jira + Zephyr Scale. Added Appendix B, a screenshot walkthrough of the GitHub Projects board and the Kiwi TCMS Coolify deployment.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1.4</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Sep 2026</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 8.1, 8.2, 8.3, 10</w:t>
            </w:r>
          </w:p>
        </w:tc>
        <w:tc>
          <w:tcPr>
            <w:tcW w:type="dxa" w:w="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Updated Sec. 8.1/8.2 to reference the as-built, self-elevating/resumable Machine A &amp; B setup scripts (Machine1_Env_Setup.ps1, MachineB_Env_Setup.ps1) and their companion process docs. Updated Sec. 8.3 for the per-service (polyglot microservices) Coolify setup per the finalized Technical Stack Charter, the NestJS/TypeScript vs. Python/FastAPI workflow split, and per-service webhook secret suffixing. Added a Key Risks row (Sec. 10) logging the tracked divergence between this interim Coolify pipeline and Tech Design §18–19's target-state K8s/GitOps architecture.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00"/>
      </w:pPr>
    </w:p>
    <w:p>
      <w:pPr>
        <w:pStyle w:val="Heading1"/>
        <w:spacing w:after="140" w:before="320"/>
      </w:pPr>
      <w:bookmarkStart w:name="bm_42_client_sign_off" w:id="1042"/>
      <w:r>
        <w:rPr>
          <w:rFonts w:ascii="Calibri" w:cs="Calibri" w:eastAsia="Calibri" w:hAnsi="Calibri"/>
          <w:b/>
          <w:bCs/>
          <w:color w:val="D34817"/>
          <w:sz w:val="30"/>
          <w:szCs w:val="30"/>
        </w:rPr>
        <w:t xml:space="preserve">Client Sign Off</w:t>
      </w:r>
      <w:bookmarkEnd w:id="1042"/>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300"/>
      </w:pPr>
    </w:p>
    <w:p>
      <w:pPr>
        <w:spacing w:after="120" w:before="20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pageBreakBefore/>
        <w:spacing w:after="140" w:before="320"/>
      </w:pPr>
      <w:bookmarkStart w:name="bm_43_table_of_contents" w:id="1043"/>
      <w:r>
        <w:rPr>
          <w:rFonts w:ascii="Calibri" w:cs="Calibri" w:eastAsia="Calibri" w:hAnsi="Calibri"/>
          <w:b/>
          <w:bCs/>
          <w:color w:val="D34817"/>
          <w:sz w:val="30"/>
          <w:szCs w:val="30"/>
        </w:rPr>
        <w:t xml:space="preserve">Table of Contents</w:t>
      </w:r>
      <w:bookmarkEnd w:id="1043"/>
    </w:p>
    <w:p>
      <w:pPr>
        <w:spacing w:after="120"/>
      </w:pPr>
    </w:p>
    <w:p>
      <w:pPr>
        <w:tabs>
          <w:tab w:val="right" w:pos="9350" w:leader="dot"/>
        </w:tabs>
        <w:spacing w:after="20" w:line="240"/>
      </w:pPr>
      <w:r>
        <w:rPr>
          <w:rFonts w:ascii="Calibri" w:cs="Calibri" w:eastAsia="Calibri" w:hAnsi="Calibri"/>
          <w:b/>
          <w:bCs/>
          <w:sz w:val="20"/>
          <w:szCs w:val="20"/>
        </w:rPr>
        <w:t xml:space="preserve">1. Introduction</w:t>
      </w:r>
      <w:r>
        <w:rPr>
          <w:sz w:val="19"/>
          <w:szCs w:val="19"/>
        </w:rPr>
        <w:t xml:space="preserve">	</w:t>
      </w:r>
      <w:r>
        <w:fldChar w:fldCharType="begin" w:dirty="true"/>
        <w:instrText xml:space="preserve">PAGEREF bm_0_1_introduction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1.1 Purpose</w:t>
      </w:r>
      <w:r>
        <w:rPr>
          <w:sz w:val="19"/>
          <w:szCs w:val="19"/>
        </w:rPr>
        <w:t xml:space="preserve">	</w:t>
      </w:r>
      <w:r>
        <w:fldChar w:fldCharType="begin" w:dirty="true"/>
        <w:instrText xml:space="preserve">PAGEREF bm_1_1_1_purpose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1.2 Scope</w:t>
      </w:r>
      <w:r>
        <w:rPr>
          <w:sz w:val="19"/>
          <w:szCs w:val="19"/>
        </w:rPr>
        <w:t xml:space="preserve">	</w:t>
      </w:r>
      <w:r>
        <w:fldChar w:fldCharType="begin" w:dirty="true"/>
        <w:instrText xml:space="preserve">PAGEREF bm_2_1_2_scope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1.3 References</w:t>
      </w:r>
      <w:r>
        <w:rPr>
          <w:sz w:val="19"/>
          <w:szCs w:val="19"/>
        </w:rPr>
        <w:t xml:space="preserve">	</w:t>
      </w:r>
      <w:r>
        <w:fldChar w:fldCharType="begin" w:dirty="true"/>
        <w:instrText xml:space="preserve">PAGEREF bm_3_1_3_references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1.4 Abbreviations</w:t>
      </w:r>
      <w:r>
        <w:rPr>
          <w:sz w:val="19"/>
          <w:szCs w:val="19"/>
        </w:rPr>
        <w:t xml:space="preserve">	</w:t>
      </w:r>
      <w:r>
        <w:fldChar w:fldCharType="begin" w:dirty="true"/>
        <w:instrText xml:space="preserve">PAGEREF bm_4_1_4_abbreviations</w:instrText>
        <w:fldChar w:fldCharType="end"/>
      </w:r>
    </w:p>
    <w:p>
      <w:pPr>
        <w:tabs>
          <w:tab w:val="right" w:pos="9350" w:leader="dot"/>
        </w:tabs>
        <w:spacing w:after="20" w:line="240"/>
      </w:pPr>
      <w:r>
        <w:rPr>
          <w:rFonts w:ascii="Calibri" w:cs="Calibri" w:eastAsia="Calibri" w:hAnsi="Calibri"/>
          <w:b/>
          <w:bCs/>
          <w:sz w:val="20"/>
          <w:szCs w:val="20"/>
        </w:rPr>
        <w:t xml:space="preserve">2. Environment &amp; Machine Topology</w:t>
      </w:r>
      <w:r>
        <w:rPr>
          <w:sz w:val="19"/>
          <w:szCs w:val="19"/>
        </w:rPr>
        <w:t xml:space="preserve">	</w:t>
      </w:r>
      <w:r>
        <w:fldChar w:fldCharType="begin" w:dirty="true"/>
        <w:instrText xml:space="preserve">PAGEREF bm_5_2_environment_machine_topology</w:instrText>
        <w:fldChar w:fldCharType="end"/>
      </w:r>
    </w:p>
    <w:p>
      <w:pPr>
        <w:tabs>
          <w:tab w:val="right" w:pos="9350" w:leader="dot"/>
        </w:tabs>
        <w:spacing w:after="20" w:line="240"/>
      </w:pPr>
      <w:r>
        <w:rPr>
          <w:rFonts w:ascii="Calibri" w:cs="Calibri" w:eastAsia="Calibri" w:hAnsi="Calibri"/>
          <w:b/>
          <w:bCs/>
          <w:sz w:val="20"/>
          <w:szCs w:val="20"/>
        </w:rPr>
        <w:t xml:space="preserve">3. Roles &amp; Responsibilities</w:t>
      </w:r>
      <w:r>
        <w:rPr>
          <w:sz w:val="19"/>
          <w:szCs w:val="19"/>
        </w:rPr>
        <w:t xml:space="preserve">	</w:t>
      </w:r>
      <w:r>
        <w:fldChar w:fldCharType="begin" w:dirty="true"/>
        <w:instrText xml:space="preserve">PAGEREF bm_6_3_roles_responsibilities</w:instrText>
        <w:fldChar w:fldCharType="end"/>
      </w:r>
    </w:p>
    <w:p>
      <w:pPr>
        <w:tabs>
          <w:tab w:val="right" w:pos="9350" w:leader="dot"/>
        </w:tabs>
        <w:spacing w:after="20" w:line="240"/>
      </w:pPr>
      <w:r>
        <w:rPr>
          <w:rFonts w:ascii="Calibri" w:cs="Calibri" w:eastAsia="Calibri" w:hAnsi="Calibri"/>
          <w:b/>
          <w:bCs/>
          <w:sz w:val="20"/>
          <w:szCs w:val="20"/>
        </w:rPr>
        <w:t xml:space="preserve">4. Branching &amp; Requirement-ID Traceability Convention</w:t>
      </w:r>
      <w:r>
        <w:rPr>
          <w:sz w:val="19"/>
          <w:szCs w:val="19"/>
        </w:rPr>
        <w:t xml:space="preserve">	</w:t>
      </w:r>
      <w:r>
        <w:fldChar w:fldCharType="begin" w:dirty="true"/>
        <w:instrText xml:space="preserve">PAGEREF bm_7_4_branching_requirement_id_tra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4.1 Branch naming</w:t>
      </w:r>
      <w:r>
        <w:rPr>
          <w:sz w:val="19"/>
          <w:szCs w:val="19"/>
        </w:rPr>
        <w:t xml:space="preserve">	</w:t>
      </w:r>
      <w:r>
        <w:fldChar w:fldCharType="begin" w:dirty="true"/>
        <w:instrText xml:space="preserve">PAGEREF bm_8_4_1_branch_naming</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4.2 Requirement-ID discipline</w:t>
      </w:r>
      <w:r>
        <w:rPr>
          <w:sz w:val="19"/>
          <w:szCs w:val="19"/>
        </w:rPr>
        <w:t xml:space="preserve">	</w:t>
      </w:r>
      <w:r>
        <w:fldChar w:fldCharType="begin" w:dirty="true"/>
        <w:instrText xml:space="preserve">PAGEREF bm_9_4_2_requirement_id_discipline</w:instrText>
        <w:fldChar w:fldCharType="end"/>
      </w:r>
    </w:p>
    <w:p>
      <w:pPr>
        <w:tabs>
          <w:tab w:val="right" w:pos="9350" w:leader="dot"/>
        </w:tabs>
        <w:spacing w:after="20" w:line="240"/>
      </w:pPr>
      <w:r>
        <w:rPr>
          <w:rFonts w:ascii="Calibri" w:cs="Calibri" w:eastAsia="Calibri" w:hAnsi="Calibri"/>
          <w:b/>
          <w:bCs/>
          <w:sz w:val="20"/>
          <w:szCs w:val="20"/>
        </w:rPr>
        <w:t xml:space="preserve">5. Stage-by-Stage Operating Procedure</w:t>
      </w:r>
      <w:r>
        <w:rPr>
          <w:sz w:val="19"/>
          <w:szCs w:val="19"/>
        </w:rPr>
        <w:t xml:space="preserve">	</w:t>
      </w:r>
      <w:r>
        <w:fldChar w:fldCharType="begin" w:dirty="true"/>
        <w:instrText xml:space="preserve">PAGEREF bm_10_5_stage_by_stage_operating_pro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5.1 Stage 1 — Development (Machine A)</w:t>
      </w:r>
      <w:r>
        <w:rPr>
          <w:sz w:val="19"/>
          <w:szCs w:val="19"/>
        </w:rPr>
        <w:t xml:space="preserve">	</w:t>
      </w:r>
      <w:r>
        <w:fldChar w:fldCharType="begin" w:dirty="true"/>
        <w:instrText xml:space="preserve">PAGEREF bm_11_5_1_stage_1_development_machin</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5.2 Stage 2 — Build &amp; Deploy to Staging</w:t>
      </w:r>
      <w:r>
        <w:rPr>
          <w:sz w:val="19"/>
          <w:szCs w:val="19"/>
        </w:rPr>
        <w:t xml:space="preserve">	</w:t>
      </w:r>
      <w:r>
        <w:fldChar w:fldCharType="begin" w:dirty="true"/>
        <w:instrText xml:space="preserve">PAGEREF bm_12_5_2_stage_2_build_deploy_to_st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5.3 Stage 3 — Test Execution (Machine B)</w:t>
      </w:r>
      <w:r>
        <w:rPr>
          <w:sz w:val="19"/>
          <w:szCs w:val="19"/>
        </w:rPr>
        <w:t xml:space="preserve">	</w:t>
      </w:r>
      <w:r>
        <w:fldChar w:fldCharType="begin" w:dirty="true"/>
        <w:instrText xml:space="preserve">PAGEREF bm_13_5_3_stage_3_test_execution_mac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5.4 Stage 4 — Test Sign-off Gate (Exit Criteria)</w:t>
      </w:r>
      <w:r>
        <w:rPr>
          <w:sz w:val="19"/>
          <w:szCs w:val="19"/>
        </w:rPr>
        <w:t xml:space="preserve">	</w:t>
      </w:r>
      <w:r>
        <w:fldChar w:fldCharType="begin" w:dirty="true"/>
        <w:instrText xml:space="preserve">PAGEREF bm_14_5_4_stage_4_test_sign_off_gate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5.5 Stage 5 — CI/CD Promotion to Production</w:t>
      </w:r>
      <w:r>
        <w:rPr>
          <w:sz w:val="19"/>
          <w:szCs w:val="19"/>
        </w:rPr>
        <w:t xml:space="preserve">	</w:t>
      </w:r>
      <w:r>
        <w:fldChar w:fldCharType="begin" w:dirty="true"/>
        <w:instrText xml:space="preserve">PAGEREF bm_15_5_5_stage_5_ci_cd_promotion_to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5.6 Stage 6 — Post-Deployment Verification &amp; Rollback</w:t>
      </w:r>
      <w:r>
        <w:rPr>
          <w:sz w:val="19"/>
          <w:szCs w:val="19"/>
        </w:rPr>
        <w:t xml:space="preserve">	</w:t>
      </w:r>
      <w:r>
        <w:fldChar w:fldCharType="begin" w:dirty="true"/>
        <w:instrText xml:space="preserve">PAGEREF bm_16_5_6_stage_6_post_deployment_ve</w:instrText>
        <w:fldChar w:fldCharType="end"/>
      </w:r>
    </w:p>
    <w:p>
      <w:pPr>
        <w:tabs>
          <w:tab w:val="right" w:pos="9350" w:leader="dot"/>
        </w:tabs>
        <w:spacing w:after="20" w:line="240"/>
      </w:pPr>
      <w:r>
        <w:rPr>
          <w:rFonts w:ascii="Calibri" w:cs="Calibri" w:eastAsia="Calibri" w:hAnsi="Calibri"/>
          <w:b/>
          <w:bCs/>
          <w:sz w:val="20"/>
          <w:szCs w:val="20"/>
        </w:rPr>
        <w:t xml:space="preserve">6. Traceability Matrix</w:t>
      </w:r>
      <w:r>
        <w:rPr>
          <w:sz w:val="19"/>
          <w:szCs w:val="19"/>
        </w:rPr>
        <w:t xml:space="preserve">	</w:t>
      </w:r>
      <w:r>
        <w:fldChar w:fldCharType="begin" w:dirty="true"/>
        <w:instrText xml:space="preserve">PAGEREF bm_17_6_traceability_matrix</w:instrText>
        <w:fldChar w:fldCharType="end"/>
      </w:r>
    </w:p>
    <w:p>
      <w:pPr>
        <w:tabs>
          <w:tab w:val="right" w:pos="9350" w:leader="dot"/>
        </w:tabs>
        <w:spacing w:after="20" w:line="240"/>
      </w:pPr>
      <w:r>
        <w:rPr>
          <w:rFonts w:ascii="Calibri" w:cs="Calibri" w:eastAsia="Calibri" w:hAnsi="Calibri"/>
          <w:b/>
          <w:bCs/>
          <w:sz w:val="20"/>
          <w:szCs w:val="20"/>
        </w:rPr>
        <w:t xml:space="preserve">7. Recommended Project &amp; QA Monitoring Tooling</w:t>
      </w:r>
      <w:r>
        <w:rPr>
          <w:sz w:val="19"/>
          <w:szCs w:val="19"/>
        </w:rPr>
        <w:t xml:space="preserve">	</w:t>
      </w:r>
      <w:r>
        <w:fldChar w:fldCharType="begin" w:dirty="true"/>
        <w:instrText xml:space="preserve">PAGEREF bm_18_7_recommended_project_qa_monit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7.1 Primary recommendation — Jira Cloud (Standard) + Zephyr Scale</w:t>
      </w:r>
      <w:r>
        <w:rPr>
          <w:sz w:val="19"/>
          <w:szCs w:val="19"/>
        </w:rPr>
        <w:t xml:space="preserve">	</w:t>
      </w:r>
      <w:r>
        <w:fldChar w:fldCharType="begin" w:dirty="true"/>
        <w:instrText xml:space="preserve">PAGEREF bm_19_7_1_primary_recommendation_jir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7.2 Lightweight alternative — GitHub Projects + Kiwi TCMS (self-hosted)</w:t>
      </w:r>
      <w:r>
        <w:rPr>
          <w:sz w:val="19"/>
          <w:szCs w:val="19"/>
        </w:rPr>
        <w:t xml:space="preserve">	</w:t>
      </w:r>
      <w:r>
        <w:fldChar w:fldCharType="begin" w:dirty="true"/>
        <w:instrText xml:space="preserve">PAGEREF bm_20_7_2_lightweight_alternative_gi</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7.3 Recommendation</w:t>
      </w:r>
      <w:r>
        <w:rPr>
          <w:sz w:val="19"/>
          <w:szCs w:val="19"/>
        </w:rPr>
        <w:t xml:space="preserve">	</w:t>
      </w:r>
      <w:r>
        <w:fldChar w:fldCharType="begin" w:dirty="true"/>
        <w:instrText xml:space="preserve">PAGEREF bm_21_7_3_recommendation</w:instrText>
        <w:fldChar w:fldCharType="end"/>
      </w:r>
    </w:p>
    <w:p>
      <w:pPr>
        <w:tabs>
          <w:tab w:val="right" w:pos="9350" w:leader="dot"/>
        </w:tabs>
        <w:spacing w:after="20" w:line="240"/>
      </w:pPr>
      <w:r>
        <w:rPr>
          <w:rFonts w:ascii="Calibri" w:cs="Calibri" w:eastAsia="Calibri" w:hAnsi="Calibri"/>
          <w:b/>
          <w:bCs/>
          <w:sz w:val="20"/>
          <w:szCs w:val="20"/>
        </w:rPr>
        <w:t xml:space="preserve">8. Environment Preparation Procedures</w:t>
      </w:r>
      <w:r>
        <w:rPr>
          <w:sz w:val="19"/>
          <w:szCs w:val="19"/>
        </w:rPr>
        <w:t xml:space="preserve">	</w:t>
      </w:r>
      <w:r>
        <w:fldChar w:fldCharType="begin" w:dirty="true"/>
        <w:instrText xml:space="preserve">PAGEREF bm_22_8_environment_preparation_proc</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8.1 Machine A — Developer Environment Setup</w:t>
      </w:r>
      <w:r>
        <w:rPr>
          <w:sz w:val="19"/>
          <w:szCs w:val="19"/>
        </w:rPr>
        <w:t xml:space="preserve">	</w:t>
      </w:r>
      <w:r>
        <w:fldChar w:fldCharType="begin" w:dirty="true"/>
        <w:instrText xml:space="preserve">PAGEREF bm_23_8_1_machine_a_developer_enviro</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8.2 Machine B — QA/Test Environment Setup</w:t>
      </w:r>
      <w:r>
        <w:rPr>
          <w:sz w:val="19"/>
          <w:szCs w:val="19"/>
        </w:rPr>
        <w:t xml:space="preserve">	</w:t>
      </w:r>
      <w:r>
        <w:fldChar w:fldCharType="begin" w:dirty="true"/>
        <w:instrText xml:space="preserve">PAGEREF bm_24_8_2_machine_b_qa_test_environm</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8.3 Staging Server — Auto-Deploy on Commit (Coolify)</w:t>
      </w:r>
      <w:r>
        <w:rPr>
          <w:sz w:val="19"/>
          <w:szCs w:val="19"/>
        </w:rPr>
        <w:t xml:space="preserve">	</w:t>
      </w:r>
      <w:r>
        <w:fldChar w:fldCharType="begin" w:dirty="true"/>
        <w:instrText xml:space="preserve">PAGEREF bm_25_8_3_staging_server_auto_deploy</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8.4 Project Monitoring Dashboard</w:t>
      </w:r>
      <w:r>
        <w:rPr>
          <w:sz w:val="19"/>
          <w:szCs w:val="19"/>
        </w:rPr>
        <w:t xml:space="preserve">	</w:t>
      </w:r>
      <w:r>
        <w:fldChar w:fldCharType="begin" w:dirty="true"/>
        <w:instrText xml:space="preserve">PAGEREF bm_26_8_4_project_monitoring_dashboa</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8.5 Production — CI/CD Pipeline</w:t>
      </w:r>
      <w:r>
        <w:rPr>
          <w:sz w:val="19"/>
          <w:szCs w:val="19"/>
        </w:rPr>
        <w:t xml:space="preserve">	</w:t>
      </w:r>
      <w:r>
        <w:fldChar w:fldCharType="begin" w:dirty="true"/>
        <w:instrText xml:space="preserve">PAGEREF bm_27_8_5_production_ci_cd_pipeline</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8.6 Test Result Versioning &amp; Sign-off Record</w:t>
      </w:r>
      <w:r>
        <w:rPr>
          <w:sz w:val="19"/>
          <w:szCs w:val="19"/>
        </w:rPr>
        <w:t xml:space="preserve">	</w:t>
      </w:r>
      <w:r>
        <w:fldChar w:fldCharType="begin" w:dirty="true"/>
        <w:instrText xml:space="preserve">PAGEREF bm_28_8_6_test_result_versioning_sig</w:instrText>
        <w:fldChar w:fldCharType="end"/>
      </w:r>
    </w:p>
    <w:p>
      <w:pPr>
        <w:tabs>
          <w:tab w:val="right" w:pos="9350" w:leader="dot"/>
        </w:tabs>
        <w:spacing w:after="20" w:line="240"/>
      </w:pPr>
      <w:r>
        <w:rPr>
          <w:rFonts w:ascii="Calibri" w:cs="Calibri" w:eastAsia="Calibri" w:hAnsi="Calibri"/>
          <w:b/>
          <w:bCs/>
          <w:sz w:val="20"/>
          <w:szCs w:val="20"/>
        </w:rPr>
        <w:t xml:space="preserve">9. Escalation Procedure</w:t>
      </w:r>
      <w:r>
        <w:rPr>
          <w:sz w:val="19"/>
          <w:szCs w:val="19"/>
        </w:rPr>
        <w:t xml:space="preserve">	</w:t>
      </w:r>
      <w:r>
        <w:fldChar w:fldCharType="begin" w:dirty="true"/>
        <w:instrText xml:space="preserve">PAGEREF bm_29_9_escalation_procedure</w:instrText>
        <w:fldChar w:fldCharType="end"/>
      </w:r>
    </w:p>
    <w:p>
      <w:pPr>
        <w:tabs>
          <w:tab w:val="right" w:pos="9350" w:leader="dot"/>
        </w:tabs>
        <w:spacing w:after="20" w:line="240"/>
      </w:pPr>
      <w:r>
        <w:rPr>
          <w:rFonts w:ascii="Calibri" w:cs="Calibri" w:eastAsia="Calibri" w:hAnsi="Calibri"/>
          <w:b/>
          <w:bCs/>
          <w:sz w:val="20"/>
          <w:szCs w:val="20"/>
        </w:rPr>
        <w:t xml:space="preserve">10. Key Risks</w:t>
      </w:r>
      <w:r>
        <w:rPr>
          <w:sz w:val="19"/>
          <w:szCs w:val="19"/>
        </w:rPr>
        <w:t xml:space="preserve">	</w:t>
      </w:r>
      <w:r>
        <w:fldChar w:fldCharType="begin" w:dirty="true"/>
        <w:instrText xml:space="preserve">PAGEREF bm_30_10_key_risks</w:instrText>
        <w:fldChar w:fldCharType="end"/>
      </w:r>
    </w:p>
    <w:p>
      <w:pPr>
        <w:tabs>
          <w:tab w:val="right" w:pos="9350" w:leader="dot"/>
        </w:tabs>
        <w:spacing w:after="20" w:line="240"/>
      </w:pPr>
      <w:r>
        <w:rPr>
          <w:rFonts w:ascii="Calibri" w:cs="Calibri" w:eastAsia="Calibri" w:hAnsi="Calibri"/>
          <w:b/>
          <w:bCs/>
          <w:sz w:val="20"/>
          <w:szCs w:val="20"/>
        </w:rPr>
        <w:t xml:space="preserve">11. Conclusion &amp; Road Ahead</w:t>
      </w:r>
      <w:r>
        <w:rPr>
          <w:sz w:val="19"/>
          <w:szCs w:val="19"/>
        </w:rPr>
        <w:t xml:space="preserve">	</w:t>
      </w:r>
      <w:r>
        <w:fldChar w:fldCharType="begin" w:dirty="true"/>
        <w:instrText xml:space="preserve">PAGEREF bm_31_11_conclusion_road_ahead</w:instrText>
        <w:fldChar w:fldCharType="end"/>
      </w:r>
    </w:p>
    <w:p>
      <w:pPr>
        <w:tabs>
          <w:tab w:val="right" w:pos="9350" w:leader="dot"/>
        </w:tabs>
        <w:spacing w:after="20" w:line="240"/>
      </w:pPr>
      <w:r>
        <w:rPr>
          <w:rFonts w:ascii="Calibri" w:cs="Calibri" w:eastAsia="Calibri" w:hAnsi="Calibri"/>
          <w:b/>
          <w:bCs/>
          <w:sz w:val="20"/>
          <w:szCs w:val="20"/>
        </w:rPr>
        <w:t xml:space="preserve">Appendix A — Coolify Environment Setup (Screenshot Walkthrough)</w:t>
      </w:r>
      <w:r>
        <w:rPr>
          <w:sz w:val="19"/>
          <w:szCs w:val="19"/>
        </w:rPr>
        <w:t xml:space="preserve">	</w:t>
      </w:r>
      <w:r>
        <w:fldChar w:fldCharType="begin" w:dirty="true"/>
        <w:instrText xml:space="preserve">PAGEREF bm_32_appendix_a_coolify_environment</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A.1 Connecting the GitHub Source</w:t>
      </w:r>
      <w:r>
        <w:rPr>
          <w:sz w:val="19"/>
          <w:szCs w:val="19"/>
        </w:rPr>
        <w:t xml:space="preserve">	</w:t>
      </w:r>
      <w:r>
        <w:fldChar w:fldCharType="begin" w:dirty="true"/>
        <w:instrText xml:space="preserve">PAGEREF bm_33_a_1_connecting_the_github_sour</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A.2 Project and Environments</w:t>
      </w:r>
      <w:r>
        <w:rPr>
          <w:sz w:val="19"/>
          <w:szCs w:val="19"/>
        </w:rPr>
        <w:t xml:space="preserve">	</w:t>
      </w:r>
      <w:r>
        <w:fldChar w:fldCharType="begin" w:dirty="true"/>
        <w:instrText xml:space="preserve">PAGEREF bm_34_a_2_project_and_environments</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A.3 Creating the Applications</w:t>
      </w:r>
      <w:r>
        <w:rPr>
          <w:sz w:val="19"/>
          <w:szCs w:val="19"/>
        </w:rPr>
        <w:t xml:space="preserve">	</w:t>
      </w:r>
      <w:r>
        <w:fldChar w:fldCharType="begin" w:dirty="true"/>
        <w:instrText xml:space="preserve">PAGEREF bm_35_a_3_creating_the_applications</w:instrText>
        <w:fldChar w:fldCharType="end"/>
      </w:r>
    </w:p>
    <w:p>
      <w:pPr>
        <w:tabs>
          <w:tab w:val="right" w:pos="9350" w:leader="dot"/>
        </w:tabs>
        <w:spacing w:after="20" w:line="240"/>
      </w:pPr>
      <w:r>
        <w:rPr>
          <w:rFonts w:ascii="Calibri" w:cs="Calibri" w:eastAsia="Calibri" w:hAnsi="Calibri"/>
          <w:b/>
          <w:bCs/>
          <w:sz w:val="20"/>
          <w:szCs w:val="20"/>
        </w:rPr>
        <w:t xml:space="preserve">Appendix B — Project Monitoring Dashboard Setup (Screenshot Walkthrough)</w:t>
      </w:r>
      <w:r>
        <w:rPr>
          <w:sz w:val="19"/>
          <w:szCs w:val="19"/>
        </w:rPr>
        <w:t xml:space="preserve">	</w:t>
      </w:r>
      <w:r>
        <w:fldChar w:fldCharType="begin" w:dirty="true"/>
        <w:instrText xml:space="preserve">PAGEREF bm_36_appendix_b_project_monitoring_</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B.1 GitHub Projects Board</w:t>
      </w:r>
      <w:r>
        <w:rPr>
          <w:sz w:val="19"/>
          <w:szCs w:val="19"/>
        </w:rPr>
        <w:t xml:space="preserve">	</w:t>
      </w:r>
      <w:r>
        <w:fldChar w:fldCharType="begin" w:dirty="true"/>
        <w:instrText xml:space="preserve">PAGEREF bm_37_b_1_github_projects_board</w:instrText>
        <w:fldChar w:fldCharType="end"/>
      </w:r>
    </w:p>
    <w:p>
      <w:pPr>
        <w:tabs>
          <w:tab w:val="right" w:pos="9350" w:leader="dot"/>
        </w:tabs>
        <w:spacing w:after="10" w:line="240"/>
        <w:ind w:left="360"/>
      </w:pPr>
      <w:r>
        <w:rPr>
          <w:rFonts w:ascii="Calibri" w:cs="Calibri" w:eastAsia="Calibri" w:hAnsi="Calibri"/>
          <w:b w:val="false"/>
          <w:bCs w:val="false"/>
          <w:sz w:val="19"/>
          <w:szCs w:val="19"/>
        </w:rPr>
        <w:t xml:space="preserve">B.2 Kiwi TCMS — Self-Hosted Test Case Management</w:t>
      </w:r>
      <w:r>
        <w:rPr>
          <w:sz w:val="19"/>
          <w:szCs w:val="19"/>
        </w:rPr>
        <w:t xml:space="preserve">	</w:t>
      </w:r>
      <w:r>
        <w:fldChar w:fldCharType="begin" w:dirty="true"/>
        <w:instrText xml:space="preserve">PAGEREF bm_38_b_2_kiwi_tcms_self_hosted_test</w:instrText>
        <w:fldChar w:fldCharType="end"/>
      </w:r>
    </w:p>
    <w:p>
      <w:r>
        <w:br w:type="page"/>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document defines the Standard Operating Procedure and framework Phoneme follows to move a product from active development through staging, independent QA test execution, and finally into production via a CI/CD pipeline. It is written for a two-machine working pattern: one machine used for development and pushing builds to a shared staging server, and a second, independent machine used to execute test cases against that staging build, mapped one-to-one against the Requirement IDs frozen in the product's BRD/PRD.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In scope: the environment topology, roles, branching and Requirement-ID traceability convention, the stage-by-stage procedure from local development through production release, the test sign-off gate that decides when a release is allowed to proceed, rollback procedure, and a recommendation for the tool used to track progress across every Phoneme SaaS product in parallel.</w:t>
      </w:r>
    </w:p>
    <w:p>
      <w:pPr>
        <w:spacing w:after="160" w:line="300"/>
        <w:jc w:val="both"/>
      </w:pPr>
      <w:r>
        <w:rPr>
          <w:rFonts w:ascii="Calibri" w:cs="Calibri" w:eastAsia="Calibri" w:hAnsi="Calibri"/>
          <w:color w:val="1A1A1A"/>
          <w:sz w:val="22"/>
          <w:szCs w:val="22"/>
        </w:rPr>
        <w:t xml:space="preserve">Out of scope: the content of any single product's BRD/PRD, Technical Design, or UI/UX mockups — those are produced per-product using the phoneme-brd-prd, phoneme-techdesign, and phoneme-uiux-brand-theme skills respectively, before this SOP's Stage 1 begins.</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phoneme-brd-prd — produces the Requirement IDs this SOP's traceability model is built around.</w:t>
      </w:r>
    </w:p>
    <w:p>
      <w:pPr>
        <w:pStyle w:val="ListParagraph"/>
        <w:numPr>
          <w:ilvl w:val="0"/>
          <w:numId w:val="2"/>
        </w:numPr>
        <w:spacing w:after="80" w:line="280"/>
      </w:pPr>
      <w:r>
        <w:rPr>
          <w:rFonts w:ascii="Calibri" w:cs="Calibri" w:eastAsia="Calibri" w:hAnsi="Calibri"/>
          <w:color w:val="1A1A1A"/>
          <w:sz w:val="22"/>
          <w:szCs w:val="22"/>
        </w:rPr>
        <w:t xml:space="preserve">phoneme-techdesign — produces the module numbering this SOP's branch-naming convention aligns to.</w:t>
      </w:r>
    </w:p>
    <w:p>
      <w:pPr>
        <w:pStyle w:val="ListParagraph"/>
        <w:numPr>
          <w:ilvl w:val="0"/>
          <w:numId w:val="2"/>
        </w:numPr>
        <w:spacing w:after="80" w:line="280"/>
      </w:pPr>
      <w:r>
        <w:rPr>
          <w:rFonts w:ascii="Calibri" w:cs="Calibri" w:eastAsia="Calibri" w:hAnsi="Calibri"/>
          <w:color w:val="1A1A1A"/>
          <w:sz w:val="22"/>
          <w:szCs w:val="22"/>
        </w:rPr>
        <w:t xml:space="preserve">phoneme-technical-stack — the per-product Technical Stack Charter that determines the actual CI/CD tooling (e.g. GitHub Actions vs. another runner) for a given product.</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Standard Operating Procedure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Requirement ID, as assigned in the product's BRD/PRD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TC-ID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Case ID</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CI/CD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Integration / Continuous Deployment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UAT</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User Acceptance Testing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RC</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Candidate</w:t>
            </w:r>
          </w:p>
        </w:tc>
      </w:tr>
    </w:tbl>
    <w:p>
      <w:pPr>
        <w:spacing w:after="200"/>
      </w:pPr>
    </w:p>
    <w:p>
      <w:pPr>
        <w:pStyle w:val="Heading1"/>
        <w:spacing w:after="140" w:before="320"/>
      </w:pPr>
      <w:bookmarkStart w:name="bm_5_2_environment_machine_topology" w:id="1005"/>
      <w:r>
        <w:rPr>
          <w:rFonts w:ascii="Calibri" w:cs="Calibri" w:eastAsia="Calibri" w:hAnsi="Calibri"/>
          <w:b/>
          <w:bCs/>
          <w:color w:val="D34817"/>
          <w:sz w:val="30"/>
          <w:szCs w:val="30"/>
        </w:rPr>
        <w:t xml:space="preserve">2. Environment &amp; Machine Topology</w:t>
      </w:r>
      <w:bookmarkEnd w:id="1005"/>
    </w:p>
    <w:p>
      <w:pPr>
        <w:spacing w:after="160" w:line="300"/>
        <w:jc w:val="both"/>
      </w:pPr>
      <w:r>
        <w:rPr>
          <w:rFonts w:ascii="Calibri" w:cs="Calibri" w:eastAsia="Calibri" w:hAnsi="Calibri"/>
          <w:color w:val="1A1A1A"/>
          <w:sz w:val="22"/>
          <w:szCs w:val="22"/>
        </w:rPr>
        <w:t xml:space="preserve">The framework assumes four distinct environments, physically or logically separated so that no single machine is both writing code and independently verifying it: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200"/>
        <w:gridCol w:w="14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Environment</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Machine / Host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Purpose</w:t>
            </w:r>
          </w:p>
        </w:tc>
        <w:tc>
          <w:tcPr>
            <w:tcW w:type="dxa" w:w="1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Who works here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 machine (“Machine A”)</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Feature branch work, local build, local unit tests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Shared staging server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build the whole team and QA test against; mirrors production configuration at smaller scale</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Auto-deployed by CI; read-only to humans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Test / QA</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Independent QA machine (“Machine B”)</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Executes test cases against the staging build, records pass/fail per Requirement ID, logs defects</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Production infrastructure (per the product's Technical Stack Charter)</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customer-facing environment</w:t>
            </w:r>
          </w:p>
        </w:tc>
        <w:tc>
          <w:tcPr>
            <w:tcW w:type="dxa" w:w="1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Deployed only by the CI/CD pipeline, never manually</w:t>
            </w:r>
          </w:p>
        </w:tc>
      </w:tr>
    </w:tbl>
    <w:p>
      <w:pPr>
        <w:spacing w:after="100"/>
      </w:pPr>
    </w:p>
    <w:p>
      <w:pPr>
        <w:spacing w:after="160" w:line="300"/>
        <w:jc w:val="both"/>
      </w:pPr>
      <w:r>
        <w:rPr>
          <w:rFonts w:ascii="Calibri" w:cs="Calibri" w:eastAsia="Calibri" w:hAnsi="Calibri"/>
          <w:color w:val="1A1A1A"/>
          <w:sz w:val="22"/>
          <w:szCs w:val="22"/>
        </w:rPr>
        <w:t xml:space="preserve">Machine A and Machine B are kept separate deliberately: a developer verifying their own change against their own understanding of the requirement is not independent verification. QA on Machine B works only from the staging build and the frozen Requirement ID text — never from the developer's local branch — so a requirement that was misread during development has a real chance of being caught.</w:t>
      </w:r>
    </w:p>
    <w:p>
      <w:pPr>
        <w:spacing w:after="200"/>
      </w:pPr>
    </w:p>
    <w:p>
      <w:pPr>
        <w:pStyle w:val="Heading1"/>
        <w:spacing w:after="140" w:before="320"/>
      </w:pPr>
      <w:bookmarkStart w:name="bm_6_3_roles_responsibilities" w:id="1006"/>
      <w:r>
        <w:rPr>
          <w:rFonts w:ascii="Calibri" w:cs="Calibri" w:eastAsia="Calibri" w:hAnsi="Calibri"/>
          <w:b/>
          <w:bCs/>
          <w:color w:val="D34817"/>
          <w:sz w:val="30"/>
          <w:szCs w:val="30"/>
        </w:rPr>
        <w:t xml:space="preserve">3. Roles &amp; Responsibilities</w:t>
      </w:r>
      <w:bookmarkEnd w:id="100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Responsibility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(Machine A)</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Implements a Requirement ID on a feature branch, runs local build/unit tests, opens a pull request tagged with the Requirement ID, merges to the staging branch once reviewed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Reviews the pull request for correctness against the linked Requirement ID before approving the merge to staging</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QA Engineer (Machine B)</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Pulls the deployed staging build, executes every test case mapped to the Requirement IDs in this release, logs pass/fail and any defects, and either signs off or bounces the release back to development</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Owner</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test sign-off gate has been met, approves promotion of the staging branch to production, and owns the go/no-go and rollback decision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Product Owner (Anuj / designate)</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Confirms the Requirement IDs in a release match what was actually approved in the BRD/PRD before sign-off</w:t>
            </w:r>
          </w:p>
        </w:tc>
      </w:tr>
    </w:tbl>
    <w:p>
      <w:pPr>
        <w:spacing w:after="200"/>
      </w:pPr>
    </w:p>
    <w:p>
      <w:pPr>
        <w:pStyle w:val="Heading1"/>
        <w:spacing w:after="140" w:before="320"/>
      </w:pPr>
      <w:bookmarkStart w:name="bm_7_4_branching_requirement_id_tra" w:id="1007"/>
      <w:r>
        <w:rPr>
          <w:rFonts w:ascii="Calibri" w:cs="Calibri" w:eastAsia="Calibri" w:hAnsi="Calibri"/>
          <w:b/>
          <w:bCs/>
          <w:color w:val="D34817"/>
          <w:sz w:val="30"/>
          <w:szCs w:val="30"/>
        </w:rPr>
        <w:t xml:space="preserve">4. Branching &amp; Requirement-ID Traceability Convention</w:t>
      </w:r>
      <w:bookmarkEnd w:id="1007"/>
    </w:p>
    <w:p>
      <w:pPr>
        <w:pStyle w:val="Heading2"/>
        <w:spacing w:after="100" w:before="220"/>
      </w:pPr>
      <w:bookmarkStart w:name="bm_8_4_1_branch_naming" w:id="1008"/>
      <w:r>
        <w:rPr>
          <w:rFonts w:ascii="Calibri" w:cs="Calibri" w:eastAsia="Calibri" w:hAnsi="Calibri"/>
          <w:b/>
          <w:bCs/>
          <w:color w:val="404040"/>
          <w:sz w:val="24"/>
          <w:szCs w:val="24"/>
        </w:rPr>
        <w:t xml:space="preserve">4.1 Branch naming</w:t>
      </w:r>
      <w:bookmarkEnd w:id="1008"/>
    </w:p>
    <w:p>
      <w:pPr>
        <w:pStyle w:val="ListParagraph"/>
        <w:numPr>
          <w:ilvl w:val="0"/>
          <w:numId w:val="2"/>
        </w:numPr>
        <w:spacing w:after="80" w:line="280"/>
      </w:pPr>
      <w:r>
        <w:rPr>
          <w:rFonts w:ascii="Calibri" w:cs="Calibri" w:eastAsia="Calibri" w:hAnsi="Calibri"/>
          <w:color w:val="1A1A1A"/>
          <w:sz w:val="22"/>
          <w:szCs w:val="22"/>
        </w:rPr>
        <w:t xml:space="preserve">Feature branch: feature/REQ-&lt;product&gt;-&lt;id&gt;-&lt;short-slug&gt;  (e.g. feature/REQ-TMR-14-jd-scoring-matrix)</w:t>
      </w:r>
    </w:p>
    <w:p>
      <w:pPr>
        <w:pStyle w:val="ListParagraph"/>
        <w:numPr>
          <w:ilvl w:val="0"/>
          <w:numId w:val="2"/>
        </w:numPr>
        <w:spacing w:after="80" w:line="280"/>
      </w:pPr>
      <w:r>
        <w:rPr>
          <w:rFonts w:ascii="Calibri" w:cs="Calibri" w:eastAsia="Calibri" w:hAnsi="Calibri"/>
          <w:color w:val="1A1A1A"/>
          <w:sz w:val="22"/>
          <w:szCs w:val="22"/>
        </w:rPr>
        <w:t xml:space="preserve">Staging branch: staging (or develop) — the always-deployable integration branch that the staging server auto-deploys from</w:t>
      </w:r>
    </w:p>
    <w:p>
      <w:pPr>
        <w:pStyle w:val="ListParagraph"/>
        <w:numPr>
          <w:ilvl w:val="0"/>
          <w:numId w:val="2"/>
        </w:numPr>
        <w:spacing w:after="80" w:line="280"/>
      </w:pPr>
      <w:r>
        <w:rPr>
          <w:rFonts w:ascii="Calibri" w:cs="Calibri" w:eastAsia="Calibri" w:hAnsi="Calibri"/>
          <w:color w:val="1A1A1A"/>
          <w:sz w:val="22"/>
          <w:szCs w:val="22"/>
        </w:rPr>
        <w:t xml:space="preserve">Production branch: main — only ever updated by the CI/CD pipeline promoting a signed-off staging build, never by a direct developer merge</w:t>
      </w:r>
    </w:p>
    <w:p>
      <w:pPr>
        <w:pStyle w:val="Heading2"/>
        <w:spacing w:after="100" w:before="220"/>
      </w:pPr>
      <w:bookmarkStart w:name="bm_9_4_2_requirement_id_discipline" w:id="1009"/>
      <w:r>
        <w:rPr>
          <w:rFonts w:ascii="Calibri" w:cs="Calibri" w:eastAsia="Calibri" w:hAnsi="Calibri"/>
          <w:b/>
          <w:bCs/>
          <w:color w:val="404040"/>
          <w:sz w:val="24"/>
          <w:szCs w:val="24"/>
        </w:rPr>
        <w:t xml:space="preserve">4.2 Requirement-ID discipline</w:t>
      </w:r>
      <w:bookmarkEnd w:id="1009"/>
    </w:p>
    <w:p>
      <w:pPr>
        <w:pStyle w:val="ListParagraph"/>
        <w:numPr>
          <w:ilvl w:val="0"/>
          <w:numId w:val="2"/>
        </w:numPr>
        <w:spacing w:after="80" w:line="280"/>
      </w:pPr>
      <w:r>
        <w:rPr>
          <w:rFonts w:ascii="Calibri" w:cs="Calibri" w:eastAsia="Calibri" w:hAnsi="Calibri"/>
          <w:color w:val="1A1A1A"/>
          <w:sz w:val="22"/>
          <w:szCs w:val="22"/>
        </w:rPr>
        <w:t xml:space="preserve">Every Requirement ID (REQ-ID) originates in the product's BRD/PRD (see phoneme-brd-prd) and is never renumbered once assigned — a changed requirement gets a new ID with a note referencing the old one.</w:t>
      </w:r>
    </w:p>
    <w:p>
      <w:pPr>
        <w:pStyle w:val="ListParagraph"/>
        <w:numPr>
          <w:ilvl w:val="0"/>
          <w:numId w:val="2"/>
        </w:numPr>
        <w:spacing w:after="80" w:line="280"/>
      </w:pPr>
      <w:r>
        <w:rPr>
          <w:rFonts w:ascii="Calibri" w:cs="Calibri" w:eastAsia="Calibri" w:hAnsi="Calibri"/>
          <w:color w:val="1A1A1A"/>
          <w:sz w:val="22"/>
          <w:szCs w:val="22"/>
        </w:rPr>
        <w:t xml:space="preserve">Every commit and pull request references the REQ-ID(s) it implements in its title (e.g. “[REQ-TMR-14] Add weighted scoring matrix to JD freeze step”).</w:t>
      </w:r>
    </w:p>
    <w:p>
      <w:pPr>
        <w:pStyle w:val="ListParagraph"/>
        <w:numPr>
          <w:ilvl w:val="0"/>
          <w:numId w:val="2"/>
        </w:numPr>
        <w:spacing w:after="80" w:line="280"/>
      </w:pPr>
      <w:r>
        <w:rPr>
          <w:rFonts w:ascii="Calibri" w:cs="Calibri" w:eastAsia="Calibri" w:hAnsi="Calibri"/>
          <w:color w:val="1A1A1A"/>
          <w:sz w:val="22"/>
          <w:szCs w:val="22"/>
        </w:rPr>
        <w:t xml:space="preserve">Every test case carries a TC-ID and is mapped to exactly one REQ-ID (a requirement with several acceptance criteria gets several test cases, not one test case with several loosely related checks).</w:t>
      </w:r>
    </w:p>
    <w:p>
      <w:pPr>
        <w:pStyle w:val="ListParagraph"/>
        <w:numPr>
          <w:ilvl w:val="0"/>
          <w:numId w:val="2"/>
        </w:numPr>
        <w:spacing w:after="80" w:line="280"/>
      </w:pPr>
      <w:r>
        <w:rPr>
          <w:rFonts w:ascii="Calibri" w:cs="Calibri" w:eastAsia="Calibri" w:hAnsi="Calibri"/>
          <w:color w:val="1A1A1A"/>
          <w:sz w:val="22"/>
          <w:szCs w:val="22"/>
        </w:rPr>
        <w:t xml:space="preserve">This REQ-ID → commit/PR → TC-ID chain is what makes the Traceability Matrix in Section 6 possible — it cannot be reconstructed after the fact, so it has to be kept live from the first commit.</w:t>
      </w:r>
    </w:p>
    <w:p>
      <w:pPr>
        <w:spacing w:after="200"/>
      </w:pPr>
    </w:p>
    <w:p>
      <w:pPr>
        <w:pStyle w:val="Heading1"/>
        <w:pageBreakBefore/>
        <w:spacing w:after="140" w:before="320"/>
      </w:pPr>
      <w:bookmarkStart w:name="bm_10_5_stage_by_stage_operating_pro" w:id="1010"/>
      <w:r>
        <w:rPr>
          <w:rFonts w:ascii="Calibri" w:cs="Calibri" w:eastAsia="Calibri" w:hAnsi="Calibri"/>
          <w:b/>
          <w:bCs/>
          <w:color w:val="D34817"/>
          <w:sz w:val="30"/>
          <w:szCs w:val="30"/>
        </w:rPr>
        <w:t xml:space="preserve">5. Stage-by-Stage Operating Procedure</w:t>
      </w:r>
      <w:bookmarkEnd w:id="1010"/>
    </w:p>
    <w:p>
      <w:pPr>
        <w:pStyle w:val="Heading2"/>
        <w:spacing w:after="100" w:before="220"/>
      </w:pPr>
      <w:bookmarkStart w:name="bm_11_5_1_stage_1_development_machin" w:id="1011"/>
      <w:r>
        <w:rPr>
          <w:rFonts w:ascii="Calibri" w:cs="Calibri" w:eastAsia="Calibri" w:hAnsi="Calibri"/>
          <w:b/>
          <w:bCs/>
          <w:color w:val="404040"/>
          <w:sz w:val="24"/>
          <w:szCs w:val="24"/>
        </w:rPr>
        <w:t xml:space="preserve">5.1 Stage 1 — Development (Machine A)</w:t>
      </w:r>
      <w:bookmarkEnd w:id="1011"/>
    </w:p>
    <w:p>
      <w:pPr>
        <w:pStyle w:val="ListParagraph"/>
        <w:numPr>
          <w:ilvl w:val="0"/>
          <w:numId w:val="2"/>
        </w:numPr>
        <w:spacing w:after="80" w:line="280"/>
      </w:pPr>
      <w:r>
        <w:rPr>
          <w:rFonts w:ascii="Calibri" w:cs="Calibri" w:eastAsia="Calibri" w:hAnsi="Calibri"/>
          <w:color w:val="1A1A1A"/>
          <w:sz w:val="22"/>
          <w:szCs w:val="22"/>
        </w:rPr>
        <w:t xml:space="preserve">Pull the latest staging branch; cut a feature branch named per Section 4.1 for the specific REQ-ID(s) being implemented.</w:t>
      </w:r>
    </w:p>
    <w:p>
      <w:pPr>
        <w:pStyle w:val="ListParagraph"/>
        <w:numPr>
          <w:ilvl w:val="0"/>
          <w:numId w:val="2"/>
        </w:numPr>
        <w:spacing w:after="80" w:line="280"/>
      </w:pPr>
      <w:r>
        <w:rPr>
          <w:rFonts w:ascii="Calibri" w:cs="Calibri" w:eastAsia="Calibri" w:hAnsi="Calibri"/>
          <w:color w:val="1A1A1A"/>
          <w:sz w:val="22"/>
          <w:szCs w:val="22"/>
        </w:rPr>
        <w:t xml:space="preserve">Implement against the Technical Design's module/API contract for that REQ-ID; write/extend unit tests alongside the change, not afterward.</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before opening a pull request — a red local build is never pushed for review.</w:t>
      </w:r>
    </w:p>
    <w:p>
      <w:pPr>
        <w:pStyle w:val="ListParagraph"/>
        <w:numPr>
          <w:ilvl w:val="0"/>
          <w:numId w:val="2"/>
        </w:numPr>
        <w:spacing w:after="80" w:line="280"/>
      </w:pPr>
      <w:r>
        <w:rPr>
          <w:rFonts w:ascii="Calibri" w:cs="Calibri" w:eastAsia="Calibri" w:hAnsi="Calibri"/>
          <w:color w:val="1A1A1A"/>
          <w:sz w:val="22"/>
          <w:szCs w:val="22"/>
        </w:rPr>
        <w:t xml:space="preserve">Open the pull request into staging, title tagged with the REQ-ID(s), description listing exactly which acceptance criteria (from the BRD/PRD) this change satisfies.</w:t>
      </w:r>
    </w:p>
    <w:p>
      <w:pPr>
        <w:pStyle w:val="ListParagraph"/>
        <w:numPr>
          <w:ilvl w:val="0"/>
          <w:numId w:val="2"/>
        </w:numPr>
        <w:spacing w:after="80" w:line="280"/>
      </w:pPr>
      <w:r>
        <w:rPr>
          <w:rFonts w:ascii="Calibri" w:cs="Calibri" w:eastAsia="Calibri" w:hAnsi="Calibri"/>
          <w:color w:val="1A1A1A"/>
          <w:sz w:val="22"/>
          <w:szCs w:val="22"/>
        </w:rPr>
        <w:t xml:space="preserve">A Reviewer approves against the linked requirement, not just code style, before the merge is allowed.</w:t>
      </w:r>
    </w:p>
    <w:p>
      <w:pPr>
        <w:pStyle w:val="Heading2"/>
        <w:spacing w:after="100" w:before="220"/>
      </w:pPr>
      <w:bookmarkStart w:name="bm_12_5_2_stage_2_build_deploy_to_st" w:id="1012"/>
      <w:r>
        <w:rPr>
          <w:rFonts w:ascii="Calibri" w:cs="Calibri" w:eastAsia="Calibri" w:hAnsi="Calibri"/>
          <w:b/>
          <w:bCs/>
          <w:color w:val="404040"/>
          <w:sz w:val="24"/>
          <w:szCs w:val="24"/>
        </w:rPr>
        <w:t xml:space="preserve">5.2 Stage 2 — Build &amp; Deploy to Staging</w:t>
      </w:r>
      <w:bookmarkEnd w:id="1012"/>
    </w:p>
    <w:p>
      <w:pPr>
        <w:pStyle w:val="ListParagraph"/>
        <w:numPr>
          <w:ilvl w:val="0"/>
          <w:numId w:val="2"/>
        </w:numPr>
        <w:spacing w:after="80" w:line="280"/>
      </w:pPr>
      <w:r>
        <w:rPr>
          <w:rFonts w:ascii="Calibri" w:cs="Calibri" w:eastAsia="Calibri" w:hAnsi="Calibri"/>
          <w:color w:val="1A1A1A"/>
          <w:sz w:val="22"/>
          <w:szCs w:val="22"/>
        </w:rPr>
        <w:t xml:space="preserve">Merging a pull request into the staging branch triggers the CI pipeline: install, build, run the automated unit/integration suite, and — only if that suite is fully green — auto-deploy the build to the shared staging server.</w:t>
      </w:r>
    </w:p>
    <w:p>
      <w:pPr>
        <w:pStyle w:val="ListParagraph"/>
        <w:numPr>
          <w:ilvl w:val="0"/>
          <w:numId w:val="2"/>
        </w:numPr>
        <w:spacing w:after="80" w:line="280"/>
      </w:pPr>
      <w:r>
        <w:rPr>
          <w:rFonts w:ascii="Calibri" w:cs="Calibri" w:eastAsia="Calibri" w:hAnsi="Calibri"/>
          <w:color w:val="1A1A1A"/>
          <w:sz w:val="22"/>
          <w:szCs w:val="22"/>
        </w:rPr>
        <w:t xml:space="preserve">A failed staging build blocks further merges into staging until fixed; staging must always reflect a build that at least passed automated checks.</w:t>
      </w:r>
    </w:p>
    <w:p>
      <w:pPr>
        <w:pStyle w:val="ListParagraph"/>
        <w:numPr>
          <w:ilvl w:val="0"/>
          <w:numId w:val="2"/>
        </w:numPr>
        <w:spacing w:after="80" w:line="280"/>
      </w:pPr>
      <w:r>
        <w:rPr>
          <w:rFonts w:ascii="Calibri" w:cs="Calibri" w:eastAsia="Calibri" w:hAnsi="Calibri"/>
          <w:color w:val="1A1A1A"/>
          <w:sz w:val="22"/>
          <w:szCs w:val="22"/>
        </w:rPr>
        <w:t xml:space="preserve">The CI run tags the deployed staging build with the list of REQ-IDs it now contains, so QA always knows exactly what to test in this cycle.</w:t>
      </w:r>
    </w:p>
    <w:p>
      <w:pPr>
        <w:pStyle w:val="Heading2"/>
        <w:spacing w:after="100" w:before="220"/>
      </w:pPr>
      <w:bookmarkStart w:name="bm_13_5_3_stage_3_test_execution_mac" w:id="1013"/>
      <w:r>
        <w:rPr>
          <w:rFonts w:ascii="Calibri" w:cs="Calibri" w:eastAsia="Calibri" w:hAnsi="Calibri"/>
          <w:b/>
          <w:bCs/>
          <w:color w:val="404040"/>
          <w:sz w:val="24"/>
          <w:szCs w:val="24"/>
        </w:rPr>
        <w:t xml:space="preserve">5.3 Stage 3 — Test Execution (Machine B)</w:t>
      </w:r>
      <w:bookmarkEnd w:id="1013"/>
    </w:p>
    <w:p>
      <w:pPr>
        <w:pStyle w:val="ListParagraph"/>
        <w:numPr>
          <w:ilvl w:val="0"/>
          <w:numId w:val="2"/>
        </w:numPr>
        <w:spacing w:after="80" w:line="280"/>
      </w:pPr>
      <w:r>
        <w:rPr>
          <w:rFonts w:ascii="Calibri" w:cs="Calibri" w:eastAsia="Calibri" w:hAnsi="Calibri"/>
          <w:color w:val="1A1A1A"/>
          <w:sz w:val="22"/>
          <w:szCs w:val="22"/>
        </w:rPr>
        <w:t xml:space="preserve">QA, working independently on Machine B, pulls up the staging URL (never the developer's local environment) and executes every TC-ID mapped to the REQ-IDs newly present in this staging build.</w:t>
      </w:r>
    </w:p>
    <w:p>
      <w:pPr>
        <w:pStyle w:val="ListParagraph"/>
        <w:numPr>
          <w:ilvl w:val="0"/>
          <w:numId w:val="2"/>
        </w:numPr>
        <w:spacing w:after="80" w:line="280"/>
      </w:pPr>
      <w:r>
        <w:rPr>
          <w:rFonts w:ascii="Calibri" w:cs="Calibri" w:eastAsia="Calibri" w:hAnsi="Calibri"/>
          <w:color w:val="1A1A1A"/>
          <w:sz w:val="22"/>
          <w:szCs w:val="22"/>
        </w:rPr>
        <w:t xml:space="preserve">Each test case execution is recorded with a pass/fail result, the build/commit hash it was run against, and, on failure, a defect log entry that references both the TC-ID and its REQ-ID.</w:t>
      </w:r>
    </w:p>
    <w:p>
      <w:pPr>
        <w:pStyle w:val="ListParagraph"/>
        <w:numPr>
          <w:ilvl w:val="0"/>
          <w:numId w:val="2"/>
        </w:numPr>
        <w:spacing w:after="80" w:line="280"/>
      </w:pPr>
      <w:r>
        <w:rPr>
          <w:rFonts w:ascii="Calibri" w:cs="Calibri" w:eastAsia="Calibri" w:hAnsi="Calibri"/>
          <w:color w:val="1A1A1A"/>
          <w:sz w:val="22"/>
          <w:szCs w:val="22"/>
        </w:rPr>
        <w:t xml:space="preserve">A failed test case sends its REQ-ID back to Stage 1 as a new fix task — the same REQ-ID, not a new one, since the requirement itself has not changed, only the implementation.</w:t>
      </w:r>
    </w:p>
    <w:p>
      <w:pPr>
        <w:pStyle w:val="ListParagraph"/>
        <w:numPr>
          <w:ilvl w:val="0"/>
          <w:numId w:val="2"/>
        </w:numPr>
        <w:spacing w:after="80" w:line="280"/>
      </w:pPr>
      <w:r>
        <w:rPr>
          <w:rFonts w:ascii="Calibri" w:cs="Calibri" w:eastAsia="Calibri" w:hAnsi="Calibri"/>
          <w:color w:val="1A1A1A"/>
          <w:sz w:val="22"/>
          <w:szCs w:val="22"/>
        </w:rPr>
        <w:t xml:space="preserve">Regression: test cases from previously signed-off REQ-IDs that touch the same module are re-run, not just the new ones, whenever a change lands in a shared component.</w:t>
      </w:r>
    </w:p>
    <w:p>
      <w:pPr>
        <w:pStyle w:val="Heading2"/>
        <w:spacing w:after="100" w:before="220"/>
      </w:pPr>
      <w:bookmarkStart w:name="bm_14_5_4_stage_4_test_sign_off_gate" w:id="1014"/>
      <w:r>
        <w:rPr>
          <w:rFonts w:ascii="Calibri" w:cs="Calibri" w:eastAsia="Calibri" w:hAnsi="Calibri"/>
          <w:b/>
          <w:bCs/>
          <w:color w:val="404040"/>
          <w:sz w:val="24"/>
          <w:szCs w:val="24"/>
        </w:rPr>
        <w:t xml:space="preserve">5.4 Stage 4 — Test Sign-off Gate (Exit Criteria)</w:t>
      </w:r>
      <w:bookmarkEnd w:id="1014"/>
    </w:p>
    <w:p>
      <w:pPr>
        <w:spacing w:after="160" w:line="300"/>
        <w:jc w:val="both"/>
      </w:pPr>
      <w:r>
        <w:rPr>
          <w:rFonts w:ascii="Calibri" w:cs="Calibri" w:eastAsia="Calibri" w:hAnsi="Calibri"/>
          <w:color w:val="1A1A1A"/>
          <w:sz w:val="22"/>
          <w:szCs w:val="22"/>
        </w:rPr>
        <w:t xml:space="preserve">A staging build may be promoted to production only when ALL of the following hold:</w:t>
      </w:r>
    </w:p>
    <w:p>
      <w:pPr>
        <w:pStyle w:val="ListParagraph"/>
        <w:numPr>
          <w:ilvl w:val="0"/>
          <w:numId w:val="2"/>
        </w:numPr>
        <w:spacing w:after="80" w:line="280"/>
      </w:pPr>
      <w:r>
        <w:rPr>
          <w:rFonts w:ascii="Calibri" w:cs="Calibri" w:eastAsia="Calibri" w:hAnsi="Calibri"/>
          <w:color w:val="1A1A1A"/>
          <w:sz w:val="22"/>
          <w:szCs w:val="22"/>
        </w:rPr>
        <w:t xml:space="preserve">100% of test cases mapped to Critical and High priority Requirement IDs in this release have passed.</w:t>
      </w:r>
    </w:p>
    <w:p>
      <w:pPr>
        <w:pStyle w:val="ListParagraph"/>
        <w:numPr>
          <w:ilvl w:val="0"/>
          <w:numId w:val="2"/>
        </w:numPr>
        <w:spacing w:after="80" w:line="280"/>
      </w:pPr>
      <w:r>
        <w:rPr>
          <w:rFonts w:ascii="Calibri" w:cs="Calibri" w:eastAsia="Calibri" w:hAnsi="Calibri"/>
          <w:color w:val="1A1A1A"/>
          <w:sz w:val="22"/>
          <w:szCs w:val="22"/>
        </w:rPr>
        <w:t xml:space="preserve">Zero open Severity-1 (blocking) or Severity-2 (major) defects against any REQ-ID in this release.</w:t>
      </w:r>
    </w:p>
    <w:p>
      <w:pPr>
        <w:pStyle w:val="ListParagraph"/>
        <w:numPr>
          <w:ilvl w:val="0"/>
          <w:numId w:val="2"/>
        </w:numPr>
        <w:spacing w:after="80" w:line="280"/>
      </w:pPr>
      <w:r>
        <w:rPr>
          <w:rFonts w:ascii="Calibri" w:cs="Calibri" w:eastAsia="Calibri" w:hAnsi="Calibri"/>
          <w:color w:val="1A1A1A"/>
          <w:sz w:val="22"/>
          <w:szCs w:val="22"/>
        </w:rPr>
        <w:t xml:space="preserve">Any open Severity-3/4 (minor/cosmetic) defects are explicitly accepted in writing by the Release Owner and Product Owner, with a target fix release noted.</w:t>
      </w:r>
    </w:p>
    <w:p>
      <w:pPr>
        <w:pStyle w:val="ListParagraph"/>
        <w:numPr>
          <w:ilvl w:val="0"/>
          <w:numId w:val="2"/>
        </w:numPr>
        <w:spacing w:after="80" w:line="280"/>
      </w:pPr>
      <w:r>
        <w:rPr>
          <w:rFonts w:ascii="Calibri" w:cs="Calibri" w:eastAsia="Calibri" w:hAnsi="Calibri"/>
          <w:color w:val="1A1A1A"/>
          <w:sz w:val="22"/>
          <w:szCs w:val="22"/>
        </w:rPr>
        <w:t xml:space="preserve">The Release Owner has reconciled the release's REQ-ID list against the BRD/PRD and confirmed nothing out-of-scope has been included.</w:t>
      </w:r>
    </w:p>
    <w:p>
      <w:pPr>
        <w:spacing w:after="160" w:line="300"/>
        <w:jc w:val="both"/>
      </w:pPr>
      <w:r>
        <w:rPr>
          <w:rFonts w:ascii="Calibri" w:cs="Calibri" w:eastAsia="Calibri" w:hAnsi="Calibri"/>
          <w:color w:val="1A1A1A"/>
          <w:sz w:val="22"/>
          <w:szCs w:val="22"/>
        </w:rPr>
        <w:t xml:space="preserve">Only once these are met does the Release Owner mark the staging build a Release Candidate (RC) and authorize Stage 5.</w:t>
      </w:r>
    </w:p>
    <w:p>
      <w:pPr>
        <w:pStyle w:val="Heading2"/>
        <w:spacing w:after="100" w:before="220"/>
      </w:pPr>
      <w:bookmarkStart w:name="bm_15_5_5_stage_5_ci_cd_promotion_to" w:id="1015"/>
      <w:r>
        <w:rPr>
          <w:rFonts w:ascii="Calibri" w:cs="Calibri" w:eastAsia="Calibri" w:hAnsi="Calibri"/>
          <w:b/>
          <w:bCs/>
          <w:color w:val="404040"/>
          <w:sz w:val="24"/>
          <w:szCs w:val="24"/>
        </w:rPr>
        <w:t xml:space="preserve">5.5 Stage 5 — CI/CD Promotion to Production</w:t>
      </w:r>
      <w:bookmarkEnd w:id="1015"/>
    </w:p>
    <w:p>
      <w:pPr>
        <w:pStyle w:val="ListParagraph"/>
        <w:numPr>
          <w:ilvl w:val="0"/>
          <w:numId w:val="2"/>
        </w:numPr>
        <w:spacing w:after="80" w:line="280"/>
      </w:pPr>
      <w:r>
        <w:rPr>
          <w:rFonts w:ascii="Calibri" w:cs="Calibri" w:eastAsia="Calibri" w:hAnsi="Calibri"/>
          <w:color w:val="1A1A1A"/>
          <w:sz w:val="22"/>
          <w:szCs w:val="22"/>
        </w:rPr>
        <w:t xml:space="preserve">The Release Owner merges the signed-off staging branch into main (or triggers the pipeline's promote step directly on the RC build — no new code is written at this stage).</w:t>
      </w:r>
    </w:p>
    <w:p>
      <w:pPr>
        <w:pStyle w:val="ListParagraph"/>
        <w:numPr>
          <w:ilvl w:val="0"/>
          <w:numId w:val="2"/>
        </w:numPr>
        <w:spacing w:after="80" w:line="280"/>
      </w:pPr>
      <w:r>
        <w:rPr>
          <w:rFonts w:ascii="Calibri" w:cs="Calibri" w:eastAsia="Calibri" w:hAnsi="Calibri"/>
          <w:color w:val="1A1A1A"/>
          <w:sz w:val="22"/>
          <w:szCs w:val="22"/>
        </w:rPr>
        <w:t xml:space="preserve">The CI/CD pipeline rebuilds from the exact RC commit (never a re-build from a moving branch tip), runs the full automated regression suite again, and deploys to production only if that run is green.</w:t>
      </w:r>
    </w:p>
    <w:p>
      <w:pPr>
        <w:pStyle w:val="ListParagraph"/>
        <w:numPr>
          <w:ilvl w:val="0"/>
          <w:numId w:val="2"/>
        </w:numPr>
        <w:spacing w:after="80" w:line="280"/>
      </w:pPr>
      <w:r>
        <w:rPr>
          <w:rFonts w:ascii="Calibri" w:cs="Calibri" w:eastAsia="Calibri" w:hAnsi="Calibri"/>
          <w:color w:val="1A1A1A"/>
          <w:sz w:val="22"/>
          <w:szCs w:val="22"/>
        </w:rPr>
        <w:t xml:space="preserve">Deployment to production is always pipeline-driven — no manual file copy or manual server login ever ships a change to production.</w:t>
      </w:r>
    </w:p>
    <w:p>
      <w:pPr>
        <w:pStyle w:val="ListParagraph"/>
        <w:numPr>
          <w:ilvl w:val="0"/>
          <w:numId w:val="2"/>
        </w:numPr>
        <w:spacing w:after="80" w:line="280"/>
      </w:pPr>
      <w:r>
        <w:rPr>
          <w:rFonts w:ascii="Calibri" w:cs="Calibri" w:eastAsia="Calibri" w:hAnsi="Calibri"/>
          <w:color w:val="1A1A1A"/>
          <w:sz w:val="22"/>
          <w:szCs w:val="22"/>
        </w:rPr>
        <w:t xml:space="preserve">The pipeline tags the production release with the same REQ-ID list carried since Stage 2, so production always has a traceable record of exactly which requirements are live.</w:t>
      </w:r>
    </w:p>
    <w:p>
      <w:pPr>
        <w:pStyle w:val="Heading2"/>
        <w:spacing w:after="100" w:before="220"/>
      </w:pPr>
      <w:bookmarkStart w:name="bm_16_5_6_stage_6_post_deployment_ve" w:id="1016"/>
      <w:r>
        <w:rPr>
          <w:rFonts w:ascii="Calibri" w:cs="Calibri" w:eastAsia="Calibri" w:hAnsi="Calibri"/>
          <w:b/>
          <w:bCs/>
          <w:color w:val="404040"/>
          <w:sz w:val="24"/>
          <w:szCs w:val="24"/>
        </w:rPr>
        <w:t xml:space="preserve">5.6 Stage 6 — Post-Deployment Verification &amp; Rollback</w:t>
      </w:r>
      <w:bookmarkEnd w:id="1016"/>
    </w:p>
    <w:p>
      <w:pPr>
        <w:pStyle w:val="ListParagraph"/>
        <w:numPr>
          <w:ilvl w:val="0"/>
          <w:numId w:val="2"/>
        </w:numPr>
        <w:spacing w:after="80" w:line="280"/>
      </w:pPr>
      <w:r>
        <w:rPr>
          <w:rFonts w:ascii="Calibri" w:cs="Calibri" w:eastAsia="Calibri" w:hAnsi="Calibri"/>
          <w:color w:val="1A1A1A"/>
          <w:sz w:val="22"/>
          <w:szCs w:val="22"/>
        </w:rPr>
        <w:t xml:space="preserve">Immediately after a production deploy, run an automated smoke test against a small set of critical-path REQ-IDs (login, core workflow entry point, payment/critical integration if applicable).</w:t>
      </w:r>
    </w:p>
    <w:p>
      <w:pPr>
        <w:pStyle w:val="ListParagraph"/>
        <w:numPr>
          <w:ilvl w:val="0"/>
          <w:numId w:val="2"/>
        </w:numPr>
        <w:spacing w:after="80" w:line="280"/>
      </w:pPr>
      <w:r>
        <w:rPr>
          <w:rFonts w:ascii="Calibri" w:cs="Calibri" w:eastAsia="Calibri" w:hAnsi="Calibri"/>
          <w:color w:val="1A1A1A"/>
          <w:sz w:val="22"/>
          <w:szCs w:val="22"/>
        </w:rPr>
        <w:t xml:space="preserve">If the smoke test fails, or a Severity-1 defect is reported within the initial monitoring window, the Release Owner triggers an immediate rollback to the last known-good production build via the pipeline — never a manual hotfix under pressure.</w:t>
      </w:r>
    </w:p>
    <w:p>
      <w:pPr>
        <w:pStyle w:val="ListParagraph"/>
        <w:numPr>
          <w:ilvl w:val="0"/>
          <w:numId w:val="2"/>
        </w:numPr>
        <w:spacing w:after="80" w:line="280"/>
      </w:pPr>
      <w:r>
        <w:rPr>
          <w:rFonts w:ascii="Calibri" w:cs="Calibri" w:eastAsia="Calibri" w:hAnsi="Calibri"/>
          <w:color w:val="1A1A1A"/>
          <w:sz w:val="22"/>
          <w:szCs w:val="22"/>
        </w:rPr>
        <w:t xml:space="preserve">A rollback is followed by a written incident note: which REQ-ID/build was rolled back, why, and whether it returns to Stage 1 (code fix) or Stage 4 (a sign-off gap).</w:t>
      </w:r>
    </w:p>
    <w:p>
      <w:pPr>
        <w:spacing w:after="200"/>
      </w:pPr>
    </w:p>
    <w:p>
      <w:pPr>
        <w:pStyle w:val="Heading1"/>
        <w:pageBreakBefore/>
        <w:spacing w:after="140" w:before="320"/>
      </w:pPr>
      <w:bookmarkStart w:name="bm_17_6_traceability_matrix" w:id="1017"/>
      <w:r>
        <w:rPr>
          <w:rFonts w:ascii="Calibri" w:cs="Calibri" w:eastAsia="Calibri" w:hAnsi="Calibri"/>
          <w:b/>
          <w:bCs/>
          <w:color w:val="D34817"/>
          <w:sz w:val="30"/>
          <w:szCs w:val="30"/>
        </w:rPr>
        <w:t xml:space="preserve">6. Traceability Matrix</w:t>
      </w:r>
      <w:bookmarkEnd w:id="1017"/>
    </w:p>
    <w:p>
      <w:pPr>
        <w:spacing w:after="160" w:line="300"/>
        <w:jc w:val="both"/>
      </w:pPr>
      <w:r>
        <w:rPr>
          <w:rFonts w:ascii="Calibri" w:cs="Calibri" w:eastAsia="Calibri" w:hAnsi="Calibri"/>
          <w:color w:val="1A1A1A"/>
          <w:sz w:val="22"/>
          <w:szCs w:val="22"/>
        </w:rPr>
        <w:t xml:space="preserve">Maintained live (in the chosen project-tracking tool from Section 7, not as a static document) for every release, so any Requirement ID can be traced end-to-end from the BRD/PRD to its production release: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2000"/>
        <w:gridCol w:w="1600"/>
      </w:tblGrid>
      <w:tr>
        <w:trPr>
          <w:tblHeader/>
        </w:trPr>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REQ-ID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BRD/PRD Module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TC-ID(s)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Build / Release</w:t>
            </w:r>
          </w:p>
        </w:tc>
        <w:tc>
          <w:tcPr>
            <w:tcW w:type="dxa" w:w="1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Status</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REQ-TMR-14</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3.2 JD Management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TC-14-01, TC-14-02, TC-14-03</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Passed — RC</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REQ-TMR-15</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3.3 Publishing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TC-15-01</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staging build #482</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Failed — returned to dev</w:t>
            </w:r>
          </w:p>
        </w:tc>
      </w:tr>
      <w:tr>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REQ-TMR-16</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3.6 Screening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TC-16-01, TC-16-02</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 release v2.4.0</w:t>
            </w:r>
          </w:p>
        </w:tc>
        <w:tc>
          <w:tcPr>
            <w:tcW w:type="dxa" w:w="1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Live in production</w:t>
            </w:r>
          </w:p>
        </w:tc>
      </w:tr>
    </w:tbl>
    <w:p>
      <w:pPr>
        <w:spacing w:after="200"/>
      </w:pPr>
    </w:p>
    <w:p>
      <w:pPr>
        <w:pStyle w:val="Heading1"/>
        <w:pageBreakBefore/>
        <w:spacing w:after="140" w:before="320"/>
      </w:pPr>
      <w:bookmarkStart w:name="bm_18_7_recommended_project_qa_monit" w:id="1018"/>
      <w:r>
        <w:rPr>
          <w:rFonts w:ascii="Calibri" w:cs="Calibri" w:eastAsia="Calibri" w:hAnsi="Calibri"/>
          <w:b/>
          <w:bCs/>
          <w:color w:val="D34817"/>
          <w:sz w:val="30"/>
          <w:szCs w:val="30"/>
        </w:rPr>
        <w:t xml:space="preserve">7. Recommended Project &amp; QA Monitoring Tooling</w:t>
      </w:r>
      <w:bookmarkEnd w:id="1018"/>
    </w:p>
    <w:p>
      <w:pPr>
        <w:spacing w:after="160" w:line="300"/>
        <w:jc w:val="both"/>
      </w:pPr>
      <w:r>
        <w:rPr>
          <w:rFonts w:ascii="Calibri" w:cs="Calibri" w:eastAsia="Calibri" w:hAnsi="Calibri"/>
          <w:color w:val="1A1A1A"/>
          <w:sz w:val="22"/>
          <w:szCs w:val="22"/>
        </w:rPr>
        <w:t xml:space="preserve">Phoneme runs several SaaS products in parallel, so the tracking tool needs to show per-product progress cleanly, support the REQ-ID ↔ TC-ID traceability this SOP depends on, and connect to the existing GitHub-based CI/CD pipeline without heavy custom glue.</w:t>
      </w:r>
    </w:p>
    <w:p>
      <w:pPr>
        <w:pStyle w:val="Heading2"/>
        <w:spacing w:after="100" w:before="220"/>
      </w:pPr>
      <w:bookmarkStart w:name="bm_19_7_1_primary_recommendation_jir" w:id="1019"/>
      <w:r>
        <w:rPr>
          <w:rFonts w:ascii="Calibri" w:cs="Calibri" w:eastAsia="Calibri" w:hAnsi="Calibri"/>
          <w:b/>
          <w:bCs/>
          <w:color w:val="404040"/>
          <w:sz w:val="24"/>
          <w:szCs w:val="24"/>
        </w:rPr>
        <w:t xml:space="preserve">7.1 Primary recommendation — Jira Cloud (Standard) + Zephyr Scale</w:t>
      </w:r>
      <w:bookmarkEnd w:id="1019"/>
    </w:p>
    <w:p>
      <w:pPr>
        <w:pStyle w:val="ListParagraph"/>
        <w:numPr>
          <w:ilvl w:val="0"/>
          <w:numId w:val="2"/>
        </w:numPr>
        <w:spacing w:after="80" w:line="280"/>
      </w:pPr>
      <w:r>
        <w:rPr>
          <w:rFonts w:ascii="Calibri" w:cs="Calibri" w:eastAsia="Calibri" w:hAnsi="Calibri"/>
          <w:color w:val="1A1A1A"/>
          <w:sz w:val="22"/>
          <w:szCs w:val="22"/>
        </w:rPr>
        <w:t xml:space="preserve">Jira Cloud Standard runs roughly $7.91/user/month (about $79/month for a 10-person team); Zephyr Scale is free up to 10 users and roughly $4.55/user/month beyond that.</w:t>
      </w:r>
    </w:p>
    <w:p>
      <w:pPr>
        <w:pStyle w:val="ListParagraph"/>
        <w:numPr>
          <w:ilvl w:val="0"/>
          <w:numId w:val="2"/>
        </w:numPr>
        <w:spacing w:after="80" w:line="280"/>
      </w:pPr>
      <w:r>
        <w:rPr>
          <w:rFonts w:ascii="Calibri" w:cs="Calibri" w:eastAsia="Calibri" w:hAnsi="Calibri"/>
          <w:color w:val="1A1A1A"/>
          <w:sz w:val="22"/>
          <w:szCs w:val="22"/>
        </w:rPr>
        <w:t xml:space="preserve">Zephyr Scale adds native, purpose-built requirement-to-test traceability — REQ-IDs as Jira issues link directly to TC-IDs as Zephyr test cases, with execution results and coverage reports out of the box, rather than being hand-built with labels.</w:t>
      </w:r>
    </w:p>
    <w:p>
      <w:pPr>
        <w:pStyle w:val="ListParagraph"/>
        <w:numPr>
          <w:ilvl w:val="0"/>
          <w:numId w:val="2"/>
        </w:numPr>
        <w:spacing w:after="80" w:line="280"/>
      </w:pPr>
      <w:r>
        <w:rPr>
          <w:rFonts w:ascii="Calibri" w:cs="Calibri" w:eastAsia="Calibri" w:hAnsi="Calibri"/>
          <w:color w:val="1A1A1A"/>
          <w:sz w:val="22"/>
          <w:szCs w:val="22"/>
        </w:rPr>
        <w:t xml:space="preserve">Zephyr Scale and Jira both integrate with GitHub Actions via webhooks/REST API, so a CI pipeline run can update a test execution's status automatically.</w:t>
      </w:r>
    </w:p>
    <w:p>
      <w:pPr>
        <w:pStyle w:val="ListParagraph"/>
        <w:numPr>
          <w:ilvl w:val="0"/>
          <w:numId w:val="2"/>
        </w:numPr>
        <w:spacing w:after="80" w:line="280"/>
      </w:pPr>
      <w:r>
        <w:rPr>
          <w:rFonts w:ascii="Calibri" w:cs="Calibri" w:eastAsia="Calibri" w:hAnsi="Calibri"/>
          <w:color w:val="1A1A1A"/>
          <w:sz w:val="22"/>
          <w:szCs w:val="22"/>
        </w:rPr>
        <w:t xml:space="preserve">Each Phoneme SaaS product (Teamora, and future products) runs as its own Jira project, with a shared cross-project traceability/portfolio view for Anuj to see progress across all of them at once.</w:t>
      </w:r>
    </w:p>
    <w:p>
      <w:pPr>
        <w:pStyle w:val="Heading2"/>
        <w:spacing w:after="100" w:before="220"/>
      </w:pPr>
      <w:bookmarkStart w:name="bm_20_7_2_lightweight_alternative_gi" w:id="1020"/>
      <w:r>
        <w:rPr>
          <w:rFonts w:ascii="Calibri" w:cs="Calibri" w:eastAsia="Calibri" w:hAnsi="Calibri"/>
          <w:b/>
          <w:bCs/>
          <w:color w:val="404040"/>
          <w:sz w:val="24"/>
          <w:szCs w:val="24"/>
        </w:rPr>
        <w:t xml:space="preserve">7.2 Lightweight alternative — GitHub Projects + Kiwi TCMS (self-hosted)</w:t>
      </w:r>
      <w:bookmarkEnd w:id="1020"/>
    </w:p>
    <w:p>
      <w:pPr>
        <w:pStyle w:val="ListParagraph"/>
        <w:numPr>
          <w:ilvl w:val="0"/>
          <w:numId w:val="2"/>
        </w:numPr>
        <w:spacing w:after="80" w:line="280"/>
      </w:pPr>
      <w:r>
        <w:rPr>
          <w:rFonts w:ascii="Calibri" w:cs="Calibri" w:eastAsia="Calibri" w:hAnsi="Calibri"/>
          <w:color w:val="1A1A1A"/>
          <w:sz w:val="22"/>
          <w:szCs w:val="22"/>
        </w:rPr>
        <w:t xml:space="preserve">GitHub Projects is free/included at every GitHub tier and sits natively alongside the repos and Actions pipelines Phoneme already uses — no new vendor relationship.</w:t>
      </w:r>
    </w:p>
    <w:p>
      <w:pPr>
        <w:pStyle w:val="ListParagraph"/>
        <w:numPr>
          <w:ilvl w:val="0"/>
          <w:numId w:val="2"/>
        </w:numPr>
        <w:spacing w:after="80" w:line="280"/>
      </w:pPr>
      <w:r>
        <w:rPr>
          <w:rFonts w:ascii="Calibri" w:cs="Calibri" w:eastAsia="Calibri" w:hAnsi="Calibri"/>
          <w:color w:val="1A1A1A"/>
          <w:sz w:val="22"/>
          <w:szCs w:val="22"/>
        </w:rPr>
        <w:t xml:space="preserve">It has no native test-case management, so it is paired with Kiwi TCMS, an open-source test case management tool that can be self-hosted on Phoneme's own infrastructure (a natural fit given Phoneme's existing data-center/private-cloud capability), linked to GitHub issues manually per REQ-ID.</w:t>
      </w:r>
    </w:p>
    <w:p>
      <w:pPr>
        <w:pStyle w:val="ListParagraph"/>
        <w:numPr>
          <w:ilvl w:val="0"/>
          <w:numId w:val="2"/>
        </w:numPr>
        <w:spacing w:after="80" w:line="280"/>
      </w:pPr>
      <w:r>
        <w:rPr>
          <w:rFonts w:ascii="Calibri" w:cs="Calibri" w:eastAsia="Calibri" w:hAnsi="Calibri"/>
          <w:color w:val="1A1A1A"/>
          <w:sz w:val="22"/>
          <w:szCs w:val="22"/>
        </w:rPr>
        <w:t xml:space="preserve">This path costs less and stays fully within infrastructure Phoneme already controls, at the cost of more manual linking discipline than Jira + Zephyr Scale's native traceability.</w:t>
      </w:r>
    </w:p>
    <w:p>
      <w:pPr>
        <w:pStyle w:val="Heading2"/>
        <w:spacing w:after="100" w:before="220"/>
      </w:pPr>
      <w:bookmarkStart w:name="bm_21_7_3_recommendation" w:id="1021"/>
      <w:r>
        <w:rPr>
          <w:rFonts w:ascii="Calibri" w:cs="Calibri" w:eastAsia="Calibri" w:hAnsi="Calibri"/>
          <w:b/>
          <w:bCs/>
          <w:color w:val="404040"/>
          <w:sz w:val="24"/>
          <w:szCs w:val="24"/>
        </w:rPr>
        <w:t xml:space="preserve">7.3 Recommendation</w:t>
      </w:r>
      <w:bookmarkEnd w:id="1021"/>
    </w:p>
    <w:p>
      <w:pPr>
        <w:spacing w:after="160" w:line="300"/>
        <w:jc w:val="both"/>
      </w:pPr>
      <w:r>
        <w:rPr>
          <w:rFonts w:ascii="Calibri" w:cs="Calibri" w:eastAsia="Calibri" w:hAnsi="Calibri"/>
          <w:color w:val="1A1A1A"/>
          <w:sz w:val="22"/>
          <w:szCs w:val="22"/>
        </w:rPr>
        <w:t xml:space="preserve">Start with Jira Cloud Standard + Zephyr Scale for the first product this SOP is rolled out on (Teamora): the cost difference at Phoneme's current team size is small, and native traceability removes an entire category of manual bookkeeping error at exactly the REQ-ID ↔ TC-ID link this SOP is built around. Revisit the self-hosted GitHub Projects + Kiwi TCMS path if the number of paid seats grows enough for cost to become the deciding factor.</w:t>
      </w:r>
    </w:p>
    <w:p>
      <w:pPr>
        <w:spacing w:after="200"/>
      </w:pPr>
    </w:p>
    <w:p>
      <w:pPr>
        <w:pStyle w:val="Heading1"/>
        <w:pageBreakBefore/>
        <w:spacing w:after="140" w:before="320"/>
      </w:pPr>
      <w:bookmarkStart w:name="bm_22_8_environment_preparation_proc" w:id="1022"/>
      <w:r>
        <w:rPr>
          <w:rFonts w:ascii="Calibri" w:cs="Calibri" w:eastAsia="Calibri" w:hAnsi="Calibri"/>
          <w:b/>
          <w:bCs/>
          <w:color w:val="D34817"/>
          <w:sz w:val="30"/>
          <w:szCs w:val="30"/>
        </w:rPr>
        <w:t xml:space="preserve">8. Environment Preparation Procedures</w:t>
      </w:r>
      <w:bookmarkEnd w:id="1022"/>
    </w:p>
    <w:p>
      <w:pPr>
        <w:spacing w:after="160" w:line="300"/>
        <w:jc w:val="both"/>
      </w:pPr>
      <w:r>
        <w:rPr>
          <w:rFonts w:ascii="Calibri" w:cs="Calibri" w:eastAsia="Calibri" w:hAnsi="Calibri"/>
          <w:color w:val="1A1A1A"/>
          <w:sz w:val="22"/>
          <w:szCs w:val="22"/>
        </w:rPr>
        <w:t xml:space="preserve">Hosting decision on record: staging and production run self-hosted on Phoneme's own infrastructure behind Coolify (open-source, self-hosted deployment platform) rather than a managed PaaS — consistent with Phoneme's existing data-center/private-cloud capability. This section is the checklist for standing up each environment in Sections 1–2 of this SOP for a new product.</w:t>
      </w:r>
    </w:p>
    <w:p>
      <w:pPr>
        <w:pStyle w:val="Heading2"/>
        <w:spacing w:after="100" w:before="220"/>
      </w:pPr>
      <w:bookmarkStart w:name="bm_23_8_1_machine_a_developer_enviro" w:id="1023"/>
      <w:r>
        <w:rPr>
          <w:rFonts w:ascii="Calibri" w:cs="Calibri" w:eastAsia="Calibri" w:hAnsi="Calibri"/>
          <w:b/>
          <w:bCs/>
          <w:color w:val="404040"/>
          <w:sz w:val="24"/>
          <w:szCs w:val="24"/>
        </w:rPr>
        <w:t xml:space="preserve">8.1 Machine A — Developer Environment Setup</w:t>
      </w:r>
      <w:bookmarkEnd w:id="1023"/>
    </w:p>
    <w:p>
      <w:pPr>
        <w:pStyle w:val="ListParagraph"/>
        <w:numPr>
          <w:ilvl w:val="0"/>
          <w:numId w:val="2"/>
        </w:numPr>
        <w:spacing w:after="80" w:line="280"/>
      </w:pPr>
      <w:r>
        <w:rPr>
          <w:rFonts w:ascii="Calibri" w:cs="Calibri" w:eastAsia="Calibri" w:hAnsi="Calibri"/>
          <w:color w:val="1A1A1A"/>
          <w:sz w:val="22"/>
          <w:szCs w:val="22"/>
        </w:rPr>
        <w:t xml:space="preserve">Install the language runtime/package manager version pinned in the product's Technical Stack Charter (phoneme-technical-stack) — never “whatever is newest.”</w:t>
      </w:r>
    </w:p>
    <w:p>
      <w:pPr>
        <w:pStyle w:val="ListParagraph"/>
        <w:numPr>
          <w:ilvl w:val="0"/>
          <w:numId w:val="2"/>
        </w:numPr>
        <w:spacing w:after="80" w:line="280"/>
      </w:pPr>
      <w:r>
        <w:rPr>
          <w:rFonts w:ascii="Calibri" w:cs="Calibri" w:eastAsia="Calibri" w:hAnsi="Calibri"/>
          <w:color w:val="1A1A1A"/>
          <w:sz w:val="22"/>
          <w:szCs w:val="22"/>
        </w:rPr>
        <w:t xml:space="preserve">Configure git identity and add the developer's SSH key to GitHub; clone the product repository.</w:t>
      </w:r>
    </w:p>
    <w:p>
      <w:pPr>
        <w:pStyle w:val="ListParagraph"/>
        <w:numPr>
          <w:ilvl w:val="0"/>
          <w:numId w:val="2"/>
        </w:numPr>
        <w:spacing w:after="80" w:line="280"/>
      </w:pPr>
      <w:r>
        <w:rPr>
          <w:rFonts w:ascii="Calibri" w:cs="Calibri" w:eastAsia="Calibri" w:hAnsi="Calibri"/>
          <w:color w:val="1A1A1A"/>
          <w:sz w:val="22"/>
          <w:szCs w:val="22"/>
        </w:rPr>
        <w:t xml:space="preserve">Install project dependencies from the committed lockfile (never a fresh, unpinned install).</w:t>
      </w:r>
    </w:p>
    <w:p>
      <w:pPr>
        <w:pStyle w:val="ListParagraph"/>
        <w:numPr>
          <w:ilvl w:val="0"/>
          <w:numId w:val="2"/>
        </w:numPr>
        <w:spacing w:after="80" w:line="280"/>
      </w:pPr>
      <w:r>
        <w:rPr>
          <w:rFonts w:ascii="Calibri" w:cs="Calibri" w:eastAsia="Calibri" w:hAnsi="Calibri"/>
          <w:color w:val="1A1A1A"/>
          <w:sz w:val="22"/>
          <w:szCs w:val="22"/>
        </w:rPr>
        <w:t xml:space="preserve">Copy .env.example to a local .env with dev-safe placeholder values — real staging/production secrets are never copied onto a developer machine.</w:t>
      </w:r>
    </w:p>
    <w:p>
      <w:pPr>
        <w:pStyle w:val="ListParagraph"/>
        <w:numPr>
          <w:ilvl w:val="0"/>
          <w:numId w:val="2"/>
        </w:numPr>
        <w:spacing w:after="80" w:line="280"/>
      </w:pPr>
      <w:r>
        <w:rPr>
          <w:rFonts w:ascii="Calibri" w:cs="Calibri" w:eastAsia="Calibri" w:hAnsi="Calibri"/>
          <w:color w:val="1A1A1A"/>
          <w:sz w:val="22"/>
          <w:szCs w:val="22"/>
        </w:rPr>
        <w:t xml:space="preserve">Install and enable the repo's pre-commit hooks (lint/format) so style issues are caught before a PR, not in review.</w:t>
      </w:r>
    </w:p>
    <w:p>
      <w:pPr>
        <w:pStyle w:val="ListParagraph"/>
        <w:numPr>
          <w:ilvl w:val="0"/>
          <w:numId w:val="2"/>
        </w:numPr>
        <w:spacing w:after="80" w:line="280"/>
      </w:pPr>
      <w:r>
        <w:rPr>
          <w:rFonts w:ascii="Calibri" w:cs="Calibri" w:eastAsia="Calibri" w:hAnsi="Calibri"/>
          <w:color w:val="1A1A1A"/>
          <w:sz w:val="22"/>
          <w:szCs w:val="22"/>
        </w:rPr>
        <w:t xml:space="preserve">Run the full local build and unit test suite once, clean, before starting any feature work — confirms the environment itself is sound before blaming code.</w:t>
      </w:r>
    </w:p>
    <w:p>
      <w:pPr>
        <w:pStyle w:val="ListParagraph"/>
        <w:numPr>
          <w:ilvl w:val="0"/>
          <w:numId w:val="2"/>
        </w:numPr>
        <w:spacing w:after="80" w:line="280"/>
      </w:pPr>
      <w:r>
        <w:rPr>
          <w:rFonts w:ascii="Calibri" w:cs="Calibri" w:eastAsia="Calibri" w:hAnsi="Calibri"/>
          <w:color w:val="1A1A1A"/>
          <w:sz w:val="22"/>
          <w:szCs w:val="22"/>
        </w:rPr>
        <w:t xml:space="preserve">Confirm the branch-naming convention (Section 4.1) and the REQ-ID this session's work will implement before the first commit.</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runs as a single, idempotent, resumable script (Deployment/Machine1_Env_Setup.ps1) rather than by hand — it self-elevates for the admin-only steps (WSL2, Docker Desktop, GitHub CLI, PostgreSQL client), resumes automatically across the reboot WSL2 requires via a Windows RunOnce entry, and pins Node.js to the repo's committed .nvmrc/.node-version. Git identity/SSH key registration and the application scaffold itself stay deliberately manual — see Deployment/MACHINE_A_SETUP_PROCESS.md for the full as-built writeup and Deployment/MACHINE1_READINESS.md for the first workstation's recorded baseline/blockers.</w:t>
      </w:r>
    </w:p>
    <w:p>
      <w:pPr>
        <w:pStyle w:val="Heading2"/>
        <w:spacing w:after="100" w:before="220"/>
      </w:pPr>
      <w:bookmarkStart w:name="bm_24_8_2_machine_b_qa_test_environm" w:id="1024"/>
      <w:r>
        <w:rPr>
          <w:rFonts w:ascii="Calibri" w:cs="Calibri" w:eastAsia="Calibri" w:hAnsi="Calibri"/>
          <w:b/>
          <w:bCs/>
          <w:color w:val="404040"/>
          <w:sz w:val="24"/>
          <w:szCs w:val="24"/>
        </w:rPr>
        <w:t xml:space="preserve">8.2 Machine B — QA/Test Environment Setup</w:t>
      </w:r>
      <w:bookmarkEnd w:id="1024"/>
    </w:p>
    <w:p>
      <w:pPr>
        <w:pStyle w:val="ListParagraph"/>
        <w:numPr>
          <w:ilvl w:val="0"/>
          <w:numId w:val="2"/>
        </w:numPr>
        <w:spacing w:after="80" w:line="280"/>
      </w:pPr>
      <w:r>
        <w:rPr>
          <w:rFonts w:ascii="Calibri" w:cs="Calibri" w:eastAsia="Calibri" w:hAnsi="Calibri"/>
          <w:color w:val="1A1A1A"/>
          <w:sz w:val="22"/>
          <w:szCs w:val="22"/>
        </w:rPr>
        <w:t xml:space="preserve">Install the test framework/runner specified in the Technical Stack Charter (e.g. Playwright) and its browser binaries — kept independent of whatever Machine A has installed.</w:t>
      </w:r>
    </w:p>
    <w:p>
      <w:pPr>
        <w:pStyle w:val="ListParagraph"/>
        <w:numPr>
          <w:ilvl w:val="0"/>
          <w:numId w:val="2"/>
        </w:numPr>
        <w:spacing w:after="80" w:line="280"/>
      </w:pPr>
      <w:r>
        <w:rPr>
          <w:rFonts w:ascii="Calibri" w:cs="Calibri" w:eastAsia="Calibri" w:hAnsi="Calibri"/>
          <w:color w:val="1A1A1A"/>
          <w:sz w:val="22"/>
          <w:szCs w:val="22"/>
        </w:rPr>
        <w:t xml:space="preserve">Configure network access to the staging URL only — Machine B never needs, and should never be given, production credentials or a route to the production database.</w:t>
      </w:r>
    </w:p>
    <w:p>
      <w:pPr>
        <w:pStyle w:val="ListParagraph"/>
        <w:numPr>
          <w:ilvl w:val="0"/>
          <w:numId w:val="2"/>
        </w:numPr>
        <w:spacing w:after="80" w:line="280"/>
      </w:pPr>
      <w:r>
        <w:rPr>
          <w:rFonts w:ascii="Calibri" w:cs="Calibri" w:eastAsia="Calibri" w:hAnsi="Calibri"/>
          <w:color w:val="1A1A1A"/>
          <w:sz w:val="22"/>
          <w:szCs w:val="22"/>
        </w:rPr>
        <w:t xml:space="preserve">Set up dedicated QA test accounts (never real customer/candidate data) for exercising the staging build.</w:t>
      </w:r>
    </w:p>
    <w:p>
      <w:pPr>
        <w:pStyle w:val="ListParagraph"/>
        <w:numPr>
          <w:ilvl w:val="0"/>
          <w:numId w:val="2"/>
        </w:numPr>
        <w:spacing w:after="80" w:line="280"/>
      </w:pPr>
      <w:r>
        <w:rPr>
          <w:rFonts w:ascii="Calibri" w:cs="Calibri" w:eastAsia="Calibri" w:hAnsi="Calibri"/>
          <w:color w:val="1A1A1A"/>
          <w:sz w:val="22"/>
          <w:szCs w:val="22"/>
        </w:rPr>
        <w:t xml:space="preserve">Connect to the test-management tool (Zephyr Scale, under the product's Jira project — or Kiwi TCMS under the Section 7.2 lightweight alternative, as adopted for Teamora HRMS per Section 8.4) with QA's own login — test executions are always recorded under the QA engineer's identity, not the developer's.</w:t>
      </w:r>
    </w:p>
    <w:p>
      <w:pPr>
        <w:pStyle w:val="ListParagraph"/>
        <w:numPr>
          <w:ilvl w:val="0"/>
          <w:numId w:val="2"/>
        </w:numPr>
        <w:spacing w:after="80" w:line="280"/>
      </w:pPr>
      <w:r>
        <w:rPr>
          <w:rFonts w:ascii="Calibri" w:cs="Calibri" w:eastAsia="Calibri" w:hAnsi="Calibri"/>
          <w:color w:val="1A1A1A"/>
          <w:sz w:val="22"/>
          <w:szCs w:val="22"/>
        </w:rPr>
        <w:t xml:space="preserve">Confirm the local path/convention for exporting a signed-off test cycle's results, per Section 8.6 below, before the first execution of a release.</w:t>
      </w:r>
    </w:p>
    <w:p>
      <w:pPr>
        <w:pStyle w:val="ListParagraph"/>
        <w:numPr>
          <w:ilvl w:val="0"/>
          <w:numId w:val="2"/>
        </w:numPr>
        <w:spacing w:after="80" w:line="280"/>
      </w:pPr>
      <w:r>
        <w:rPr>
          <w:rFonts w:ascii="Calibri" w:cs="Calibri" w:eastAsia="Calibri" w:hAnsi="Calibri"/>
          <w:color w:val="1A1A1A"/>
          <w:sz w:val="22"/>
          <w:szCs w:val="22"/>
        </w:rPr>
        <w:t xml:space="preserve">As-built for Teamora HRMS: this checklist likewise runs as a companion script (Deployment/MachineB_Env_Setup.ps1) — lighter than Machine A's since Machine B tests the deployed staging build over the network rather than running the application locally, so it needs only a baseline Node.js install and Playwright (once a pinned version lands in the repo's Phase 2 QA scaffold), plus an optional -StagingUrl reachability check. Network isolation to staging-only, QA account provisioning, and the Section 8.6 sign-off export itself all stay manual/owner-actioned by design — see Deployment/MACHINE_B_SETUP_PROCESS.md.</w:t>
      </w:r>
    </w:p>
    <w:p>
      <w:pPr>
        <w:pStyle w:val="Heading2"/>
        <w:spacing w:after="100" w:before="220"/>
      </w:pPr>
      <w:bookmarkStart w:name="bm_25_8_3_staging_server_auto_deploy" w:id="1025"/>
      <w:r>
        <w:rPr>
          <w:rFonts w:ascii="Calibri" w:cs="Calibri" w:eastAsia="Calibri" w:hAnsi="Calibri"/>
          <w:b/>
          <w:bCs/>
          <w:color w:val="404040"/>
          <w:sz w:val="24"/>
          <w:szCs w:val="24"/>
        </w:rPr>
        <w:t xml:space="preserve">8.3 Staging Server — Auto-Deploy on Commit (Coolify)</w:t>
      </w:r>
      <w:bookmarkEnd w:id="1025"/>
    </w:p>
    <w:p>
      <w:pPr>
        <w:pStyle w:val="ListParagraph"/>
        <w:numPr>
          <w:ilvl w:val="0"/>
          <w:numId w:val="2"/>
        </w:numPr>
        <w:spacing w:after="80" w:line="280"/>
      </w:pPr>
      <w:r>
        <w:rPr>
          <w:rFonts w:ascii="Calibri" w:cs="Calibri" w:eastAsia="Calibri" w:hAnsi="Calibri"/>
          <w:color w:val="1A1A1A"/>
          <w:sz w:val="22"/>
          <w:szCs w:val="22"/>
        </w:rPr>
        <w:t xml:space="preserve">Provision a server/VM on Phoneme's own infrastructure and install Coolify on it (single install script; Coolify then manages its own reverse proxy, SSL, and deployment runtime). Note: the install script detects the OS's package manager (apt-get/dnf/yum/apk/zypper) and installs curl automatically if the base image doesn't ship it — this was needed in practice on the first server provisioned.</w:t>
      </w:r>
    </w:p>
    <w:p>
      <w:pPr>
        <w:pStyle w:val="ListParagraph"/>
        <w:numPr>
          <w:ilvl w:val="0"/>
          <w:numId w:val="2"/>
        </w:numPr>
        <w:spacing w:after="80" w:line="280"/>
      </w:pPr>
      <w:r>
        <w:rPr>
          <w:rFonts w:ascii="Calibri" w:cs="Calibri" w:eastAsia="Calibri" w:hAnsi="Calibri"/>
          <w:color w:val="1A1A1A"/>
          <w:sz w:val="22"/>
          <w:szCs w:val="22"/>
        </w:rPr>
        <w:t xml:space="preserve">Create one Coolify project per product (e.g. “Teamora HRMS”); within it, Coolify's own “production” environment is used for the production application and a second “staging” environment is added for the staging application — this environment split is Coolify's native mechanism for keeping the two deployments, their domains, and their variables completely separate within one project.</w:t>
      </w:r>
    </w:p>
    <w:p>
      <w:pPr>
        <w:pStyle w:val="ListParagraph"/>
        <w:numPr>
          <w:ilvl w:val="0"/>
          <w:numId w:val="2"/>
        </w:numPr>
        <w:spacing w:after="80" w:line="280"/>
      </w:pPr>
      <w:r>
        <w:rPr>
          <w:rFonts w:ascii="Calibri" w:cs="Calibri" w:eastAsia="Calibri" w:hAnsi="Calibri"/>
          <w:color w:val="1A1A1A"/>
          <w:sz w:val="22"/>
          <w:szCs w:val="22"/>
        </w:rPr>
        <w:t xml:space="preserve">Connect the product's GitHub repository as a Source using a GitHub App (Sources → New Source → GitHub App), not a plain deploy key — the App is scoped to “Only select repositories” (just the one product repo, least privilege) and is registered directly against the org/account that owns the repo. This is a one-time, per-Coolify-instance step; every product's applications thereafter reuse the same connected Source.</w:t>
      </w:r>
    </w:p>
    <w:p>
      <w:pPr>
        <w:pStyle w:val="ListParagraph"/>
        <w:numPr>
          <w:ilvl w:val="0"/>
          <w:numId w:val="2"/>
        </w:numPr>
        <w:spacing w:after="80" w:line="280"/>
      </w:pPr>
      <w:r>
        <w:rPr>
          <w:rFonts w:ascii="Calibri" w:cs="Calibri" w:eastAsia="Calibri" w:hAnsi="Calibri"/>
          <w:color w:val="1A1A1A"/>
          <w:sz w:val="22"/>
          <w:szCs w:val="22"/>
        </w:rPr>
        <w:t xml:space="preserve">In the “staging” environment, add the application as a “Git Repository (with GitHub App)” resource, pick the connected repo, and set its Branch to staging with Auto Deploy left on “Deploy on push (webhooks)” — every merge into staging (Section 5.2) then redeploys automatically with no manual step, no separate webhook secret to configure.</w:t>
      </w:r>
    </w:p>
    <w:p>
      <w:pPr>
        <w:pStyle w:val="ListParagraph"/>
        <w:numPr>
          <w:ilvl w:val="0"/>
          <w:numId w:val="2"/>
        </w:numPr>
        <w:spacing w:after="80" w:line="280"/>
      </w:pPr>
      <w:r>
        <w:rPr>
          <w:rFonts w:ascii="Calibri" w:cs="Calibri" w:eastAsia="Calibri" w:hAnsi="Calibri"/>
          <w:color w:val="1A1A1A"/>
          <w:sz w:val="22"/>
          <w:szCs w:val="22"/>
        </w:rPr>
        <w:t xml:space="preserve">In the “production” environment, add the same repo as a second application resource, Branch set to main, but with Auto Deploy switched to “Manual deployments only” — production is never redeployed by a raw push; Section 8.5's gated pipeline is what triggers it.</w:t>
      </w:r>
    </w:p>
    <w:p>
      <w:pPr>
        <w:pStyle w:val="ListParagraph"/>
        <w:numPr>
          <w:ilvl w:val="0"/>
          <w:numId w:val="2"/>
        </w:numPr>
        <w:spacing w:after="80" w:line="280"/>
      </w:pPr>
      <w:r>
        <w:rPr>
          <w:rFonts w:ascii="Calibri" w:cs="Calibri" w:eastAsia="Calibri" w:hAnsi="Calibri"/>
          <w:color w:val="1A1A1A"/>
          <w:sz w:val="22"/>
          <w:szCs w:val="22"/>
        </w:rPr>
        <w:t xml:space="preserve">Confirm the server's reverse proxy (Traefik, under Server → Proxy) shows a Running/healthy status before creating any application — a freshly installed server can come up with the proxy stopped, in which case no deployed app is reachable over HTTP/HTTPS until it's started (Actions → Start Proxy).</w:t>
      </w:r>
    </w:p>
    <w:p>
      <w:pPr>
        <w:pStyle w:val="ListParagraph"/>
        <w:numPr>
          <w:ilvl w:val="0"/>
          <w:numId w:val="2"/>
        </w:numPr>
        <w:spacing w:after="80" w:line="280"/>
      </w:pPr>
      <w:r>
        <w:rPr>
          <w:rFonts w:ascii="Calibri" w:cs="Calibri" w:eastAsia="Calibri" w:hAnsi="Calibri"/>
          <w:color w:val="1A1A1A"/>
          <w:sz w:val="22"/>
          <w:szCs w:val="22"/>
        </w:rPr>
        <w:t xml:space="preserve">Set each environment's variables once in Coolify (never committed to the repo) and expose a health-check endpoint the product returns 200 OK from, so Coolify (and later, the monitoring dashboard) can tell a deploy actually succeeded, not just that it ran.</w:t>
      </w:r>
    </w:p>
    <w:p>
      <w:pPr>
        <w:pStyle w:val="ListParagraph"/>
        <w:numPr>
          <w:ilvl w:val="0"/>
          <w:numId w:val="2"/>
        </w:numPr>
        <w:spacing w:after="80" w:line="280"/>
      </w:pPr>
      <w:r>
        <w:rPr>
          <w:rFonts w:ascii="Calibri" w:cs="Calibri" w:eastAsia="Calibri" w:hAnsi="Calibri"/>
          <w:color w:val="1A1A1A"/>
          <w:sz w:val="22"/>
          <w:szCs w:val="22"/>
        </w:rPr>
        <w:t xml:space="preserve">Point QA (Machine B, Section 8.2) at the staging application's Coolify-issued URL as the one and only target for test execution.</w:t>
      </w:r>
    </w:p>
    <w:p>
      <w:pPr>
        <w:spacing w:after="160" w:line="300"/>
        <w:jc w:val="both"/>
      </w:pPr>
      <w:r>
        <w:rPr>
          <w:rFonts w:ascii="Calibri" w:cs="Calibri" w:eastAsia="Calibri" w:hAnsi="Calibri"/>
          <w:color w:val="1A1A1A"/>
          <w:sz w:val="22"/>
          <w:szCs w:val="22"/>
        </w:rPr>
        <w:t xml:space="preserve">A full screenshot walkthrough of this exact setup — connecting the GitHub App source, creating the project/environments, and creating both applications — is in Appendix A.</w:t>
      </w:r>
    </w:p>
    <w:p>
      <w:pPr>
        <w:pStyle w:val="ListParagraph"/>
        <w:numPr>
          <w:ilvl w:val="0"/>
          <w:numId w:val="2"/>
        </w:numPr>
        <w:spacing w:after="80" w:line="280"/>
      </w:pPr>
      <w:r>
        <w:rPr>
          <w:rFonts w:ascii="Calibri" w:cs="Calibri" w:eastAsia="Calibri" w:hAnsi="Calibri"/>
          <w:color w:val="1A1A1A"/>
          <w:sz w:val="22"/>
          <w:szCs w:val="22"/>
        </w:rPr>
        <w:t xml:space="preserve">As-built refinement: Teamora HRMS is a polyglot microservices product per the Technical Stack Charter (Technical/Teamora_Technical_Stack_Charter_v1.0.md) — NestJS/TypeScript services (Auth, Notification, Requisition, Scoring Matrix) and Python/FastAPI services (JD Generation, Resume Parsing, Dedupe), plus the React frontend. Steps 4–7 above (application resource, Branch, Auto Deploy, secrets) therefore happen once per service, not once for the whole product — each service gets its own staging and production Coolify application.</w:t>
      </w:r>
    </w:p>
    <w:p>
      <w:pPr>
        <w:pStyle w:val="ListParagraph"/>
        <w:numPr>
          <w:ilvl w:val="0"/>
          <w:numId w:val="2"/>
        </w:numPr>
        <w:spacing w:after="80" w:line="280"/>
      </w:pPr>
      <w:r>
        <w:rPr>
          <w:rFonts w:ascii="Calibri" w:cs="Calibri" w:eastAsia="Calibri" w:hAnsi="Calibri"/>
          <w:color w:val="1A1A1A"/>
          <w:sz w:val="22"/>
          <w:szCs w:val="22"/>
        </w:rPr>
        <w:t xml:space="preserve">The GitHub Actions workflow used per service depends on its stack: staging-deploy.yml/production-release.yml for NestJS/TypeScript and the React frontend; staging-deploy-python.yml/production-release-python.yml for Python/FastAPI services. Both pairs now carry real install/lint/build/test commands drawn from the Technical Stack Charter's conventions (ESLint+Prettier / ruff+black) rather than placeholders — confirm a service's actual package.json scripts or requirements.txt/pytest markers match before relying on either workflow against real committed code.</w:t>
      </w:r>
    </w:p>
    <w:p>
      <w:pPr>
        <w:pStyle w:val="ListParagraph"/>
        <w:numPr>
          <w:ilvl w:val="0"/>
          <w:numId w:val="2"/>
        </w:numPr>
        <w:spacing w:after="80" w:line="280"/>
      </w:pPr>
      <w:r>
        <w:rPr>
          <w:rFonts w:ascii="Calibri" w:cs="Calibri" w:eastAsia="Calibri" w:hAnsi="Calibri"/>
          <w:color w:val="1A1A1A"/>
          <w:sz w:val="22"/>
          <w:szCs w:val="22"/>
        </w:rPr>
        <w:t xml:space="preserve">Once a repository hosts more than one service, suffix each service's Coolify webhook secrets with its service name (e.g. COOLIFY_STAGING_WEBHOOK_AUTH, COOLIFY_STAGING_WEBHOOK_JD_GEN) and update that service's workflow file to match — see Deployment/ci-cd/COOLIFY_SETUP.md.</w:t>
      </w:r>
    </w:p>
    <w:p>
      <w:pPr>
        <w:pStyle w:val="ListParagraph"/>
        <w:numPr>
          <w:ilvl w:val="0"/>
          <w:numId w:val="2"/>
        </w:numPr>
        <w:spacing w:after="80" w:line="280"/>
      </w:pPr>
      <w:r>
        <w:rPr>
          <w:rFonts w:ascii="Calibri" w:cs="Calibri" w:eastAsia="Calibri" w:hAnsi="Calibri"/>
          <w:color w:val="1A1A1A"/>
          <w:sz w:val="22"/>
          <w:szCs w:val="22"/>
        </w:rPr>
        <w:t xml:space="preserve">Known, tracked divergence: the product's Technical Design (Sections 18–19) specifies a target-state self-managed Kubernetes + GitOps (ArgoCD) architecture with signed images and canary rollout; the interim Coolify + GitHub Actions pipeline actually adopted (2026-09-18 decision, recorded in the Technical Stack Charter) has none of that — no GitOps, no canary, no image signing or container vulnerability scanning, and rollback is Coolify's redeploy-previous-build webhook rather than a GitOps revert. This is a deliberate, logged interim decision, not a silent substitution — see the Charter's “Known divergence” section and Section 10's Key Risks below.</w:t>
      </w:r>
    </w:p>
    <w:p>
      <w:pPr>
        <w:pStyle w:val="Heading2"/>
        <w:spacing w:after="100" w:before="220"/>
      </w:pPr>
      <w:bookmarkStart w:name="bm_26_8_4_project_monitoring_dashboa" w:id="1026"/>
      <w:r>
        <w:rPr>
          <w:rFonts w:ascii="Calibri" w:cs="Calibri" w:eastAsia="Calibri" w:hAnsi="Calibri"/>
          <w:b/>
          <w:bCs/>
          <w:color w:val="404040"/>
          <w:sz w:val="24"/>
          <w:szCs w:val="24"/>
        </w:rPr>
        <w:t xml:space="preserve">8.4 Project Monitoring Dashboard</w:t>
      </w:r>
      <w:bookmarkEnd w:id="1026"/>
    </w:p>
    <w:p>
      <w:pPr>
        <w:pStyle w:val="ListParagraph"/>
        <w:numPr>
          <w:ilvl w:val="0"/>
          <w:numId w:val="2"/>
        </w:numPr>
        <w:spacing w:after="80" w:line="280"/>
      </w:pPr>
      <w:r>
        <w:rPr>
          <w:rFonts w:ascii="Calibri" w:cs="Calibri" w:eastAsia="Calibri" w:hAnsi="Calibri"/>
          <w:color w:val="1A1A1A"/>
          <w:sz w:val="22"/>
          <w:szCs w:val="22"/>
        </w:rPr>
        <w:t xml:space="preserve">Infra/release layer: Coolify's own dashboard shows, per product, which commit/build is currently running in staging vs. production side-by-side, plus deploy history and health-check status — this is the “what's live where” view.</w:t>
      </w:r>
    </w:p>
    <w:p>
      <w:pPr>
        <w:pStyle w:val="ListParagraph"/>
        <w:numPr>
          <w:ilvl w:val="0"/>
          <w:numId w:val="2"/>
        </w:numPr>
        <w:spacing w:after="80" w:line="280"/>
      </w:pPr>
      <w:r>
        <w:rPr>
          <w:rFonts w:ascii="Calibri" w:cs="Calibri" w:eastAsia="Calibri" w:hAnsi="Calibri"/>
          <w:color w:val="1A1A1A"/>
          <w:sz w:val="22"/>
          <w:szCs w:val="22"/>
        </w:rPr>
        <w:t xml:space="preserve">Requirement-progress layer, as-built for Teamora HRMS: Section 7.3 recommended Jira + Zephyr Scale as the default path, but Teamora HRMS was stood up on the Section 7.2 lightweight alternative instead — GitHub Projects for requirement/stage tracking, paired with a self-hosted Kiwi TCMS for test case management — to avoid a paid-seat commitment before the product has proven out its release cadence. This is the “how much is actually done” view.</w:t>
      </w:r>
    </w:p>
    <w:p>
      <w:pPr>
        <w:pStyle w:val="ListParagraph"/>
        <w:numPr>
          <w:ilvl w:val="0"/>
          <w:numId w:val="2"/>
        </w:numPr>
        <w:spacing w:after="80" w:line="280"/>
      </w:pPr>
      <w:r>
        <w:rPr>
          <w:rFonts w:ascii="Calibri" w:cs="Calibri" w:eastAsia="Calibri" w:hAnsi="Calibri"/>
          <w:color w:val="1A1A1A"/>
          <w:sz w:val="22"/>
          <w:szCs w:val="22"/>
        </w:rPr>
        <w:t xml:space="preserve">The GitHub Projects board (“Teamora HRMS - SDLC Tracker”, project #5 under the myphoneme account) mirrors Section 5's Stage 1–6 workflow as four columns — Backlog, In Development, QA on Staging, Released to Production — each carrying a description that cites the exact SOP stage/section it corresponds to, so an item's column alone tells you which gate it's sitting behind.</w:t>
      </w:r>
    </w:p>
    <w:p>
      <w:pPr>
        <w:pStyle w:val="ListParagraph"/>
        <w:numPr>
          <w:ilvl w:val="0"/>
          <w:numId w:val="2"/>
        </w:numPr>
        <w:spacing w:after="80" w:line="280"/>
      </w:pPr>
      <w:r>
        <w:rPr>
          <w:rFonts w:ascii="Calibri" w:cs="Calibri" w:eastAsia="Calibri" w:hAnsi="Calibri"/>
          <w:color w:val="1A1A1A"/>
          <w:sz w:val="22"/>
          <w:szCs w:val="22"/>
        </w:rPr>
        <w:t xml:space="preserve">A second view on the same board (“REQ-ID TraceabilityView”, table layout) adds three custom fields — REQ-ID (text), TC-ID(s) (text), and Priority (single select: Critical/High/Medium/Low) — so every tracked item carries the same Requirement-ID ↔ Test-Case-ID linkage Section 4.2/6 requires, without needing Zephyr Scale's native linking.</w:t>
      </w:r>
    </w:p>
    <w:p>
      <w:pPr>
        <w:pStyle w:val="ListParagraph"/>
        <w:numPr>
          <w:ilvl w:val="0"/>
          <w:numId w:val="2"/>
        </w:numPr>
        <w:spacing w:after="80" w:line="280"/>
      </w:pPr>
      <w:r>
        <w:rPr>
          <w:rFonts w:ascii="Calibri" w:cs="Calibri" w:eastAsia="Calibri" w:hAnsi="Calibri"/>
          <w:color w:val="1A1A1A"/>
          <w:sz w:val="22"/>
          <w:szCs w:val="22"/>
        </w:rPr>
        <w:t xml:space="preserve">Kiwi TCMS (open-source, self-hosted) is deployed on the same Coolify server as staging/production, but in its own “tools” Coolify environment — kept separate from the app-deploy environments in Section 8.3 so a Kiwi TCMS redeploy/restart can never accidentally touch the Teamora application containers. It runs as a Docker Compose resource (web + MariaDB), with Coolify's auto-generated secret variables (${SERVICE_PASSWORD_MYSQLROOT} / ${SERVICE_PASSWORD_MYSQL}) used for the database credentials rather than hand-set passwords.</w:t>
      </w:r>
    </w:p>
    <w:p>
      <w:pPr>
        <w:pStyle w:val="ListParagraph"/>
        <w:numPr>
          <w:ilvl w:val="0"/>
          <w:numId w:val="2"/>
        </w:numPr>
        <w:spacing w:after="80" w:line="280"/>
      </w:pPr>
      <w:r>
        <w:rPr>
          <w:rFonts w:ascii="Calibri" w:cs="Calibri" w:eastAsia="Calibri" w:hAnsi="Calibri"/>
          <w:color w:val="1A1A1A"/>
          <w:sz w:val="22"/>
          <w:szCs w:val="22"/>
        </w:rPr>
        <w:t xml:space="preserve">QA records test-case execution results directly in Kiwi TCMS under the REQ-ID it's exercising, then references that Kiwi TC-ID in the GitHub Projects item's TC-ID(s) field — this manual cross-link is the acknowledged trade-off of the lightweight path noted in Section 7.2.</w:t>
      </w:r>
    </w:p>
    <w:p>
      <w:pPr>
        <w:pStyle w:val="ListParagraph"/>
        <w:numPr>
          <w:ilvl w:val="0"/>
          <w:numId w:val="2"/>
        </w:numPr>
        <w:spacing w:after="80" w:line="280"/>
      </w:pPr>
      <w:r>
        <w:rPr>
          <w:rFonts w:ascii="Calibri" w:cs="Calibri" w:eastAsia="Calibri" w:hAnsi="Calibri"/>
          <w:color w:val="1A1A1A"/>
          <w:sz w:val="22"/>
          <w:szCs w:val="22"/>
        </w:rPr>
        <w:t xml:space="preserve">Read the infra and requirement-progress layers together for a release decision, exactly as in the Jira/Zephyr case: Coolify confirms staging is running the exact build QA tested; the GitHub Projects board + Kiwi TCMS confirm every Critical/High REQ-ID in that build has a passing, recorded test execution.</w:t>
      </w:r>
    </w:p>
    <w:p>
      <w:pPr>
        <w:spacing w:after="160" w:line="300"/>
        <w:jc w:val="both"/>
      </w:pPr>
      <w:r>
        <w:rPr>
          <w:rFonts w:ascii="Calibri" w:cs="Calibri" w:eastAsia="Calibri" w:hAnsi="Calibri"/>
          <w:color w:val="1A1A1A"/>
          <w:sz w:val="22"/>
          <w:szCs w:val="22"/>
        </w:rPr>
        <w:t xml:space="preserve">A full screenshot walkthrough of the as-built GitHub Projects board and the Kiwi TCMS Coolify deployment is in Appendix B.</w:t>
      </w:r>
    </w:p>
    <w:p>
      <w:pPr>
        <w:pStyle w:val="Heading2"/>
        <w:spacing w:after="100" w:before="220"/>
      </w:pPr>
      <w:bookmarkStart w:name="bm_27_8_5_production_ci_cd_pipeline" w:id="1027"/>
      <w:r>
        <w:rPr>
          <w:rFonts w:ascii="Calibri" w:cs="Calibri" w:eastAsia="Calibri" w:hAnsi="Calibri"/>
          <w:b/>
          <w:bCs/>
          <w:color w:val="404040"/>
          <w:sz w:val="24"/>
          <w:szCs w:val="24"/>
        </w:rPr>
        <w:t xml:space="preserve">8.5 Production — CI/CD Pipeline</w:t>
      </w:r>
      <w:bookmarkEnd w:id="1027"/>
    </w:p>
    <w:p>
      <w:pPr>
        <w:pStyle w:val="ListParagraph"/>
        <w:numPr>
          <w:ilvl w:val="0"/>
          <w:numId w:val="2"/>
        </w:numPr>
        <w:spacing w:after="80" w:line="280"/>
      </w:pPr>
      <w:r>
        <w:rPr>
          <w:rFonts w:ascii="Calibri" w:cs="Calibri" w:eastAsia="Calibri" w:hAnsi="Calibri"/>
          <w:color w:val="1A1A1A"/>
          <w:sz w:val="22"/>
          <w:szCs w:val="22"/>
        </w:rPr>
        <w:t xml:space="preserve">A GitHub Actions workflow triggers only on a merge into main, and that merge is itself blocked by a required GitHub Environment approval (the Release Owner's go/no-go from Section 5.4/5.5) — never a free merge.</w:t>
      </w:r>
    </w:p>
    <w:p>
      <w:pPr>
        <w:pStyle w:val="ListParagraph"/>
        <w:numPr>
          <w:ilvl w:val="0"/>
          <w:numId w:val="2"/>
        </w:numPr>
        <w:spacing w:after="80" w:line="280"/>
      </w:pPr>
      <w:r>
        <w:rPr>
          <w:rFonts w:ascii="Calibri" w:cs="Calibri" w:eastAsia="Calibri" w:hAnsi="Calibri"/>
          <w:color w:val="1A1A1A"/>
          <w:sz w:val="22"/>
          <w:szCs w:val="22"/>
        </w:rPr>
        <w:t xml:space="preserve">Pipeline stages: install → build → full automated regression suite → (only if green) call the Coolify API/webhook to redeploy the Production application from the exact approved commit → automated post-deploy smoke test (Section 5.6).</w:t>
      </w:r>
    </w:p>
    <w:p>
      <w:pPr>
        <w:pStyle w:val="ListParagraph"/>
        <w:numPr>
          <w:ilvl w:val="0"/>
          <w:numId w:val="2"/>
        </w:numPr>
        <w:spacing w:after="80" w:line="280"/>
      </w:pPr>
      <w:r>
        <w:rPr>
          <w:rFonts w:ascii="Calibri" w:cs="Calibri" w:eastAsia="Calibri" w:hAnsi="Calibri"/>
          <w:color w:val="1A1A1A"/>
          <w:sz w:val="22"/>
          <w:szCs w:val="22"/>
        </w:rPr>
        <w:t xml:space="preserve">A failed smoke test triggers Coolify's redeploy of the last known-good build automatically — the rollback path is itself part of the pipeline, not a manual afterthought.</w:t>
      </w:r>
    </w:p>
    <w:p>
      <w:pPr>
        <w:pStyle w:val="Heading2"/>
        <w:spacing w:after="100" w:before="220"/>
      </w:pPr>
      <w:bookmarkStart w:name="bm_28_8_6_test_result_versioning_sig" w:id="1028"/>
      <w:r>
        <w:rPr>
          <w:rFonts w:ascii="Calibri" w:cs="Calibri" w:eastAsia="Calibri" w:hAnsi="Calibri"/>
          <w:b/>
          <w:bCs/>
          <w:color w:val="404040"/>
          <w:sz w:val="24"/>
          <w:szCs w:val="24"/>
        </w:rPr>
        <w:t xml:space="preserve">8.6 Test Result Versioning &amp; Sign-off Record</w:t>
      </w:r>
      <w:bookmarkEnd w:id="1028"/>
    </w:p>
    <w:p>
      <w:pPr>
        <w:pStyle w:val="ListParagraph"/>
        <w:numPr>
          <w:ilvl w:val="0"/>
          <w:numId w:val="2"/>
        </w:numPr>
        <w:spacing w:after="80" w:line="280"/>
      </w:pPr>
      <w:r>
        <w:rPr>
          <w:rFonts w:ascii="Calibri" w:cs="Calibri" w:eastAsia="Calibri" w:hAnsi="Calibri"/>
          <w:color w:val="1A1A1A"/>
          <w:sz w:val="22"/>
          <w:szCs w:val="22"/>
        </w:rPr>
        <w:t xml:space="preserve">At the Test Sign-off Gate (Section 5.4), export the release's test cycle results from Zephyr Scale and generate a dated sign-off report (e.g. TestReport_&lt;product&gt;_&lt;release&gt;_&lt;date&gt;.docx) saved into the repository's Quality Assurance/ folder.</w:t>
      </w:r>
    </w:p>
    <w:p>
      <w:pPr>
        <w:pStyle w:val="ListParagraph"/>
        <w:numPr>
          <w:ilvl w:val="0"/>
          <w:numId w:val="2"/>
        </w:numPr>
        <w:spacing w:after="80" w:line="280"/>
      </w:pPr>
      <w:r>
        <w:rPr>
          <w:rFonts w:ascii="Calibri" w:cs="Calibri" w:eastAsia="Calibri" w:hAnsi="Calibri"/>
          <w:color w:val="1A1A1A"/>
          <w:sz w:val="22"/>
          <w:szCs w:val="22"/>
        </w:rPr>
        <w:t xml:space="preserve">Commit that report and tag the exact commit it certifies (e.g. git tag release-v2.4.0-qa-signoff) — the sign-off record and the code it certifies are then permanently and immutably linked in git history.</w:t>
      </w:r>
    </w:p>
    <w:p>
      <w:pPr>
        <w:pStyle w:val="ListParagraph"/>
        <w:numPr>
          <w:ilvl w:val="0"/>
          <w:numId w:val="2"/>
        </w:numPr>
        <w:spacing w:after="80" w:line="280"/>
      </w:pPr>
      <w:r>
        <w:rPr>
          <w:rFonts w:ascii="Calibri" w:cs="Calibri" w:eastAsia="Calibri" w:hAnsi="Calibri"/>
          <w:color w:val="1A1A1A"/>
          <w:sz w:val="22"/>
          <w:szCs w:val="22"/>
        </w:rPr>
        <w:t xml:space="preserve">A superseding release gets its own dated report and tag; an existing sign-off report is never edited or overwritten after the fact.</w:t>
      </w:r>
    </w:p>
    <w:p>
      <w:pPr>
        <w:spacing w:after="200"/>
      </w:pPr>
    </w:p>
    <w:p>
      <w:pPr>
        <w:pStyle w:val="Heading1"/>
        <w:spacing w:after="140" w:before="320"/>
      </w:pPr>
      <w:bookmarkStart w:name="bm_29_9_escalation_procedure" w:id="1029"/>
      <w:r>
        <w:rPr>
          <w:rFonts w:ascii="Calibri" w:cs="Calibri" w:eastAsia="Calibri" w:hAnsi="Calibri"/>
          <w:b/>
          <w:bCs/>
          <w:color w:val="D34817"/>
          <w:sz w:val="30"/>
          <w:szCs w:val="30"/>
        </w:rPr>
        <w:t xml:space="preserve">9. Escalation Procedure</w:t>
      </w:r>
      <w:bookmarkEnd w:id="1029"/>
    </w:p>
    <w:p>
      <w:pPr>
        <w:pStyle w:val="ListParagraph"/>
        <w:numPr>
          <w:ilvl w:val="0"/>
          <w:numId w:val="2"/>
        </w:numPr>
        <w:spacing w:after="80" w:line="280"/>
      </w:pPr>
      <w:r>
        <w:rPr>
          <w:rFonts w:ascii="Calibri" w:cs="Calibri" w:eastAsia="Calibri" w:hAnsi="Calibri"/>
          <w:color w:val="1A1A1A"/>
          <w:sz w:val="22"/>
          <w:szCs w:val="22"/>
        </w:rPr>
        <w:t xml:space="preserve">A test case failing twice against the same REQ-ID escalates from Developer/Reviewer to the Release Owner before a third attempt — repeated failure on the same requirement usually means the requirement itself needs re-reading with the Product Owner, not another quick patch.</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staging halts further merges into staging until resolved.</w:t>
      </w:r>
    </w:p>
    <w:p>
      <w:pPr>
        <w:pStyle w:val="ListParagraph"/>
        <w:numPr>
          <w:ilvl w:val="0"/>
          <w:numId w:val="2"/>
        </w:numPr>
        <w:spacing w:after="80" w:line="280"/>
      </w:pPr>
      <w:r>
        <w:rPr>
          <w:rFonts w:ascii="Calibri" w:cs="Calibri" w:eastAsia="Calibri" w:hAnsi="Calibri"/>
          <w:color w:val="1A1A1A"/>
          <w:sz w:val="22"/>
          <w:szCs w:val="22"/>
        </w:rPr>
        <w:t xml:space="preserve">Any Severity-1 defect found in production triggers the rollback procedure in Section 5.6 immediately, before root-causing — restoring service comes first.</w:t>
      </w:r>
    </w:p>
    <w:p>
      <w:pPr>
        <w:spacing w:after="200"/>
      </w:pPr>
    </w:p>
    <w:p>
      <w:pPr>
        <w:pStyle w:val="Heading1"/>
        <w:spacing w:after="140" w:before="320"/>
      </w:pPr>
      <w:bookmarkStart w:name="bm_30_10_key_risks" w:id="1030"/>
      <w:r>
        <w:rPr>
          <w:rFonts w:ascii="Calibri" w:cs="Calibri" w:eastAsia="Calibri" w:hAnsi="Calibri"/>
          <w:b/>
          <w:bCs/>
          <w:color w:val="D34817"/>
          <w:sz w:val="30"/>
          <w:szCs w:val="30"/>
        </w:rPr>
        <w:t xml:space="preserve">10. Key Risks</w:t>
      </w:r>
      <w:bookmarkEnd w:id="1030"/>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5200"/>
      </w:tblGrid>
      <w:tr>
        <w:trPr>
          <w:tblHeader/>
        </w:trPr>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Risk</w:t>
            </w:r>
          </w:p>
        </w:tc>
        <w:tc>
          <w:tcPr>
            <w:tcW w:type="dxa" w:w="5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Mitigation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Developer tests their own change on staging, defeating independent QA</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Machine B is a physically/logically separate environment QA alone operates; developers do not have a standing reason to sign off their own test cases</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REQ-ID drift — a requirement is reworded after implementation without a new ID</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4.2's discipline: a changed requirement always gets a new REQ-ID referencing the old one, never a silent edit</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production deploys bypass the pipeline under time pressure</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Section 5.5: production is only ever pipeline-driven; this is a hard rule, not a guideline, enforced by restricting direct push/deploy access to main</w:t>
            </w:r>
          </w:p>
        </w:tc>
      </w:tr>
      <w:tr>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Interim Coolify + GitHub Actions pipeline diverges from Tech Design §18–19's target-state K8s/GitOps architecture (no canary rollout, no image signing/SCA scanning) — Section 8.3</w:t>
            </w:r>
          </w:p>
        </w:tc>
        <w:tc>
          <w:tcPr>
            <w:tcW w:type="dxa" w:w="5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Divergence is logged, not silent: Technical Stack Charter's “Known divergence” section flags it explicitly for revisit before Release 1 scales past early traffic or before the Tech Design's compliance posture is actually required</w:t>
            </w:r>
          </w:p>
        </w:tc>
      </w:tr>
    </w:tbl>
    <w:p>
      <w:pPr>
        <w:spacing w:after="200"/>
      </w:pPr>
    </w:p>
    <w:p>
      <w:pPr>
        <w:pStyle w:val="Heading1"/>
        <w:spacing w:after="140" w:before="320"/>
      </w:pPr>
      <w:bookmarkStart w:name="bm_31_11_conclusion_road_ahead" w:id="1031"/>
      <w:r>
        <w:rPr>
          <w:rFonts w:ascii="Calibri" w:cs="Calibri" w:eastAsia="Calibri" w:hAnsi="Calibri"/>
          <w:b/>
          <w:bCs/>
          <w:color w:val="D34817"/>
          <w:sz w:val="30"/>
          <w:szCs w:val="30"/>
        </w:rPr>
        <w:t xml:space="preserve">11. Conclusion &amp; Road Ahead</w:t>
      </w:r>
      <w:bookmarkEnd w:id="1031"/>
    </w:p>
    <w:p>
      <w:pPr>
        <w:spacing w:after="160" w:line="300"/>
        <w:jc w:val="both"/>
      </w:pPr>
      <w:r>
        <w:rPr>
          <w:rFonts w:ascii="Calibri" w:cs="Calibri" w:eastAsia="Calibri" w:hAnsi="Calibri"/>
          <w:color w:val="1A1A1A"/>
          <w:sz w:val="22"/>
          <w:szCs w:val="22"/>
        </w:rPr>
        <w:t xml:space="preserve">This SOP closes the loop from the BRD/PRD's Requirement IDs (phoneme-brd-prd) and the Technical Design's module contracts (phoneme-techdesign, phoneme-technical-stack) through independent test execution and pipeline-driven production release. As each new Phoneme SaaS product goes through Concept-to-Launch, it adopts this same SOP with its own Jira project (or the lightweight alternative) rather than a bespoke process per product, so progress across every product stays visible from one place.</w:t>
      </w:r>
    </w:p>
    <w:p>
      <w:pPr>
        <w:spacing w:after="200"/>
      </w:pPr>
    </w:p>
    <w:p>
      <w:pPr>
        <w:pStyle w:val="Heading1"/>
        <w:pageBreakBefore/>
        <w:spacing w:after="140" w:before="320"/>
      </w:pPr>
      <w:bookmarkStart w:name="bm_32_appendix_a_coolify_environment" w:id="1032"/>
      <w:r>
        <w:rPr>
          <w:rFonts w:ascii="Calibri" w:cs="Calibri" w:eastAsia="Calibri" w:hAnsi="Calibri"/>
          <w:b/>
          <w:bCs/>
          <w:color w:val="D34817"/>
          <w:sz w:val="30"/>
          <w:szCs w:val="30"/>
        </w:rPr>
        <w:t xml:space="preserve">Appendix A — Coolify Environment Setup (Screenshot Walkthrough)</w:t>
      </w:r>
      <w:bookmarkEnd w:id="1032"/>
    </w:p>
    <w:p>
      <w:pPr>
        <w:spacing w:after="160" w:line="300"/>
        <w:jc w:val="both"/>
      </w:pPr>
      <w:r>
        <w:rPr>
          <w:rFonts w:ascii="Calibri" w:cs="Calibri" w:eastAsia="Calibri" w:hAnsi="Calibri"/>
          <w:color w:val="1A1A1A"/>
          <w:sz w:val="22"/>
          <w:szCs w:val="22"/>
        </w:rPr>
        <w:t xml:space="preserve">This appendix records the exact, as-performed walkthrough for standing up Coolify for the Teamora HRMS product (Section 8.3), captured directly from the live setup so Section 8.3's checklist can be followed step-by-step against real screens rather than description alone. Screenshots are grouped into three phases: connecting the GitHub source, creating the project/environments, and creating the two applications.</w:t>
      </w:r>
    </w:p>
    <w:p>
      <w:pPr>
        <w:pStyle w:val="Heading2"/>
        <w:spacing w:after="100" w:before="220"/>
      </w:pPr>
      <w:bookmarkStart w:name="bm_33_a_1_connecting_the_github_sour" w:id="1033"/>
      <w:r>
        <w:rPr>
          <w:rFonts w:ascii="Calibri" w:cs="Calibri" w:eastAsia="Calibri" w:hAnsi="Calibri"/>
          <w:b/>
          <w:bCs/>
          <w:color w:val="404040"/>
          <w:sz w:val="24"/>
          <w:szCs w:val="24"/>
        </w:rPr>
        <w:t xml:space="preserve">A.1 Connecting the GitHub Source</w:t>
      </w:r>
      <w:bookmarkEnd w:id="1033"/>
    </w:p>
    <w:p>
      <w:pPr>
        <w:spacing w:after="160" w:line="300"/>
        <w:jc w:val="both"/>
      </w:pPr>
      <w:r>
        <w:rPr>
          <w:rFonts w:ascii="Calibri" w:cs="Calibri" w:eastAsia="Calibri" w:hAnsi="Calibri"/>
          <w:color w:val="1A1A1A"/>
          <w:sz w:val="22"/>
          <w:szCs w:val="22"/>
        </w:rPr>
        <w:t xml:space="preserve">Sources → New Source → GitHub App. Name the App and set the Organization to the account that owns the repository (here, myphoneme) — leave HTML/API URL at their github.com defaults unless the repository lives on a self-hosted GitHub Enterprise instance.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 — New GitHub App dialog, default state.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A.2 — Name and Organization filled in (phoneme-hrms-coolify / myphoneme).</w:t>
      </w:r>
    </w:p>
    <w:p>
      <w:pPr>
        <w:spacing w:after="160" w:line="300"/>
        <w:jc w:val="both"/>
      </w:pPr>
      <w:r>
        <w:rPr>
          <w:rFonts w:ascii="Calibri" w:cs="Calibri" w:eastAsia="Calibri" w:hAnsi="Calibri"/>
          <w:color w:val="1A1A1A"/>
          <w:sz w:val="22"/>
          <w:szCs w:val="22"/>
        </w:rPr>
        <w:t xml:space="preserve">Coolify shows the App's mandatory permissions and its own webhook endpoint before handing off to GitHub to actually register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A.3 — Automated installation screen: webhook endpoint and mandatory permissions, before “Register With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A.4 — GitHub's own confirmation page: “Create GitHub App for &lt;org&gt;.”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A.5 — Back in Coolify: the App is registered but repository access isn't installed yet.</w:t>
      </w:r>
    </w:p>
    <w:p>
      <w:pPr>
        <w:spacing w:after="160" w:line="300"/>
        <w:jc w:val="both"/>
      </w:pPr>
      <w:r>
        <w:rPr>
          <w:rFonts w:ascii="Calibri" w:cs="Calibri" w:eastAsia="Calibri" w:hAnsi="Calibri"/>
          <w:color w:val="1A1A1A"/>
          <w:sz w:val="22"/>
          <w:szCs w:val="22"/>
        </w:rPr>
        <w:t xml:space="preserve">On GitHub's install screen, choose “Only select repositories” and pick just the one product repository — least-privilege access, rather than granting the App every repository in the account.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A.6 — Repository selection: “Only select repositories”, myphoneme/hrms chosen.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A.7 — Source shows “Connected” with App ID, Installation ID, and credentials populated.</w:t>
      </w:r>
    </w:p>
    <w:p>
      <w:pPr>
        <w:pStyle w:val="ListParagraph"/>
        <w:numPr>
          <w:ilvl w:val="0"/>
          <w:numId w:val="2"/>
        </w:numPr>
        <w:spacing w:after="80" w:line="280"/>
      </w:pPr>
      <w:r>
        <w:rPr>
          <w:rFonts w:ascii="Calibri" w:cs="Calibri" w:eastAsia="Calibri" w:hAnsi="Calibri"/>
          <w:color w:val="1A1A1A"/>
          <w:sz w:val="22"/>
          <w:szCs w:val="22"/>
        </w:rPr>
        <w:t xml:space="preserve">Field note: GitHub's own redirect after registering the App and after installing repositories both point back at Coolify's public-IP webhook endpoint. If that public IP isn't reachable from the browser doing the setup (firewalled, or the browser has no outbound route to it), swap the IP in the redirect URL for the server's private/LAN IP before loading it — the same Coolify instance answers on both, and the setup continues normally from there.</w:t>
      </w:r>
    </w:p>
    <w:p>
      <w:pPr>
        <w:pStyle w:val="Heading2"/>
        <w:spacing w:after="100" w:before="220"/>
      </w:pPr>
      <w:bookmarkStart w:name="bm_34_a_2_project_and_environments" w:id="1034"/>
      <w:r>
        <w:rPr>
          <w:rFonts w:ascii="Calibri" w:cs="Calibri" w:eastAsia="Calibri" w:hAnsi="Calibri"/>
          <w:b/>
          <w:bCs/>
          <w:color w:val="404040"/>
          <w:sz w:val="24"/>
          <w:szCs w:val="24"/>
        </w:rPr>
        <w:t xml:space="preserve">A.2 Project and Environments</w:t>
      </w:r>
      <w:bookmarkEnd w:id="1034"/>
    </w:p>
    <w:p>
      <w:pPr>
        <w:spacing w:after="160" w:line="300"/>
        <w:jc w:val="both"/>
      </w:pPr>
      <w:r>
        <w:rPr>
          <w:rFonts w:ascii="Calibri" w:cs="Calibri" w:eastAsia="Calibri" w:hAnsi="Calibri"/>
          <w:color w:val="1A1A1A"/>
          <w:sz w:val="22"/>
          <w:szCs w:val="22"/>
        </w:rPr>
        <w:t xml:space="preserve">Projects → New Project creates a project shell; rename it to the product name. Every project starts with one “production” environment — add a second “staging” environment alongside it.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A.8 — Projects list, default-named project before renaming.</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A.9 — Project renamed to “Teamora HRMS”, showing its “production” environment.</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A.10 — “staging” environment added, no resources yet.</w:t>
      </w:r>
    </w:p>
    <w:p>
      <w:pPr>
        <w:pStyle w:val="Heading2"/>
        <w:spacing w:after="100" w:before="220"/>
      </w:pPr>
      <w:bookmarkStart w:name="bm_35_a_3_creating_the_applications" w:id="1035"/>
      <w:r>
        <w:rPr>
          <w:rFonts w:ascii="Calibri" w:cs="Calibri" w:eastAsia="Calibri" w:hAnsi="Calibri"/>
          <w:b/>
          <w:bCs/>
          <w:color w:val="404040"/>
          <w:sz w:val="24"/>
          <w:szCs w:val="24"/>
        </w:rPr>
        <w:t xml:space="preserve">A.3 Creating the Applications</w:t>
      </w:r>
      <w:bookmarkEnd w:id="1035"/>
    </w:p>
    <w:p>
      <w:pPr>
        <w:spacing w:after="160" w:line="300"/>
        <w:jc w:val="both"/>
      </w:pPr>
      <w:r>
        <w:rPr>
          <w:rFonts w:ascii="Calibri" w:cs="Calibri" w:eastAsia="Calibri" w:hAnsi="Calibri"/>
          <w:color w:val="1A1A1A"/>
          <w:sz w:val="22"/>
          <w:szCs w:val="22"/>
        </w:rPr>
        <w:t xml:space="preserve">Within each environment, Add Resource → Applications offers several source types; for a GitHub-App-connected repository, “Git Repository (with GitHub App)” is the correct choice for both the staging and production application.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A.11 — Resource catalog: Public/Private Git, GitHub App, GitLab App, Dockerfile, Docker Compose, Docker Image.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A.12 — Selecting the connected GitHub App as the source.</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A.13 — Repository picker, scoped to only the repositories the App was installed against.</w:t>
      </w:r>
    </w:p>
    <w:p>
      <w:pPr>
        <w:spacing w:after="160" w:line="300"/>
        <w:jc w:val="both"/>
      </w:pPr>
      <w:r>
        <w:rPr>
          <w:rFonts w:ascii="Calibri" w:cs="Calibri" w:eastAsia="Calibri" w:hAnsi="Calibri"/>
          <w:color w:val="1A1A1A"/>
          <w:sz w:val="22"/>
          <w:szCs w:val="22"/>
        </w:rPr>
        <w:t xml:space="preserve">Set the Branch field explicitly — it defaults to the repository's default branch (main), which is correct for the production application but must be switched to staging for the staging application once that branch exists on GitHub.</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A.14 — Build configuration for the staging application. Branch shown as main because the staging branch had not yet been pushed to GitHub at setup time — switch this to staging once it exists.</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A.15 — Build configuration for the production application, Branch correctly set to main.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A.16 — Application created: General/Access tab, showing the auto-generated public URL and internal Docker networking details.</w:t>
      </w:r>
    </w:p>
    <w:p>
      <w:pPr>
        <w:spacing w:after="160" w:line="300"/>
        <w:jc w:val="both"/>
      </w:pPr>
      <w:r>
        <w:rPr>
          <w:rFonts w:ascii="Calibri" w:cs="Calibri" w:eastAsia="Calibri" w:hAnsi="Calibri"/>
          <w:color w:val="1A1A1A"/>
          <w:sz w:val="22"/>
          <w:szCs w:val="22"/>
        </w:rPr>
        <w:t xml:space="preserve">Two settings are then changed away from their defaults on every application: the auto-generated resource name is replaced with a clear one (e.g. hrms-production / hrms-staging), and Auto Deploy (Advanced → Git) is set per Section 8.3 — “Deploy on push (webhooks)” for staging, “Manual deployments only” for production.</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A.17 — Advanced settings: Deployment / Git sections, showing the Auto deploy field.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A.18 — Production application: Auto deploy switched to “Manual deployments only” and saved.</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A.19 — Staging application renamed to hrms-staging and saved.</w:t>
      </w:r>
    </w:p>
    <w:p>
      <w:pPr>
        <w:spacing w:after="200"/>
      </w:pPr>
    </w:p>
    <w:p>
      <w:pPr>
        <w:pStyle w:val="Heading1"/>
        <w:pageBreakBefore/>
        <w:spacing w:after="140" w:before="320"/>
      </w:pPr>
      <w:bookmarkStart w:name="bm_36_appendix_b_project_monitoring_" w:id="1036"/>
      <w:r>
        <w:rPr>
          <w:rFonts w:ascii="Calibri" w:cs="Calibri" w:eastAsia="Calibri" w:hAnsi="Calibri"/>
          <w:b/>
          <w:bCs/>
          <w:color w:val="D34817"/>
          <w:sz w:val="30"/>
          <w:szCs w:val="30"/>
        </w:rPr>
        <w:t xml:space="preserve">Appendix B — Project Monitoring Dashboard Setup (Screenshot Walkthrough)</w:t>
      </w:r>
      <w:bookmarkEnd w:id="1036"/>
    </w:p>
    <w:p>
      <w:pPr>
        <w:spacing w:after="160" w:line="300"/>
        <w:jc w:val="both"/>
      </w:pPr>
      <w:r>
        <w:rPr>
          <w:rFonts w:ascii="Calibri" w:cs="Calibri" w:eastAsia="Calibri" w:hAnsi="Calibri"/>
          <w:color w:val="1A1A1A"/>
          <w:sz w:val="22"/>
          <w:szCs w:val="22"/>
        </w:rPr>
        <w:t xml:space="preserve">This appendix records the as-built setup of Section 8.4's Project Monitoring Dashboard for Teamora HRMS: the GitHub Projects board used for requirement/stage tracking, and the self-hosted Kiwi TCMS deployment used for test case management — the Section 7.2 lightweight alternative, chosen over Jira + Zephyr Scale for this product's rollout.</w:t>
      </w:r>
    </w:p>
    <w:p>
      <w:pPr>
        <w:pStyle w:val="Heading2"/>
        <w:spacing w:after="100" w:before="220"/>
      </w:pPr>
      <w:bookmarkStart w:name="bm_37_b_1_github_projects_board" w:id="1037"/>
      <w:r>
        <w:rPr>
          <w:rFonts w:ascii="Calibri" w:cs="Calibri" w:eastAsia="Calibri" w:hAnsi="Calibri"/>
          <w:b/>
          <w:bCs/>
          <w:color w:val="404040"/>
          <w:sz w:val="24"/>
          <w:szCs w:val="24"/>
        </w:rPr>
        <w:t xml:space="preserve">B.1 GitHub Projects Board</w:t>
      </w:r>
      <w:bookmarkEnd w:id="1037"/>
    </w:p>
    <w:p>
      <w:pPr>
        <w:spacing w:after="160" w:line="300"/>
        <w:jc w:val="both"/>
      </w:pPr>
      <w:r>
        <w:rPr>
          <w:rFonts w:ascii="Calibri" w:cs="Calibri" w:eastAsia="Calibri" w:hAnsi="Calibri"/>
          <w:color w:val="1A1A1A"/>
          <w:sz w:val="22"/>
          <w:szCs w:val="22"/>
        </w:rPr>
        <w:t xml:space="preserve">Projects → New Project, named “Teamora HRMS - SDLC Tracker”. The default board view's columns were renamed and reordered to mirror Section 5's Stage 1–6 workflow, and each column was given a description citing the exact SOP section it represents — Backlog (awaiting a REQ-ID assignment), In Development (Stage 1 / Sec. 5.1), QA on Staging (Stages 2–4 / Sec. 5.2–5.4), Released to Production (Stages 5–6 / Sec. 5.5–5.6).</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B.1 — Board view: Backlog → In Development → QA on Staging → Released to Production, each column's description citing its SOP stage/section.</w:t>
      </w:r>
    </w:p>
    <w:p>
      <w:pPr>
        <w:spacing w:after="160" w:line="300"/>
        <w:jc w:val="both"/>
      </w:pPr>
      <w:r>
        <w:rPr>
          <w:rFonts w:ascii="Calibri" w:cs="Calibri" w:eastAsia="Calibri" w:hAnsi="Calibri"/>
          <w:color w:val="1A1A1A"/>
          <w:sz w:val="22"/>
          <w:szCs w:val="22"/>
        </w:rPr>
        <w:t xml:space="preserve">A second view (table layout) adds three custom Project fields so every tracked item carries the same REQ-ID ↔ TC-ID linkage Section 4.2/6 requires: REQ-ID (text), TC-ID(s) (text), and Priority (single select — Critical/High/Medium/Low).</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B.2 — Table view, scrolled to show the custom REQ-ID, TC-ID(s), and Priority fields alongside GitHub's built-in Status/Assignees/Linked-pull-requests columns.</w:t>
      </w:r>
    </w:p>
    <w:p>
      <w:pPr>
        <w:pStyle w:val="Heading2"/>
        <w:spacing w:after="100" w:before="220"/>
      </w:pPr>
      <w:bookmarkStart w:name="bm_38_b_2_kiwi_tcms_self_hosted_test" w:id="1038"/>
      <w:r>
        <w:rPr>
          <w:rFonts w:ascii="Calibri" w:cs="Calibri" w:eastAsia="Calibri" w:hAnsi="Calibri"/>
          <w:b/>
          <w:bCs/>
          <w:color w:val="404040"/>
          <w:sz w:val="24"/>
          <w:szCs w:val="24"/>
        </w:rPr>
        <w:t xml:space="preserve">B.2 Kiwi TCMS — Self-Hosted Test Case Management</w:t>
      </w:r>
      <w:bookmarkEnd w:id="1038"/>
    </w:p>
    <w:p>
      <w:pPr>
        <w:spacing w:after="160" w:line="300"/>
        <w:jc w:val="both"/>
      </w:pPr>
      <w:r>
        <w:rPr>
          <w:rFonts w:ascii="Calibri" w:cs="Calibri" w:eastAsia="Calibri" w:hAnsi="Calibri"/>
          <w:color w:val="1A1A1A"/>
          <w:sz w:val="22"/>
          <w:szCs w:val="22"/>
        </w:rPr>
        <w:t xml:space="preserve">A new “tools” Coolify environment was added under the same “Teamora HRMS” project used for staging/production (Section 8.3) — kept separate so operations on Kiwi TCMS never touch the application environments. Within it, Add Resource → Docker Compose was used to deploy Kiwi TCMS directly from a compose file (web + MariaDB services), rather than as a Git-connected application, since Kiwi TCMS is a third-party tool with no Phoneme source to track.</w:t>
      </w:r>
    </w:p>
    <w:p>
      <w:pPr>
        <w:pStyle w:val="ListParagraph"/>
        <w:numPr>
          <w:ilvl w:val="0"/>
          <w:numId w:val="2"/>
        </w:numPr>
        <w:spacing w:after="80" w:line="280"/>
      </w:pPr>
      <w:r>
        <w:rPr>
          <w:rFonts w:ascii="Calibri" w:cs="Calibri" w:eastAsia="Calibri" w:hAnsi="Calibri"/>
          <w:color w:val="1A1A1A"/>
          <w:sz w:val="22"/>
          <w:szCs w:val="22"/>
        </w:rPr>
        <w:t xml:space="preserve">The compose file's database credentials use Coolify's auto-generated secret syntax (${SERVICE_PASSWORD_MYSQLROOT} for the MariaDB root password, ${SERVICE_PASSWORD_MYSQL} for the application user) rather than hand-set values — Coolify generates and persists these once, on first deploy.</w:t>
      </w:r>
    </w:p>
    <w:p>
      <w:pPr>
        <w:pStyle w:val="ListParagraph"/>
        <w:numPr>
          <w:ilvl w:val="0"/>
          <w:numId w:val="2"/>
        </w:numPr>
        <w:spacing w:after="80" w:line="280"/>
      </w:pPr>
      <w:r>
        <w:rPr>
          <w:rFonts w:ascii="Calibri" w:cs="Calibri" w:eastAsia="Calibri" w:hAnsi="Calibri"/>
          <w:color w:val="1A1A1A"/>
          <w:sz w:val="22"/>
          <w:szCs w:val="22"/>
        </w:rPr>
        <w:t xml:space="preserve">The upstream project's own test-only nginx proxy and its direct host port bindings (80/443) were both removed from the compose file before deploying — the host ports would collide with Traefik, Coolify's own reverse proxy, which already owns 80/443 on this server. The web service's container port 8080 is instead routed through Coolify's proxy via a normal domain assignment, the same mechanism used for the hrms-staging/hrms-production applications in Appendix A.</w:t>
      </w:r>
    </w:p>
    <w:p>
      <w:pPr>
        <w:spacing w:after="60" w:before="160"/>
        <w:jc w:val="center"/>
      </w:pPr>
      <w:r>
        <w:drawing>
          <wp:inline distT="0" distB="0" distL="0" distR="0">
            <wp:extent cx="5334000" cy="2819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2819400"/>
                    </a:xfrm>
                    <a:prstGeom prst="rect">
                      <a:avLst/>
                    </a:prstGeom>
                  </pic:spPr>
                </pic:pic>
              </a:graphicData>
            </a:graphic>
          </wp:inline>
        </w:drawing>
      </w:r>
    </w:p>
    <w:p>
      <w:pPr>
        <w:spacing w:after="200"/>
        <w:jc w:val="center"/>
      </w:pPr>
      <w:r>
        <w:rPr>
          <w:rFonts w:ascii="Calibri" w:cs="Calibri" w:eastAsia="Calibri" w:hAnsi="Calibri"/>
          <w:i/>
          <w:iCs/>
          <w:color w:val="6E6E6E"/>
          <w:sz w:val="18"/>
          <w:szCs w:val="18"/>
        </w:rPr>
        <w:t xml:space="preserve">Figure B.3 — Kiwi TCMS service in the “tools” environment: web container Running (healthy), db (MariaDB) container Running (no built-in healthcheck, expected).</w:t>
      </w:r>
    </w:p>
    <w:p>
      <w:pPr>
        <w:pStyle w:val="ListParagraph"/>
        <w:numPr>
          <w:ilvl w:val="0"/>
          <w:numId w:val="2"/>
        </w:numPr>
        <w:spacing w:after="80" w:line="280"/>
      </w:pPr>
      <w:r>
        <w:rPr>
          <w:rFonts w:ascii="Calibri" w:cs="Calibri" w:eastAsia="Calibri" w:hAnsi="Calibri"/>
          <w:color w:val="1A1A1A"/>
          <w:sz w:val="22"/>
          <w:szCs w:val="22"/>
        </w:rPr>
        <w:t xml:space="preserve">Field note: the domain Coolify auto-generates for a new resource uses the server's public IP as Coolify detects it, which may not always be the address actually reachable from outside the server's own network — the same class of private/public-IP mismatch already noted for the Coolify dashboard itself in Appendix A.1's field note. Verify a freshly assigned domain loads before relying on it, and fall back to the server's LAN address/port if it doesn't.</w:t>
      </w:r>
    </w:p>
    <w:p>
      <w:pPr>
        <w:spacing w:after="200"/>
      </w:pPr>
    </w:p>
    <w:sectPr>
      <w:headerReference w:type="default" r:id="rId9"/>
      <w:footerReference w:type="default" r:id="rId10"/>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SDLC Operating Procedure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50"/>
          <w:tcBorders>
            <w:top w:val="none" w:color="FFFFFF" w:sz="0"/>
            <w:left w:val="none" w:color="FFFFFF" w:sz="0"/>
            <w:bottom w:val="none" w:color="FFFFFF" w:sz="0"/>
            <w:right w:val="none" w:color="FFFFFF" w:sz="0"/>
          </w:tcBorders>
        </w:tcPr>
        <w:p>
          <w:r>
            <w:drawing>
              <wp:inline distT="0" distB="0" distL="0" distR="0">
                <wp:extent cx="11430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38125"/>
                        </a:xfrm>
                        <a:prstGeom prst="rect">
                          <a:avLst/>
                        </a:prstGeom>
                      </pic:spPr>
                    </pic:pic>
                  </a:graphicData>
                </a:graphic>
              </wp:inline>
            </w:drawing>
          </w:r>
        </w:p>
      </w:tc>
      <w:tc>
        <w:tcPr>
          <w:tcW w:type="dxa" w:w="485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STANDARD OPERATING PROCEDURE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edd248455318f3da3f5928023b32e5fc6c76574.png"/><Relationship Id="rId12" Type="http://schemas.openxmlformats.org/officeDocument/2006/relationships/image" Target="media/17a6cf6f2e0c6dd6233155fce9096fbe5de979cb.jpg"/><Relationship Id="rId13" Type="http://schemas.openxmlformats.org/officeDocument/2006/relationships/image" Target="media/de07a4c3fc6991a053d4ec668047333419374774.jpg"/><Relationship Id="rId14" Type="http://schemas.openxmlformats.org/officeDocument/2006/relationships/image" Target="media/5f21644cf9af033a8df7bbe424e621e0de30b6d1.jpg"/><Relationship Id="rId15" Type="http://schemas.openxmlformats.org/officeDocument/2006/relationships/image" Target="media/4c0f012f504ac453e5c5aa9cecfcfd9a90f9e162.jpg"/><Relationship Id="rId16" Type="http://schemas.openxmlformats.org/officeDocument/2006/relationships/image" Target="media/7add6b56c5642a458033a7f53650077894b6836d.jpg"/><Relationship Id="rId17" Type="http://schemas.openxmlformats.org/officeDocument/2006/relationships/image" Target="media/1b80c99385b142a1a39602857c0fbade37e715b8.jpg"/><Relationship Id="rId18" Type="http://schemas.openxmlformats.org/officeDocument/2006/relationships/image" Target="media/8c52c1f6854eb1679ae54806c46b00b188f09362.jpg"/><Relationship Id="rId19" Type="http://schemas.openxmlformats.org/officeDocument/2006/relationships/image" Target="media/ca851ee6623359f2f54ec2b29c3eb9e3d91d0a92.jpg"/><Relationship Id="rId20" Type="http://schemas.openxmlformats.org/officeDocument/2006/relationships/image" Target="media/30c47164c00a22a9d32ecdef4847d44a0a420cd2.jpg"/><Relationship Id="rId21" Type="http://schemas.openxmlformats.org/officeDocument/2006/relationships/image" Target="media/e05fa627838f68dd314faaff30543e2283e6a070.jpg"/><Relationship Id="rId22" Type="http://schemas.openxmlformats.org/officeDocument/2006/relationships/image" Target="media/c13e82a41e99f036ab4b386a73f123ed22435625.jpg"/><Relationship Id="rId23" Type="http://schemas.openxmlformats.org/officeDocument/2006/relationships/image" Target="media/7ec8fc755c4b11937e456bcd272f9e6a247124b4.jpg"/><Relationship Id="rId24" Type="http://schemas.openxmlformats.org/officeDocument/2006/relationships/image" Target="media/a09f1195a87c81fb0d9e61a4b8fdfd97aa8332c2.jpg"/><Relationship Id="rId25" Type="http://schemas.openxmlformats.org/officeDocument/2006/relationships/image" Target="media/5baee6f87962277c0ffce53f635e20077098db29.jpg"/><Relationship Id="rId26" Type="http://schemas.openxmlformats.org/officeDocument/2006/relationships/image" Target="media/ff0ca168d5655fe192e46e72e203222f82acdd05.jpg"/><Relationship Id="rId27" Type="http://schemas.openxmlformats.org/officeDocument/2006/relationships/image" Target="media/38f4e3b0b0b876c7e62571330a0db2a5d08c8f53.jpg"/><Relationship Id="rId28" Type="http://schemas.openxmlformats.org/officeDocument/2006/relationships/image" Target="media/e6d4bcfa707766d0abfdab615e2b5b0ef91e9613.jpg"/><Relationship Id="rId29" Type="http://schemas.openxmlformats.org/officeDocument/2006/relationships/image" Target="media/fa16badc5f41ff12c1b50a2be7482e597523edbd.jpg"/><Relationship Id="rId30" Type="http://schemas.openxmlformats.org/officeDocument/2006/relationships/image" Target="media/14c5b48a426469707b6752a0cfddb8c2e8807969.jpg"/><Relationship Id="rId31" Type="http://schemas.openxmlformats.org/officeDocument/2006/relationships/image" Target="media/db3a66616962d3deba042326f4217cdd5b81ac53.jpg"/><Relationship Id="rId32" Type="http://schemas.openxmlformats.org/officeDocument/2006/relationships/image" Target="media/683b71c1037876b1358e109dbb165d0f1a54d6aa.jpg"/><Relationship Id="rId33" Type="http://schemas.openxmlformats.org/officeDocument/2006/relationships/image" Target="media/ba892ff18af07e0b1a98d1e0ac643b9055383e90.jpg"/><Relationship Id="rId3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word/_rels/header2.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2026-09-21T10:54:06.810Z</dcterms:created>
  <dcterms:modified xsi:type="dcterms:W3CDTF">2026-09-21T10:54:06.815Z</dcterms:modified>
</cp:coreProperties>
</file>

<file path=docProps/custom.xml><?xml version="1.0" encoding="utf-8"?>
<Properties xmlns="http://schemas.openxmlformats.org/officeDocument/2006/custom-properties" xmlns:vt="http://schemas.openxmlformats.org/officeDocument/2006/docPropsVTypes"/>
</file>