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8097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609600"/>
                    </a:xfrm>
                    <a:prstGeom prst="rect">
                      <a:avLst/>
                    </a:prstGeom>
                  </pic:spPr>
                </pic:pic>
              </a:graphicData>
            </a:graphic>
          </wp:inline>
        </w:drawing>
      </w:r>
    </w:p>
    <w:p>
      <w:pPr>
        <w:spacing w:after="9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shd w:fill="D34817" w:color="auto" w:val="clear"/>
            <w:tcMar>
              <w:top w:type="dxa" w:w="260"/>
              <w:left w:type="dxa" w:w="260"/>
              <w:bottom w:type="dxa" w:w="260"/>
              <w:right w:type="dxa" w:w="260"/>
            </w:tcMar>
          </w:tcPr>
          <w:p>
            <w:pPr>
              <w:spacing w:after="120"/>
              <w:jc w:val="center"/>
            </w:pPr>
            <w:r>
              <w:rPr>
                <w:rFonts w:ascii="Calibri" w:cs="Calibri" w:eastAsia="Calibri" w:hAnsi="Calibri"/>
                <w:b/>
                <w:bCs/>
                <w:color w:val="FFFFFF"/>
                <w:sz w:val="40"/>
                <w:szCs w:val="40"/>
              </w:rPr>
              <w:t xml:space="preserve">Phoneme SDLC Platform</w:t>
            </w:r>
          </w:p>
          <w:p>
            <w:pPr>
              <w:jc w:val="center"/>
            </w:pPr>
            <w:r>
              <w:rPr>
                <w:rFonts w:ascii="Calibri" w:cs="Calibri" w:eastAsia="Calibri" w:hAnsi="Calibri"/>
                <w:i/>
                <w:iCs/>
                <w:color w:val="FFFFFF"/>
                <w:sz w:val="26"/>
                <w:szCs w:val="26"/>
              </w:rPr>
              <w:t xml:space="preserve">Multi-Project Platform Standards — Technical Design</w:t>
            </w:r>
          </w:p>
        </w:tc>
      </w:tr>
      <w:tr>
        <w:tc>
          <w:tcPr>
            <w:tcW w:type="dxa" w:w="9350"/>
            <w:shd w:fill="8C8C8C" w:color="auto" w:val="clear"/>
            <w:tcMar>
              <w:top w:type="dxa" w:w="30"/>
              <w:left w:type="dxa" w:w="0"/>
              <w:bottom w:type="dxa" w:w="30"/>
              <w:right w:type="dxa" w:w="0"/>
            </w:tcMar>
          </w:tcPr>
          <w:p/>
        </w:tc>
      </w:tr>
    </w:tbl>
    <w:p>
      <w:pPr>
        <w:spacing w:after="700"/>
      </w:pPr>
    </w:p>
    <w:p>
      <w:pPr>
        <w:jc w:val="center"/>
      </w:pPr>
      <w:r>
        <w:rPr>
          <w:rFonts w:ascii="Calibri" w:cs="Calibri" w:eastAsia="Calibri" w:hAnsi="Calibri"/>
          <w:b/>
          <w:bCs/>
          <w:sz w:val="24"/>
          <w:szCs w:val="24"/>
        </w:rPr>
        <w:t xml:space="preserve">TECHNICAL DESIGN DOCUMENT</w:t>
      </w:r>
    </w:p>
    <w:p>
      <w:pPr>
        <w:spacing w:after="2200"/>
      </w:pPr>
    </w:p>
    <w:p>
      <w:pPr>
        <w:spacing w:after="60"/>
        <w:jc w:val="center"/>
      </w:pPr>
      <w:r>
        <w:rPr>
          <w:rFonts w:ascii="Calibri" w:cs="Calibri" w:eastAsia="Calibri" w:hAnsi="Calibri"/>
          <w:b/>
          <w:bCs/>
          <w:color w:val="D34817"/>
          <w:sz w:val="24"/>
          <w:szCs w:val="24"/>
        </w:rPr>
        <w:t xml:space="preserve">PHN-PSP-2026-02-TDD</w:t>
      </w:r>
    </w:p>
    <w:p>
      <w:pPr>
        <w:spacing w:after="60"/>
        <w:jc w:val="center"/>
      </w:pPr>
      <w:r>
        <w:rPr>
          <w:rFonts w:ascii="Calibri" w:cs="Calibri" w:eastAsia="Calibri" w:hAnsi="Calibri"/>
          <w:sz w:val="20"/>
          <w:szCs w:val="20"/>
        </w:rPr>
        <w:t xml:space="preserve">September 2026</w:t>
      </w:r>
    </w:p>
    <w:p>
      <w:pPr>
        <w:spacing w:after="60"/>
        <w:jc w:val="center"/>
      </w:pPr>
      <w:r>
        <w:rPr>
          <w:rFonts w:ascii="Calibri" w:cs="Calibri" w:eastAsia="Calibri" w:hAnsi="Calibri"/>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r>
        <w:br w:type="page"/>
      </w:r>
    </w:p>
    <w:p>
      <w:pPr>
        <w:pStyle w:val="Heading1"/>
        <w:spacing w:after="140" w:before="260"/>
      </w:pPr>
      <w:bookmarkStart w:name="bm_0_document_control" w:id="1000"/>
      <w:r>
        <w:rPr>
          <w:rFonts w:ascii="Calibri" w:cs="Calibri" w:eastAsia="Calibri" w:hAnsi="Calibri"/>
          <w:b/>
          <w:bCs/>
          <w:color w:val="D34817"/>
          <w:sz w:val="30"/>
          <w:szCs w:val="30"/>
        </w:rPr>
        <w:t xml:space="preserve">Document Control</w:t>
      </w:r>
      <w:bookmarkEnd w:id="1000"/>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Document Description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Design Document for the Phoneme SDLC Platform's multi-project standard: repository layout, staging-to-GitHub linkage, platform-core shared services (AAA, Security, API Gateway), infrastructure allocation, and the AI model routing policy. Companion to the BRD/PRD (PHN-PSP-2026-01-BRDPRD), Section 18.</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Identification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PHN-PSP-2026-02-TDD</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 Classification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Confidential — contains internal network addressing; instance credentials are tracked separately and are not reproduced in this document</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Location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github.com/myphoneme/phoneme_sdlc — docs/02-technical-design/</w:t>
            </w:r>
          </w:p>
        </w:tc>
      </w:tr>
    </w:tbl>
    <w:p>
      <w:pPr>
        <w:spacing w:after="220"/>
      </w:pPr>
    </w:p>
    <w:p>
      <w:pPr>
        <w:pStyle w:val="Heading1"/>
        <w:spacing w:after="140" w:before="260"/>
      </w:pPr>
      <w:bookmarkStart w:name="bm_1_authorization" w:id="1001"/>
      <w:r>
        <w:rPr>
          <w:rFonts w:ascii="Calibri" w:cs="Calibri" w:eastAsia="Calibri" w:hAnsi="Calibri"/>
          <w:b/>
          <w:bCs/>
          <w:color w:val="D34817"/>
          <w:sz w:val="30"/>
          <w:szCs w:val="30"/>
        </w:rPr>
        <w:t xml:space="preserve">Authorization</w:t>
      </w:r>
      <w:bookmarkEnd w:id="100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
            </w:r>
          </w:p>
        </w:tc>
        <w:tc>
          <w:tcPr>
            <w:tcW w:type="dxa" w:w="3117"/>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 of the Person</w:t>
            </w:r>
          </w:p>
        </w:tc>
        <w:tc>
          <w:tcPr>
            <w:tcW w:type="dxa" w:w="3116"/>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Prepared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Anuj</w:t>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2026-09-25</w:t>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Approved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bl>
    <w:p>
      <w:pPr>
        <w:spacing w:after="220"/>
      </w:pPr>
    </w:p>
    <w:p>
      <w:pPr>
        <w:pStyle w:val="Heading1"/>
        <w:spacing w:after="140" w:before="260"/>
      </w:pPr>
      <w:bookmarkStart w:name="bm_2_change_log" w:id="1002"/>
      <w:r>
        <w:rPr>
          <w:rFonts w:ascii="Calibri" w:cs="Calibri" w:eastAsia="Calibri" w:hAnsi="Calibri"/>
          <w:b/>
          <w:bCs/>
          <w:color w:val="D34817"/>
          <w:sz w:val="30"/>
          <w:szCs w:val="30"/>
        </w:rPr>
        <w:t xml:space="preserve">Change Log</w:t>
      </w:r>
      <w:bookmarkEnd w:id="1002"/>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300"/>
        <w:gridCol w:w="800"/>
        <w:gridCol w:w="4500"/>
        <w:gridCol w:w="1450"/>
      </w:tblGrid>
      <w:tr>
        <w:trPr>
          <w:tblHeader/>
        </w:trPr>
        <w:tc>
          <w:tcPr>
            <w:tcW w:type="dxa" w:w="11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13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Section</w:t>
            </w:r>
          </w:p>
        </w:tc>
        <w:tc>
          <w:tcPr>
            <w:tcW w:type="dxa" w:w="8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A/M/D</w:t>
            </w:r>
          </w:p>
        </w:tc>
        <w:tc>
          <w:tcPr>
            <w:tcW w:type="dxa" w:w="45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14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Reviewed By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2026-09-25</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All</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A</w:t>
            </w:r>
          </w:p>
        </w:tc>
        <w:tc>
          <w:tcPr>
            <w:tcW w:type="dxa" w:w="45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issue. Captures, as a reviewed decision ahead of implementation: the standard project repository layout; staging-server-to-GitHub linkage; platform-core AAA/Security/API Gateway architecture and infrastructure allocation; and the AI model routing policy (commercial models for critical generation, Ollama for non-critical NLU). Companion to BRD/PRD Section 18.</w:t>
            </w:r>
          </w:p>
        </w:tc>
        <w:tc>
          <w:tcPr>
            <w:tcW w:type="dxa" w:w="145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bl>
    <w:p>
      <w:pPr>
        <w:spacing w:after="260"/>
      </w:pPr>
    </w:p>
    <w:p>
      <w:pPr>
        <w:spacing w:after="100" w:before="120"/>
      </w:pPr>
      <w:r>
        <w:rPr>
          <w:rFonts w:ascii="Calibri" w:cs="Calibri" w:eastAsia="Calibri" w:hAnsi="Calibri"/>
          <w:b/>
          <w:bCs/>
          <w:color w:val="9B2D1F"/>
          <w:sz w:val="24"/>
          <w:szCs w:val="24"/>
        </w:rPr>
        <w:t xml:space="preserve">Confidentiality Agreement</w:t>
      </w:r>
    </w:p>
    <w:p>
      <w:pPr>
        <w:spacing w:after="120" w:line="276"/>
      </w:pPr>
      <w:r>
        <w:rPr>
          <w:rFonts w:ascii="Calibri" w:cs="Calibri" w:eastAsia="Calibri" w:hAnsi="Calibri"/>
          <w:b w:val="false"/>
          <w:bCs w:val="false"/>
          <w:i/>
          <w:iCs/>
          <w:color w:val="6E6E6E"/>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w:t>
      </w:r>
    </w:p>
    <w:p>
      <w:pPr>
        <w:pStyle w:val="Heading1"/>
        <w:pageBreakBefore/>
        <w:spacing w:after="140" w:before="260"/>
      </w:pPr>
      <w:bookmarkStart w:name="bm_14_table_of_contents" w:id="1014"/>
      <w:r>
        <w:rPr>
          <w:rFonts w:ascii="Calibri" w:cs="Calibri" w:eastAsia="Calibri" w:hAnsi="Calibri"/>
          <w:b/>
          <w:bCs/>
          <w:color w:val="D34817"/>
          <w:sz w:val="30"/>
          <w:szCs w:val="30"/>
        </w:rPr>
        <w:t xml:space="preserve">Table of Contents</w:t>
      </w:r>
      <w:bookmarkEnd w:id="1014"/>
    </w:p>
    <w:p>
      <w:pPr>
        <w:tabs>
          <w:tab w:val="right" w:pos="9350" w:leader="dot"/>
        </w:tabs>
        <w:spacing w:after="20" w:line="240"/>
      </w:pPr>
      <w:r>
        <w:rPr>
          <w:rFonts w:ascii="Calibri" w:cs="Calibri" w:eastAsia="Calibri" w:hAnsi="Calibri"/>
          <w:b/>
          <w:bCs/>
          <w:color w:val="404040"/>
          <w:sz w:val="20"/>
          <w:szCs w:val="20"/>
        </w:rPr>
        <w:t xml:space="preserve">1. Purpose &amp; Scope</w:t>
      </w:r>
      <w:r>
        <w:rPr>
          <w:sz w:val="19"/>
          <w:szCs w:val="19"/>
        </w:rPr>
        <w:t xml:space="preserve">	</w:t>
      </w:r>
      <w:r>
        <w:fldChar w:fldCharType="begin" w:dirty="true"/>
        <w:instrText xml:space="preserve">PAGEREF bm_3_1_purpose_scope</w:instrText>
        <w:fldChar w:fldCharType="end"/>
      </w:r>
    </w:p>
    <w:p>
      <w:pPr>
        <w:tabs>
          <w:tab w:val="right" w:pos="9350" w:leader="dot"/>
        </w:tabs>
        <w:spacing w:after="20" w:line="240"/>
      </w:pPr>
      <w:r>
        <w:rPr>
          <w:rFonts w:ascii="Calibri" w:cs="Calibri" w:eastAsia="Calibri" w:hAnsi="Calibri"/>
          <w:b/>
          <w:bCs/>
          <w:color w:val="404040"/>
          <w:sz w:val="20"/>
          <w:szCs w:val="20"/>
        </w:rPr>
        <w:t xml:space="preserve">2. Standard Project Repository Layout</w:t>
      </w:r>
      <w:r>
        <w:rPr>
          <w:sz w:val="19"/>
          <w:szCs w:val="19"/>
        </w:rPr>
        <w:t xml:space="preserve">	</w:t>
      </w:r>
      <w:r>
        <w:fldChar w:fldCharType="begin" w:dirty="true"/>
        <w:instrText xml:space="preserve">PAGEREF bm_4_2_standard_project_repository_</w:instrText>
        <w:fldChar w:fldCharType="end"/>
      </w:r>
    </w:p>
    <w:p>
      <w:pPr>
        <w:tabs>
          <w:tab w:val="right" w:pos="9350" w:leader="dot"/>
        </w:tabs>
        <w:spacing w:after="20" w:line="240"/>
      </w:pPr>
      <w:r>
        <w:rPr>
          <w:rFonts w:ascii="Calibri" w:cs="Calibri" w:eastAsia="Calibri" w:hAnsi="Calibri"/>
          <w:b/>
          <w:bCs/>
          <w:color w:val="404040"/>
          <w:sz w:val="20"/>
          <w:szCs w:val="20"/>
        </w:rPr>
        <w:t xml:space="preserve">3. Staging Server ↔ GitHub Linkage</w:t>
      </w:r>
      <w:r>
        <w:rPr>
          <w:sz w:val="19"/>
          <w:szCs w:val="19"/>
        </w:rPr>
        <w:t xml:space="preserve">	</w:t>
      </w:r>
      <w:r>
        <w:fldChar w:fldCharType="begin" w:dirty="true"/>
        <w:instrText xml:space="preserve">PAGEREF bm_5_3_staging_server_github_linkag</w:instrText>
        <w:fldChar w:fldCharType="end"/>
      </w:r>
    </w:p>
    <w:p>
      <w:pPr>
        <w:tabs>
          <w:tab w:val="right" w:pos="9350" w:leader="dot"/>
        </w:tabs>
        <w:spacing w:after="20" w:line="240"/>
      </w:pPr>
      <w:r>
        <w:rPr>
          <w:rFonts w:ascii="Calibri" w:cs="Calibri" w:eastAsia="Calibri" w:hAnsi="Calibri"/>
          <w:b/>
          <w:bCs/>
          <w:color w:val="404040"/>
          <w:sz w:val="20"/>
          <w:szCs w:val="20"/>
        </w:rPr>
        <w:t xml:space="preserve">4. Onboarding Paths</w:t>
      </w:r>
      <w:r>
        <w:rPr>
          <w:sz w:val="19"/>
          <w:szCs w:val="19"/>
        </w:rPr>
        <w:t xml:space="preserve">	</w:t>
      </w:r>
      <w:r>
        <w:fldChar w:fldCharType="begin" w:dirty="true"/>
        <w:instrText xml:space="preserve">PAGEREF bm_6_4_onboarding_paths</w:instrText>
        <w:fldChar w:fldCharType="end"/>
      </w:r>
    </w:p>
    <w:p>
      <w:pPr>
        <w:tabs>
          <w:tab w:val="right" w:pos="9350" w:leader="dot"/>
        </w:tabs>
        <w:spacing w:after="20" w:line="240"/>
      </w:pPr>
      <w:r>
        <w:rPr>
          <w:rFonts w:ascii="Calibri" w:cs="Calibri" w:eastAsia="Calibri" w:hAnsi="Calibri"/>
          <w:b/>
          <w:bCs/>
          <w:color w:val="404040"/>
          <w:sz w:val="20"/>
          <w:szCs w:val="20"/>
        </w:rPr>
        <w:t xml:space="preserve">5. Platform-Core Shared Services</w:t>
      </w:r>
      <w:r>
        <w:rPr>
          <w:sz w:val="19"/>
          <w:szCs w:val="19"/>
        </w:rPr>
        <w:t xml:space="preserve">	</w:t>
      </w:r>
      <w:r>
        <w:fldChar w:fldCharType="begin" w:dirty="true"/>
        <w:instrText xml:space="preserve">PAGEREF bm_7_5_platform_core_shared_service</w:instrText>
        <w:fldChar w:fldCharType="end"/>
      </w:r>
    </w:p>
    <w:p>
      <w:pPr>
        <w:tabs>
          <w:tab w:val="right" w:pos="9350" w:leader="dot"/>
        </w:tabs>
        <w:spacing w:after="20" w:line="240"/>
      </w:pPr>
      <w:r>
        <w:rPr>
          <w:rFonts w:ascii="Calibri" w:cs="Calibri" w:eastAsia="Calibri" w:hAnsi="Calibri"/>
          <w:b/>
          <w:bCs/>
          <w:color w:val="404040"/>
          <w:sz w:val="20"/>
          <w:szCs w:val="20"/>
        </w:rPr>
        <w:t xml:space="preserve">6. Infrastructure Allocation &amp; Network Topology</w:t>
      </w:r>
      <w:r>
        <w:rPr>
          <w:sz w:val="19"/>
          <w:szCs w:val="19"/>
        </w:rPr>
        <w:t xml:space="preserve">	</w:t>
      </w:r>
      <w:r>
        <w:fldChar w:fldCharType="begin" w:dirty="true"/>
        <w:instrText xml:space="preserve">PAGEREF bm_8_6_infrastructure_allocation_ne</w:instrText>
        <w:fldChar w:fldCharType="end"/>
      </w:r>
    </w:p>
    <w:p>
      <w:pPr>
        <w:tabs>
          <w:tab w:val="right" w:pos="9350" w:leader="dot"/>
        </w:tabs>
        <w:spacing w:after="20" w:line="240"/>
      </w:pPr>
      <w:r>
        <w:rPr>
          <w:rFonts w:ascii="Calibri" w:cs="Calibri" w:eastAsia="Calibri" w:hAnsi="Calibri"/>
          <w:b/>
          <w:bCs/>
          <w:color w:val="404040"/>
          <w:sz w:val="20"/>
          <w:szCs w:val="20"/>
        </w:rPr>
        <w:t xml:space="preserve">7. Credential Rotation — Pre-Production Gate</w:t>
      </w:r>
      <w:r>
        <w:rPr>
          <w:sz w:val="19"/>
          <w:szCs w:val="19"/>
        </w:rPr>
        <w:t xml:space="preserve">	</w:t>
      </w:r>
      <w:r>
        <w:fldChar w:fldCharType="begin" w:dirty="true"/>
        <w:instrText xml:space="preserve">PAGEREF bm_9_7_credential_rotation_pre_prod</w:instrText>
        <w:fldChar w:fldCharType="end"/>
      </w:r>
    </w:p>
    <w:p>
      <w:pPr>
        <w:tabs>
          <w:tab w:val="right" w:pos="9350" w:leader="dot"/>
        </w:tabs>
        <w:spacing w:after="20" w:line="240"/>
      </w:pPr>
      <w:r>
        <w:rPr>
          <w:rFonts w:ascii="Calibri" w:cs="Calibri" w:eastAsia="Calibri" w:hAnsi="Calibri"/>
          <w:b/>
          <w:bCs/>
          <w:color w:val="404040"/>
          <w:sz w:val="20"/>
          <w:szCs w:val="20"/>
        </w:rPr>
        <w:t xml:space="preserve">8. AI Model Routing Policy</w:t>
      </w:r>
      <w:r>
        <w:rPr>
          <w:sz w:val="19"/>
          <w:szCs w:val="19"/>
        </w:rPr>
        <w:t xml:space="preserve">	</w:t>
      </w:r>
      <w:r>
        <w:fldChar w:fldCharType="begin" w:dirty="true"/>
        <w:instrText xml:space="preserve">PAGEREF bm_10_8_ai_model_routing_policy</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8.1 Verified Gateway Behaviour</w:t>
      </w:r>
      <w:r>
        <w:rPr>
          <w:sz w:val="19"/>
          <w:szCs w:val="19"/>
        </w:rPr>
        <w:t xml:space="preserve">	</w:t>
      </w:r>
      <w:r>
        <w:fldChar w:fldCharType="begin" w:dirty="true"/>
        <w:instrText xml:space="preserve">PAGEREF bm_11_8_1_verified_gateway_behaviour</w:instrText>
        <w:fldChar w:fldCharType="end"/>
      </w:r>
    </w:p>
    <w:p>
      <w:pPr>
        <w:tabs>
          <w:tab w:val="right" w:pos="9350" w:leader="dot"/>
        </w:tabs>
        <w:spacing w:after="20" w:line="240"/>
      </w:pPr>
      <w:r>
        <w:rPr>
          <w:rFonts w:ascii="Calibri" w:cs="Calibri" w:eastAsia="Calibri" w:hAnsi="Calibri"/>
          <w:b/>
          <w:bCs/>
          <w:color w:val="404040"/>
          <w:sz w:val="20"/>
          <w:szCs w:val="20"/>
        </w:rPr>
        <w:t xml:space="preserve">9. Open Items</w:t>
      </w:r>
      <w:r>
        <w:rPr>
          <w:sz w:val="19"/>
          <w:szCs w:val="19"/>
        </w:rPr>
        <w:t xml:space="preserve">	</w:t>
      </w:r>
      <w:r>
        <w:fldChar w:fldCharType="begin" w:dirty="true"/>
        <w:instrText xml:space="preserve">PAGEREF bm_12_9_open_items</w:instrText>
        <w:fldChar w:fldCharType="end"/>
      </w:r>
    </w:p>
    <w:p>
      <w:pPr>
        <w:tabs>
          <w:tab w:val="right" w:pos="9350" w:leader="dot"/>
        </w:tabs>
        <w:spacing w:after="20" w:line="240"/>
      </w:pPr>
      <w:r>
        <w:rPr>
          <w:rFonts w:ascii="Calibri" w:cs="Calibri" w:eastAsia="Calibri" w:hAnsi="Calibri"/>
          <w:b/>
          <w:bCs/>
          <w:color w:val="404040"/>
          <w:sz w:val="20"/>
          <w:szCs w:val="20"/>
        </w:rPr>
        <w:t xml:space="preserve">10. Conclusion</w:t>
      </w:r>
      <w:r>
        <w:rPr>
          <w:sz w:val="19"/>
          <w:szCs w:val="19"/>
        </w:rPr>
        <w:t xml:space="preserve">	</w:t>
      </w:r>
      <w:r>
        <w:fldChar w:fldCharType="begin" w:dirty="true"/>
        <w:instrText xml:space="preserve">PAGEREF bm_13_10_conclusion</w:instrText>
        <w:fldChar w:fldCharType="end"/>
      </w:r>
    </w:p>
    <w:p>
      <w:r>
        <w:br w:type="page"/>
      </w:r>
    </w:p>
    <w:p>
      <w:pPr>
        <w:pStyle w:val="Heading1"/>
        <w:spacing w:after="140" w:before="260"/>
      </w:pPr>
      <w:bookmarkStart w:name="bm_3_1_purpose_scope" w:id="1003"/>
      <w:r>
        <w:rPr>
          <w:rFonts w:ascii="Calibri" w:cs="Calibri" w:eastAsia="Calibri" w:hAnsi="Calibri"/>
          <w:b/>
          <w:bCs/>
          <w:color w:val="D34817"/>
          <w:sz w:val="30"/>
          <w:szCs w:val="30"/>
        </w:rPr>
        <w:t xml:space="preserve">1. Purpose &amp; Scope</w:t>
      </w:r>
      <w:bookmarkEnd w:id="1003"/>
    </w:p>
    <w:p>
      <w:pPr>
        <w:spacing w:after="120" w:line="276"/>
      </w:pPr>
      <w:r>
        <w:rPr>
          <w:rFonts w:ascii="Calibri" w:cs="Calibri" w:eastAsia="Calibri" w:hAnsi="Calibri"/>
          <w:b w:val="false"/>
          <w:bCs w:val="false"/>
          <w:i w:val="false"/>
          <w:iCs w:val="false"/>
          <w:sz w:val="22"/>
          <w:szCs w:val="22"/>
        </w:rPr>
        <w:t xml:space="preserve">This Technical Design Document (TDD) records, as reviewed decisions, the platform-wide standards introduced by BRD/PRD Section 18 (Multi-Project Platform Standards &amp; Shared Services): the repository layout every Phoneme project follows, how the staging server relates to GitHub as the source of truth, the shared platform-core services every project consumes, the infrastructure those services run on, and the policy for routing AI calls between commercial models and the local Ollama model. It exists so that these decisions are frozen and reviewable before any of them is implemented as code, per the explicit instruction that the AI model routing table in particular must be captured here first.</w:t>
      </w:r>
    </w:p>
    <w:p>
      <w:pPr>
        <w:spacing w:after="120" w:line="276"/>
      </w:pPr>
      <w:r>
        <w:rPr>
          <w:rFonts w:ascii="Calibri" w:cs="Calibri" w:eastAsia="Calibri" w:hAnsi="Calibri"/>
          <w:b w:val="false"/>
          <w:bCs w:val="false"/>
          <w:i w:val="false"/>
          <w:iCs w:val="false"/>
          <w:sz w:val="22"/>
          <w:szCs w:val="22"/>
        </w:rPr>
        <w:t xml:space="preserve">Out of scope for this document: the per-project BRD/PRD content itself (each project's own docs/01-requirements/), and the internal design of any single platform-core service beyond its external contract (each gets its own TDD once built).</w:t>
      </w:r>
    </w:p>
    <w:p>
      <w:pPr>
        <w:pStyle w:val="Heading1"/>
        <w:spacing w:after="140" w:before="260"/>
      </w:pPr>
      <w:bookmarkStart w:name="bm_4_2_standard_project_repository_" w:id="1004"/>
      <w:r>
        <w:rPr>
          <w:rFonts w:ascii="Calibri" w:cs="Calibri" w:eastAsia="Calibri" w:hAnsi="Calibri"/>
          <w:b/>
          <w:bCs/>
          <w:color w:val="D34817"/>
          <w:sz w:val="30"/>
          <w:szCs w:val="30"/>
        </w:rPr>
        <w:t xml:space="preserve">2. Standard Project Repository Layout</w:t>
      </w:r>
      <w:bookmarkEnd w:id="1004"/>
    </w:p>
    <w:p>
      <w:pPr>
        <w:spacing w:after="120" w:line="276"/>
      </w:pPr>
      <w:r>
        <w:rPr>
          <w:rFonts w:ascii="Calibri" w:cs="Calibri" w:eastAsia="Calibri" w:hAnsi="Calibri"/>
          <w:b w:val="false"/>
          <w:bCs w:val="false"/>
          <w:i w:val="false"/>
          <w:iCs w:val="false"/>
          <w:sz w:val="22"/>
          <w:szCs w:val="22"/>
        </w:rPr>
        <w:t xml:space="preserve">Every project repository under the myphoneme GitHub organization is scaffolded to one fixed layout (implemented by setup-phoneme-project.sh, run once per project on the staging server):</w:t>
      </w:r>
    </w:p>
    <w:p>
      <w:pPr>
        <w:shd w:fill="F2F2F2" w:color="auto" w:val="clear"/>
        <w:spacing w:after="40"/>
      </w:pPr>
      <w:r>
        <w:rPr>
          <w:rFonts w:ascii="Consolas" w:cs="Consolas" w:eastAsia="Consolas" w:hAnsi="Consolas"/>
          <w:sz w:val="20"/>
          <w:szCs w:val="20"/>
        </w:rPr>
        <w:t xml:space="preserve">docs/</w:t>
      </w:r>
    </w:p>
    <w:p>
      <w:pPr>
        <w:shd w:fill="F2F2F2" w:color="auto" w:val="clear"/>
        <w:spacing w:after="40"/>
      </w:pPr>
      <w:r>
        <w:rPr>
          <w:rFonts w:ascii="Consolas" w:cs="Consolas" w:eastAsia="Consolas" w:hAnsi="Consolas"/>
          <w:sz w:val="20"/>
          <w:szCs w:val="20"/>
        </w:rPr>
        <w:t xml:space="preserve">  00-discovery/            Discovery chat transcript, research notes, brand/theme decisions</w:t>
      </w:r>
    </w:p>
    <w:p>
      <w:pPr>
        <w:shd w:fill="F2F2F2" w:color="auto" w:val="clear"/>
        <w:spacing w:after="40"/>
      </w:pPr>
      <w:r>
        <w:rPr>
          <w:rFonts w:ascii="Consolas" w:cs="Consolas" w:eastAsia="Consolas" w:hAnsi="Consolas"/>
          <w:sz w:val="20"/>
          <w:szCs w:val="20"/>
        </w:rPr>
        <w:t xml:space="preserve">  01-requirements/         BRD/PRD by module, REQ-ID indexed</w:t>
      </w:r>
    </w:p>
    <w:p>
      <w:pPr>
        <w:shd w:fill="F2F2F2" w:color="auto" w:val="clear"/>
        <w:spacing w:after="40"/>
      </w:pPr>
      <w:r>
        <w:rPr>
          <w:rFonts w:ascii="Consolas" w:cs="Consolas" w:eastAsia="Consolas" w:hAnsi="Consolas"/>
          <w:sz w:val="20"/>
          <w:szCs w:val="20"/>
        </w:rPr>
        <w:t xml:space="preserve">  02-technical-design/     Per module: data schema, process flow, microservices, UI/UX dataflow</w:t>
      </w:r>
    </w:p>
    <w:p>
      <w:pPr>
        <w:shd w:fill="F2F2F2" w:color="auto" w:val="clear"/>
        <w:spacing w:after="40"/>
      </w:pPr>
      <w:r>
        <w:rPr>
          <w:rFonts w:ascii="Consolas" w:cs="Consolas" w:eastAsia="Consolas" w:hAnsi="Consolas"/>
          <w:sz w:val="20"/>
          <w:szCs w:val="20"/>
        </w:rPr>
        <w:t xml:space="preserve">  03-change-requests/      One record per CR, referencing the REQ-ID(s) it impacts</w:t>
      </w:r>
    </w:p>
    <w:p>
      <w:pPr>
        <w:shd w:fill="F2F2F2" w:color="auto" w:val="clear"/>
        <w:spacing w:after="40"/>
      </w:pPr>
      <w:r>
        <w:rPr>
          <w:rFonts w:ascii="Consolas" w:cs="Consolas" w:eastAsia="Consolas" w:hAnsi="Consolas"/>
          <w:sz w:val="20"/>
          <w:szCs w:val="20"/>
        </w:rPr>
        <w:t xml:space="preserve">src/                       Application source (framework per project)</w:t>
      </w:r>
    </w:p>
    <w:p>
      <w:pPr>
        <w:shd w:fill="F2F2F2" w:color="auto" w:val="clear"/>
        <w:spacing w:after="40"/>
      </w:pPr>
      <w:r>
        <w:rPr>
          <w:rFonts w:ascii="Consolas" w:cs="Consolas" w:eastAsia="Consolas" w:hAnsi="Consolas"/>
          <w:sz w:val="20"/>
          <w:szCs w:val="20"/>
        </w:rPr>
        <w:t xml:space="preserve">.sdlc/</w:t>
      </w:r>
    </w:p>
    <w:p>
      <w:pPr>
        <w:shd w:fill="F2F2F2" w:color="auto" w:val="clear"/>
        <w:spacing w:after="40"/>
      </w:pPr>
      <w:r>
        <w:rPr>
          <w:rFonts w:ascii="Consolas" w:cs="Consolas" w:eastAsia="Consolas" w:hAnsi="Consolas"/>
          <w:sz w:val="20"/>
          <w:szCs w:val="20"/>
        </w:rPr>
        <w:t xml:space="preserve">  project.json             Product name, product code, staging URL, GitHub remote, status</w:t>
      </w:r>
    </w:p>
    <w:p>
      <w:pPr>
        <w:shd w:fill="F2F2F2" w:color="auto" w:val="clear"/>
        <w:spacing w:after="40"/>
      </w:pPr>
      <w:r>
        <w:rPr>
          <w:rFonts w:ascii="Consolas" w:cs="Consolas" w:eastAsia="Consolas" w:hAnsi="Consolas"/>
          <w:sz w:val="20"/>
          <w:szCs w:val="20"/>
        </w:rPr>
        <w:t xml:space="preserve">  req-index.json           REQ-ID -&gt; document -&gt; status map</w:t>
      </w:r>
    </w:p>
    <w:p>
      <w:pPr>
        <w:spacing w:after="120" w:line="276"/>
      </w:pPr>
      <w:r>
        <w:rPr>
          <w:rFonts w:ascii="Calibri" w:cs="Calibri" w:eastAsia="Calibri" w:hAnsi="Calibri"/>
          <w:b w:val="false"/>
          <w:bCs w:val="false"/>
          <w:i w:val="false"/>
          <w:iCs w:val="false"/>
          <w:sz w:val="22"/>
          <w:szCs w:val="22"/>
        </w:rPr>
        <w:t xml:space="preserve">docs/ and .sdlc/ are committed into the same repository as src/, so document regeneration is a git commit like any code change. This TDD's own repository (phoneme_sdlc) follows the same layout — this document lives at docs/02-technical-design/ within it.</w:t>
      </w:r>
    </w:p>
    <w:p>
      <w:pPr>
        <w:pStyle w:val="Heading1"/>
        <w:spacing w:after="140" w:before="260"/>
      </w:pPr>
      <w:bookmarkStart w:name="bm_5_3_staging_server_github_linkag" w:id="1005"/>
      <w:r>
        <w:rPr>
          <w:rFonts w:ascii="Calibri" w:cs="Calibri" w:eastAsia="Calibri" w:hAnsi="Calibri"/>
          <w:b/>
          <w:bCs/>
          <w:color w:val="D34817"/>
          <w:sz w:val="30"/>
          <w:szCs w:val="30"/>
        </w:rPr>
        <w:t xml:space="preserve">3. Staging Server ↔ GitHub Linkage</w:t>
      </w:r>
      <w:bookmarkEnd w:id="1005"/>
    </w:p>
    <w:p>
      <w:pPr>
        <w:spacing w:after="120" w:line="276"/>
      </w:pPr>
      <w:r>
        <w:rPr>
          <w:rFonts w:ascii="Calibri" w:cs="Calibri" w:eastAsia="Calibri" w:hAnsi="Calibri"/>
          <w:b w:val="false"/>
          <w:bCs w:val="false"/>
          <w:i w:val="false"/>
          <w:iCs w:val="false"/>
          <w:sz w:val="22"/>
          <w:szCs w:val="22"/>
        </w:rPr>
        <w:t xml:space="preserve">The staging server (10.100.60.119) is where each project's working copy is checked out, built and served; the myphoneme GitHub organization is the version-controlled source of truth for both documents and code. The platform reads and writes docs/ and .sdlc/ against the local checkout on staging, then commits and pushes to the project's GitHub remote.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Decision point</w:t>
            </w:r>
          </w:p>
        </w:tc>
        <w:tc>
          <w:tcPr>
            <w:tcW w:type="dxa" w:w="51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Direct-commit vs. branch + PR for platform-driven document regeneration</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Open — recommendation: branch + PR review whenever regeneration touches an Approved or Frozen requirement; direct commit acceptable for Draft-state documents. To be confirmed before Change Management (Section 6) is implemented.</w:t>
            </w:r>
          </w:p>
        </w:tc>
      </w:tr>
      <w:tr>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System of record for document/code history</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Frozen — GitHub. The platform's PostgreSQL store is a fast-query index, reconciled the same way traceability is reconciled elsewhere in the platform data model.</w:t>
            </w:r>
          </w:p>
        </w:tc>
      </w:tr>
    </w:tbl>
    <w:p>
      <w:pPr>
        <w:pStyle w:val="Heading1"/>
        <w:spacing w:after="140" w:before="260"/>
      </w:pPr>
      <w:bookmarkStart w:name="bm_6_4_onboarding_paths" w:id="1006"/>
      <w:r>
        <w:rPr>
          <w:rFonts w:ascii="Calibri" w:cs="Calibri" w:eastAsia="Calibri" w:hAnsi="Calibri"/>
          <w:b/>
          <w:bCs/>
          <w:color w:val="D34817"/>
          <w:sz w:val="30"/>
          <w:szCs w:val="30"/>
        </w:rPr>
        <w:t xml:space="preserve">4. Onboarding Paths</w:t>
      </w:r>
      <w:bookmarkEnd w:id="1006"/>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50"/>
      </w:tblGrid>
      <w:tr>
        <w:trPr>
          <w:tblHeader/>
        </w:trPr>
        <w:tc>
          <w:tcPr>
            <w:tcW w:type="dxa" w:w="19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Path</w:t>
            </w:r>
          </w:p>
        </w:tc>
        <w:tc>
          <w:tcPr>
            <w:tcW w:type="dxa" w:w="36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Starting point</w:t>
            </w:r>
          </w:p>
        </w:tc>
        <w:tc>
          <w:tcPr>
            <w:tcW w:type="dxa" w:w="38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New Project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product concept with no existing code</w:t>
            </w:r>
          </w:p>
        </w:tc>
        <w:tc>
          <w:tcPr>
            <w:tcW w:type="dxa" w:w="385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 — the Idea-to-BRD/PRD Wizard (Discovery Chat → User Flow → Generating BRD/PRD → BRD/PRD Manager).</w:t>
            </w:r>
          </w:p>
        </w:tc>
      </w:tr>
      <w:tr>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Existing Project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 GitHub repository with code already in production</w:t>
            </w:r>
          </w:p>
        </w:tc>
        <w:tc>
          <w:tcPr>
            <w:tcW w:type="dxa" w:w="38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built — scoped as a Phase 2 capability: scan the repository, propose a module breakdown, mint REQ-IDs retroactively, draft BRD/PRD content from the scan for human review.</w:t>
            </w:r>
          </w:p>
        </w:tc>
      </w:tr>
    </w:tbl>
    <w:p>
      <w:pPr>
        <w:pStyle w:val="Heading1"/>
        <w:spacing w:after="140" w:before="260"/>
      </w:pPr>
      <w:bookmarkStart w:name="bm_7_5_platform_core_shared_service" w:id="1007"/>
      <w:r>
        <w:rPr>
          <w:rFonts w:ascii="Calibri" w:cs="Calibri" w:eastAsia="Calibri" w:hAnsi="Calibri"/>
          <w:b/>
          <w:bCs/>
          <w:color w:val="D34817"/>
          <w:sz w:val="30"/>
          <w:szCs w:val="30"/>
        </w:rPr>
        <w:t xml:space="preserve">5. Platform-Core Shared Services</w:t>
      </w:r>
      <w:bookmarkEnd w:id="1007"/>
    </w:p>
    <w:p>
      <w:pPr>
        <w:spacing w:after="120" w:line="276"/>
      </w:pPr>
      <w:r>
        <w:rPr>
          <w:rFonts w:ascii="Calibri" w:cs="Calibri" w:eastAsia="Calibri" w:hAnsi="Calibri"/>
          <w:b w:val="false"/>
          <w:bCs w:val="false"/>
          <w:i w:val="false"/>
          <w:iCs w:val="false"/>
          <w:sz w:val="22"/>
          <w:szCs w:val="22"/>
        </w:rPr>
        <w:t xml:space="preserve">Three concerns are common to every project and are built once, in a dedicated platform-core repository with its own BRD/PRD and REQ-IDs, rather than inside each project. This TDD fixes their external contract and deployment model; each service's internal design is documented in its own TDD once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50"/>
      </w:tblGrid>
      <w:tr>
        <w:trPr>
          <w:tblHeader/>
        </w:trPr>
        <w:tc>
          <w:tcPr>
            <w:tcW w:type="dxa" w:w="15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Service</w:t>
            </w:r>
          </w:p>
        </w:tc>
        <w:tc>
          <w:tcPr>
            <w:tcW w:type="dxa" w:w="5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External contract</w:t>
            </w:r>
          </w:p>
        </w:tc>
        <w:tc>
          <w:tcPr>
            <w:tcW w:type="dxa" w:w="26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Deployment model</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AAA</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OAuth2/OIDC identity provider. Every project registers as a client and delegates login/token-issuance to it rather than implementing its own.</w:t>
            </w:r>
          </w:p>
        </w:tc>
        <w:tc>
          <w:tcPr>
            <w:tcW w:type="dxa" w:w="2650"/>
            <w:tcMar>
              <w:top w:type="dxa" w:w="80"/>
              <w:left w:type="dxa" w:w="100"/>
              <w:bottom w:type="dxa" w:w="80"/>
              <w:right w:type="dxa" w:w="100"/>
            </w:tcMar>
            <w:vAlign w:val="center"/>
          </w:tcPr>
          <w:p>
            <w:r>
              <w:rPr>
                <w:rFonts w:ascii="Calibri" w:cs="Calibri" w:eastAsia="Calibri" w:hAnsi="Calibri"/>
                <w:b w:val="false"/>
                <w:bCs w:val="false"/>
                <w:sz w:val="20"/>
                <w:szCs w:val="20"/>
              </w:rPr>
              <w:t xml:space="preserve">Dedicated instance (new server, IP TBD), plus a thin client library each project deploys locally to talk to it.</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Centralized audit-log sink, secrets store, and rate-limit policy service, called by every project rather than reimplemented per project.</w:t>
            </w:r>
          </w:p>
        </w:tc>
        <w:tc>
          <w:tcPr>
            <w:tcW w:type="dxa" w:w="2650"/>
            <w:tcMar>
              <w:top w:type="dxa" w:w="80"/>
              <w:left w:type="dxa" w:w="100"/>
              <w:bottom w:type="dxa" w:w="80"/>
              <w:right w:type="dxa" w:w="100"/>
            </w:tcMar>
            <w:vAlign w:val="center"/>
          </w:tcPr>
          <w:p>
            <w:r>
              <w:rPr>
                <w:rFonts w:ascii="Calibri" w:cs="Calibri" w:eastAsia="Calibri" w:hAnsi="Calibri"/>
                <w:b w:val="false"/>
                <w:bCs w:val="false"/>
                <w:sz w:val="20"/>
                <w:szCs w:val="20"/>
              </w:rPr>
              <w:t xml:space="preserve">Shared library/package — each project deploys its own copy against the shared runtime contract.</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API Gateway</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 ingress: validates tokens issued by AAA, enforces rate limits, routes requests to the correct project backend. The only public-facing instance in the target topology (Section 6).</w:t>
            </w:r>
          </w:p>
        </w:tc>
        <w:tc>
          <w:tcPr>
            <w:tcW w:type="dxa" w:w="2650"/>
            <w:tcMar>
              <w:top w:type="dxa" w:w="80"/>
              <w:left w:type="dxa" w:w="100"/>
              <w:bottom w:type="dxa" w:w="80"/>
              <w:right w:type="dxa" w:w="100"/>
            </w:tcMar>
            <w:vAlign w:val="center"/>
          </w:tcPr>
          <w:p>
            <w:r>
              <w:rPr>
                <w:rFonts w:ascii="Calibri" w:cs="Calibri" w:eastAsia="Calibri" w:hAnsi="Calibri"/>
                <w:b w:val="false"/>
                <w:bCs w:val="false"/>
                <w:sz w:val="20"/>
                <w:szCs w:val="20"/>
              </w:rPr>
              <w:t xml:space="preserve">Dedicated instance (new server, IP TBD).</w:t>
            </w:r>
          </w:p>
        </w:tc>
      </w:tr>
    </w:tbl>
    <w:p>
      <w:pPr>
        <w:spacing w:after="120" w:line="276"/>
      </w:pPr>
      <w:r>
        <w:rPr>
          <w:rFonts w:ascii="Calibri" w:cs="Calibri" w:eastAsia="Calibri" w:hAnsi="Calibri"/>
          <w:b w:val="false"/>
          <w:bCs w:val="false"/>
          <w:i w:val="false"/>
          <w:iCs w:val="false"/>
          <w:sz w:val="22"/>
          <w:szCs w:val="22"/>
        </w:rPr>
        <w:t xml:space="preserve">The New Project Wizard's module-breakdown step recognizes authentication, security and gateway concerns during discovery and links the resulting requirement to platform-core's published contract instead of drafting them as new project-specific modules. Each project's .sdlc/project.json records which platform-core version it integrates against.</w:t>
      </w:r>
    </w:p>
    <w:p>
      <w:pPr>
        <w:pStyle w:val="Heading1"/>
        <w:spacing w:after="140" w:before="260"/>
      </w:pPr>
      <w:bookmarkStart w:name="bm_8_6_infrastructure_allocation_ne" w:id="1008"/>
      <w:r>
        <w:rPr>
          <w:rFonts w:ascii="Calibri" w:cs="Calibri" w:eastAsia="Calibri" w:hAnsi="Calibri"/>
          <w:b/>
          <w:bCs/>
          <w:color w:val="D34817"/>
          <w:sz w:val="30"/>
          <w:szCs w:val="30"/>
        </w:rPr>
        <w:t xml:space="preserve">6. Infrastructure Allocation &amp; Network Topology</w:t>
      </w:r>
      <w:bookmarkEnd w:id="1008"/>
    </w:p>
    <w:p>
      <w:pPr>
        <w:spacing w:after="120" w:line="276"/>
      </w:pPr>
      <w:r>
        <w:rPr>
          <w:rFonts w:ascii="Calibri" w:cs="Calibri" w:eastAsia="Calibri" w:hAnsi="Calibri"/>
          <w:b w:val="false"/>
          <w:bCs w:val="false"/>
          <w:i w:val="false"/>
          <w:iCs w:val="false"/>
          <w:sz w:val="22"/>
          <w:szCs w:val="22"/>
        </w:rPr>
        <w:t xml:space="preserve">Current instance inventory and allocation (credentials tracked separately, not reproduced here; rotation ahead of production use is a pre-production gate — see Section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400"/>
        <w:gridCol w:w="5400"/>
      </w:tblGrid>
      <w:tr>
        <w:trPr>
          <w:tblHeader/>
        </w:trPr>
        <w:tc>
          <w:tcPr>
            <w:tcW w:type="dxa" w:w="15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Instance</w:t>
            </w:r>
          </w:p>
        </w:tc>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5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Allocation</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DB Server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 + Redis, shared across projects</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dedicated database and least-privilege role per project; a reserved Redis index per project; network access restricted to Staging (and, once provisioned, AAA/API Gateway) only.</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Staging server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FastAPI + React-Vite application host</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process/container per project rather than a single shared FastAPI process; standardized deploy pulling docs/, .sdlc/ and src/ from GitHub; common Vite build pipeline; per-project .env for runtime config — commercial-model API keys live in the Security service's secrets store, never in a committed .env.</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AI server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Ollama inference for non-critical NLU (Section 7)</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Serves discovery-chat NLU and the custom-name/availability check. Its OpenAI-compatible endpoint already exhibits live web-search behaviour behind gemma4:e4b — to be confirmed and documented (what sits in front of Ollama) rather than re-built.</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AAA instance (new)</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Central identity service</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Lean, dedicated instance; own PostgreSQL schema on the existing DB Server rather than a fourth database instance; internal network only.</w:t>
            </w:r>
          </w:p>
        </w:tc>
      </w:tr>
      <w:tr>
        <w:tc>
          <w:tcPr>
            <w:tcW w:type="dxa" w:w="1550"/>
            <w:tcMar>
              <w:top w:type="dxa" w:w="80"/>
              <w:left w:type="dxa" w:w="100"/>
              <w:bottom w:type="dxa" w:w="80"/>
              <w:right w:type="dxa" w:w="100"/>
            </w:tcMar>
            <w:vAlign w:val="center"/>
          </w:tcPr>
          <w:p>
            <w:r>
              <w:rPr>
                <w:rFonts w:ascii="Calibri" w:cs="Calibri" w:eastAsia="Calibri" w:hAnsi="Calibri"/>
                <w:b w:val="false"/>
                <w:bCs w:val="false"/>
                <w:sz w:val="20"/>
                <w:szCs w:val="20"/>
              </w:rPr>
              <w:t xml:space="preserve">API Gateway instance (new)</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Public ingress</w:t>
            </w:r>
          </w:p>
        </w:tc>
        <w:tc>
          <w:tcPr>
            <w:tcW w:type="dxa" w:w="5400"/>
            <w:tcMar>
              <w:top w:type="dxa" w:w="80"/>
              <w:left w:type="dxa" w:w="100"/>
              <w:bottom w:type="dxa" w:w="80"/>
              <w:right w:type="dxa" w:w="100"/>
            </w:tcMar>
            <w:vAlign w:val="center"/>
          </w:tcPr>
          <w:p>
            <w:r>
              <w:rPr>
                <w:rFonts w:ascii="Calibri" w:cs="Calibri" w:eastAsia="Calibri" w:hAnsi="Calibri"/>
                <w:b w:val="false"/>
                <w:bCs w:val="false"/>
                <w:sz w:val="20"/>
                <w:szCs w:val="20"/>
              </w:rPr>
              <w:t xml:space="preserve">Lean, dedicated instance; the only instance exposed outside the internal network; internal network for east-west traffic to Staging/DB/AAA.</w:t>
            </w:r>
          </w:p>
        </w:tc>
      </w:tr>
    </w:tbl>
    <w:p>
      <w:pPr>
        <w:spacing w:after="120" w:line="276"/>
      </w:pPr>
      <w:r>
        <w:rPr>
          <w:rFonts w:ascii="Calibri" w:cs="Calibri" w:eastAsia="Calibri" w:hAnsi="Calibri"/>
          <w:b w:val="false"/>
          <w:bCs w:val="false"/>
          <w:i w:val="false"/>
          <w:iCs w:val="false"/>
          <w:sz w:val="22"/>
          <w:szCs w:val="22"/>
        </w:rPr>
        <w:t xml:space="preserve">Target topology: API Gateway is the sole public-facing instance. DB, Staging, AI and AAA are internal-only, reachable solely from the Gateway and from one another over the internal network.</w:t>
      </w:r>
    </w:p>
    <w:p>
      <w:pPr>
        <w:pStyle w:val="Heading1"/>
        <w:spacing w:after="140" w:before="260"/>
      </w:pPr>
      <w:bookmarkStart w:name="bm_9_7_credential_rotation_pre_prod" w:id="1009"/>
      <w:r>
        <w:rPr>
          <w:rFonts w:ascii="Calibri" w:cs="Calibri" w:eastAsia="Calibri" w:hAnsi="Calibri"/>
          <w:b/>
          <w:bCs/>
          <w:color w:val="D34817"/>
          <w:sz w:val="30"/>
          <w:szCs w:val="30"/>
        </w:rPr>
        <w:t xml:space="preserve">7. Credential Rotation — Pre-Production Gate</w:t>
      </w:r>
      <w:bookmarkEnd w:id="1009"/>
    </w:p>
    <w:p>
      <w:pPr>
        <w:spacing w:after="120" w:line="276"/>
      </w:pPr>
      <w:r>
        <w:rPr>
          <w:rFonts w:ascii="Calibri" w:cs="Calibri" w:eastAsia="Calibri" w:hAnsi="Calibri"/>
          <w:b w:val="false"/>
          <w:bCs w:val="false"/>
          <w:i w:val="false"/>
          <w:iCs w:val="false"/>
          <w:sz w:val="22"/>
          <w:szCs w:val="22"/>
        </w:rPr>
        <w:t xml:space="preserve">The plaintext credentials currently in use on the DB, Staging and AI instances are treated as a pilot/staging-only convenience, not a production posture. Before any project on this platform serves production traffic, and before the AAA/API Gateway instances are provisioned: rotate all three existing instance passwords; move them into the Security service's secrets store per Section 5; and restrict DB/AI-server network access to only the internal instances listed in Section 6. This gate is called out here so it is not silently skipped once the platform standard is in day-to-day use.</w:t>
      </w:r>
    </w:p>
    <w:p>
      <w:pPr>
        <w:pStyle w:val="Heading1"/>
        <w:spacing w:after="140" w:before="260"/>
      </w:pPr>
      <w:bookmarkStart w:name="bm_10_8_ai_model_routing_policy" w:id="1010"/>
      <w:r>
        <w:rPr>
          <w:rFonts w:ascii="Calibri" w:cs="Calibri" w:eastAsia="Calibri" w:hAnsi="Calibri"/>
          <w:b/>
          <w:bCs/>
          <w:color w:val="D34817"/>
          <w:sz w:val="30"/>
          <w:szCs w:val="30"/>
        </w:rPr>
        <w:t xml:space="preserve">8. AI Model Routing Policy</w:t>
      </w:r>
      <w:bookmarkEnd w:id="1010"/>
    </w:p>
    <w:p>
      <w:pPr>
        <w:spacing w:after="120" w:line="276"/>
      </w:pPr>
      <w:r>
        <w:rPr>
          <w:rFonts w:ascii="Calibri" w:cs="Calibri" w:eastAsia="Calibri" w:hAnsi="Calibri"/>
          <w:b w:val="false"/>
          <w:bCs w:val="false"/>
          <w:i w:val="false"/>
          <w:iCs w:val="false"/>
          <w:sz w:val="22"/>
          <w:szCs w:val="22"/>
        </w:rPr>
        <w:t xml:space="preserve">This is the reviewed decision referenced by BRD/PRD Section 18.8, recorded here first so it governs the Model Abstraction Layer's implementation rather than the other way around. AI usage is routed by feature criticality, not a single model for everything: accuracy-sensitive generation must not be traded off against inference cost.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3550"/>
        <w:gridCol w:w="2250"/>
      </w:tblGrid>
      <w:tr>
        <w:trPr>
          <w:tblHeader/>
        </w:trPr>
        <w:tc>
          <w:tcPr>
            <w:tcW w:type="dxa" w:w="35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5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Criticality</w:t>
            </w:r>
          </w:p>
        </w:tc>
        <w:tc>
          <w:tcPr>
            <w:tcW w:type="dxa" w:w="22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Model tier</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BRD/PRD requirement drafting and generation</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 — accuracy-sensitive, becomes the requirement of record</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Design generation (data schema, process flow, microservices, UI/UX dataflow, and this document's own class of content)</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Regenerate-from-comments revisions</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 — rewrites an already-reviewed artifact</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Module-breakdown drafting that freezes scope</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Competitive-research summarization (Discovery Chat research card)</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 — informs brand/naming decisions</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Commercial (Claude Sonnet / Gemini / Astra*)</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Discovery-chat intent parsing and question sequencing</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Non-critical — conversational NLU</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Ollama (AI server, local)</w:t>
            </w:r>
          </w:p>
        </w:tc>
      </w:tr>
      <w:tr>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Custom brand-name availability check</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Non-critical — NLU / lookup</w:t>
            </w:r>
          </w:p>
        </w:tc>
        <w:tc>
          <w:tcPr>
            <w:tcW w:type="dxa" w:w="2250"/>
            <w:tcMar>
              <w:top w:type="dxa" w:w="80"/>
              <w:left w:type="dxa" w:w="100"/>
              <w:bottom w:type="dxa" w:w="80"/>
              <w:right w:type="dxa" w:w="100"/>
            </w:tcMar>
            <w:vAlign w:val="center"/>
          </w:tcPr>
          <w:p>
            <w:r>
              <w:rPr>
                <w:rFonts w:ascii="Calibri" w:cs="Calibri" w:eastAsia="Calibri" w:hAnsi="Calibri"/>
                <w:b w:val="false"/>
                <w:bCs w:val="false"/>
                <w:sz w:val="20"/>
                <w:szCs w:val="20"/>
              </w:rPr>
              <w:t xml:space="preserve">Ollama (AI server, local)</w:t>
            </w:r>
          </w:p>
        </w:tc>
      </w:tr>
    </w:tbl>
    <w:p>
      <w:pPr>
        <w:spacing w:after="120" w:line="276"/>
      </w:pPr>
      <w:r>
        <w:rPr>
          <w:rFonts w:ascii="Calibri" w:cs="Calibri" w:eastAsia="Calibri" w:hAnsi="Calibri"/>
          <w:b w:val="false"/>
          <w:bCs w:val="false"/>
          <w:i w:val="false"/>
          <w:iCs w:val="false"/>
          <w:sz w:val="22"/>
          <w:szCs w:val="22"/>
        </w:rPr>
        <w:t xml:space="preserve">* "Astra" names a commercial model endpoint identified for critical-tier routing; the specific provider is to be confirmed and this table updated before it is treated as final. Commercial-model API keys are a Security-service secret (Section 5), never a project-level .env value.</w:t>
      </w:r>
    </w:p>
    <w:p>
      <w:pPr>
        <w:pStyle w:val="Heading2"/>
        <w:spacing w:after="100" w:before="200"/>
      </w:pPr>
      <w:bookmarkStart w:name="bm_11_8_1_verified_gateway_behaviour" w:id="1011"/>
      <w:r>
        <w:rPr>
          <w:rFonts w:ascii="Calibri" w:cs="Calibri" w:eastAsia="Calibri" w:hAnsi="Calibri"/>
          <w:b/>
          <w:bCs/>
          <w:color w:val="404040"/>
          <w:sz w:val="24"/>
          <w:szCs w:val="24"/>
        </w:rPr>
        <w:t xml:space="preserve">8.1 Verified Gateway Behaviour</w:t>
      </w:r>
      <w:bookmarkEnd w:id="1011"/>
    </w:p>
    <w:p>
      <w:pPr>
        <w:spacing w:after="120" w:line="276"/>
      </w:pPr>
      <w:r>
        <w:rPr>
          <w:rFonts w:ascii="Calibri" w:cs="Calibri" w:eastAsia="Calibri" w:hAnsi="Calibri"/>
          <w:b w:val="false"/>
          <w:bCs w:val="false"/>
          <w:i w:val="false"/>
          <w:iCs w:val="false"/>
          <w:sz w:val="22"/>
          <w:szCs w:val="22"/>
        </w:rPr>
        <w:t xml:space="preserve">The AI server's existing endpoint was validated end-to-end via a POST request against its OpenAI-compatible chat-completions schema:</w:t>
      </w:r>
    </w:p>
    <w:p>
      <w:pPr>
        <w:shd w:fill="F2F2F2" w:color="auto" w:val="clear"/>
        <w:spacing w:after="40"/>
      </w:pPr>
      <w:r>
        <w:rPr>
          <w:rFonts w:ascii="Consolas" w:cs="Consolas" w:eastAsia="Consolas" w:hAnsi="Consolas"/>
          <w:sz w:val="20"/>
          <w:szCs w:val="20"/>
        </w:rPr>
        <w:t xml:space="preserve">POST http://10.100.60.121:8000/v1/chat/completions</w:t>
      </w:r>
    </w:p>
    <w:p>
      <w:pPr>
        <w:shd w:fill="F2F2F2" w:color="auto" w:val="clear"/>
        <w:spacing w:after="40"/>
      </w:pPr>
      <w:r>
        <w:rPr>
          <w:rFonts w:ascii="Consolas" w:cs="Consolas" w:eastAsia="Consolas" w:hAnsi="Consolas"/>
          <w:sz w:val="20"/>
          <w:szCs w:val="20"/>
        </w:rPr>
        <w:t xml:space="preserve">Content-Type: application/json</w:t>
      </w:r>
    </w:p>
    <w:p>
      <w:pPr>
        <w:shd w:fill="F2F2F2" w:color="auto" w:val="clear"/>
        <w:spacing w:after="40"/>
      </w:pPr>
      <w:r>
        <w:rPr>
          <w:rFonts w:ascii="Consolas" w:cs="Consolas" w:eastAsia="Consolas" w:hAnsi="Consolas"/>
          <w:sz w:val="20"/>
          <w:szCs w:val="20"/>
        </w:rPr>
        <w:t xml:space="preserve">{ "model": "gemma4:e4b", "messages": [{"role":"user","content":"&lt;prompt&gt;"}], "stream": false }</w:t>
      </w:r>
    </w:p>
    <w:p>
      <w:pPr>
        <w:spacing w:after="120" w:line="276"/>
      </w:pPr>
      <w:r>
        <w:rPr>
          <w:rFonts w:ascii="Calibri" w:cs="Calibri" w:eastAsia="Calibri" w:hAnsi="Calibri"/>
          <w:b w:val="false"/>
          <w:bCs w:val="false"/>
          <w:i w:val="false"/>
          <w:iCs w:val="false"/>
          <w:sz w:val="22"/>
          <w:szCs w:val="22"/>
        </w:rPr>
        <w:t xml:space="preserve">The response to a live test prompt referenced "search results" explicitly, indicating the endpoint is not bare Ollama (default port 11434, /api/chat) but sits behind something — Open WebUI, LiteLLM, or a custom wrapper — that already performs live web search. This is carried forward as an open item: confirm what is in front of Ollama on port 8000, and document it, since it may mean the Discovery Chat's competitive-research step needs no new search infrastructure beyond this endpoint.</w:t>
      </w:r>
    </w:p>
    <w:p>
      <w:pPr>
        <w:pStyle w:val="Heading1"/>
        <w:spacing w:after="140" w:before="260"/>
      </w:pPr>
      <w:bookmarkStart w:name="bm_12_9_open_items" w:id="1012"/>
      <w:r>
        <w:rPr>
          <w:rFonts w:ascii="Calibri" w:cs="Calibri" w:eastAsia="Calibri" w:hAnsi="Calibri"/>
          <w:b/>
          <w:bCs/>
          <w:color w:val="D34817"/>
          <w:sz w:val="30"/>
          <w:szCs w:val="30"/>
        </w:rPr>
        <w:t xml:space="preserve">9. Open Items</w:t>
      </w:r>
      <w:bookmarkEnd w:id="1012"/>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350"/>
      </w:tblGrid>
      <w:tr>
        <w:trPr>
          <w:tblHeader/>
        </w:trPr>
        <w:tc>
          <w:tcPr>
            <w:tcW w:type="dxa" w:w="46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Item</w:t>
            </w:r>
          </w:p>
        </w:tc>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Owner</w:t>
            </w:r>
          </w:p>
        </w:tc>
        <w:tc>
          <w:tcPr>
            <w:tcW w:type="dxa" w:w="23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Needed by</w:t>
            </w:r>
          </w:p>
        </w:tc>
      </w:tr>
      <w:tr>
        <w:tc>
          <w:tcPr>
            <w:tcW w:type="dxa" w:w="4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Confirm "Astra" provider and add its client credentials to the routing table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Before Section 8 is implemented in the Model Abstraction Layer</w:t>
            </w:r>
          </w:p>
        </w:tc>
      </w:tr>
      <w:tr>
        <w:tc>
          <w:tcPr>
            <w:tcW w:type="dxa" w:w="4600"/>
            <w:tcMar>
              <w:top w:type="dxa" w:w="80"/>
              <w:left w:type="dxa" w:w="100"/>
              <w:bottom w:type="dxa" w:w="80"/>
              <w:right w:type="dxa" w:w="100"/>
            </w:tcMar>
            <w:vAlign w:val="center"/>
          </w:tcPr>
          <w:p>
            <w:r>
              <w:rPr>
                <w:rFonts w:ascii="Calibri" w:cs="Calibri" w:eastAsia="Calibri" w:hAnsi="Calibri"/>
                <w:b w:val="false"/>
                <w:bCs w:val="false"/>
                <w:sz w:val="20"/>
                <w:szCs w:val="20"/>
              </w:rPr>
              <w:t xml:space="preserve">Direct-commit vs. branch+PR for document regeneration (Section 3)</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Platform team, client sign-off</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Before Change Management (BRD/PRD Section 18.4) is implemented</w:t>
            </w:r>
          </w:p>
        </w:tc>
      </w:tr>
      <w:tr>
        <w:tc>
          <w:tcPr>
            <w:tcW w:type="dxa" w:w="4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Confirm what sits in front of Ollama on the AI server's port 8000 (Section 8.1)</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 / infra owner</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Before the Discovery Chat's research step is scoped for Phase 1</w:t>
            </w:r>
          </w:p>
        </w:tc>
      </w:tr>
      <w:tr>
        <w:tc>
          <w:tcPr>
            <w:tcW w:type="dxa" w:w="4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Provision AAA and API Gateway instances (IPs, specs)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 infra</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Before platform-core services (Section 5) move from design to build</w:t>
            </w:r>
          </w:p>
        </w:tc>
      </w:tr>
      <w:tr>
        <w:tc>
          <w:tcPr>
            <w:tcW w:type="dxa" w:w="4600"/>
            <w:tcMar>
              <w:top w:type="dxa" w:w="80"/>
              <w:left w:type="dxa" w:w="100"/>
              <w:bottom w:type="dxa" w:w="80"/>
              <w:right w:type="dxa" w:w="100"/>
            </w:tcMar>
            <w:vAlign w:val="center"/>
          </w:tcPr>
          <w:p>
            <w:r>
              <w:rPr>
                <w:rFonts w:ascii="Calibri" w:cs="Calibri" w:eastAsia="Calibri" w:hAnsi="Calibri"/>
                <w:b w:val="false"/>
                <w:bCs w:val="false"/>
                <w:sz w:val="20"/>
                <w:szCs w:val="20"/>
              </w:rPr>
              <w:t xml:space="preserve">Rotate DB/Staging/AI credentials and move to Security secrets store (Section 7)</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 infra</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Before any project serves production traffic</w:t>
            </w:r>
          </w:p>
        </w:tc>
      </w:tr>
    </w:tbl>
    <w:p>
      <w:r>
        <w:br w:type="page"/>
      </w:r>
    </w:p>
    <w:p>
      <w:pPr>
        <w:pStyle w:val="Heading1"/>
        <w:spacing w:after="140" w:before="260"/>
      </w:pPr>
      <w:bookmarkStart w:name="bm_13_10_conclusion" w:id="1013"/>
      <w:r>
        <w:rPr>
          <w:rFonts w:ascii="Calibri" w:cs="Calibri" w:eastAsia="Calibri" w:hAnsi="Calibri"/>
          <w:b/>
          <w:bCs/>
          <w:color w:val="D34817"/>
          <w:sz w:val="30"/>
          <w:szCs w:val="30"/>
        </w:rPr>
        <w:t xml:space="preserve">10. Conclusion</w:t>
      </w:r>
      <w:bookmarkEnd w:id="1013"/>
    </w:p>
    <w:p>
      <w:pPr>
        <w:spacing w:after="120" w:line="276"/>
      </w:pPr>
      <w:r>
        <w:rPr>
          <w:rFonts w:ascii="Calibri" w:cs="Calibri" w:eastAsia="Calibri" w:hAnsi="Calibri"/>
          <w:b w:val="false"/>
          <w:bCs w:val="false"/>
          <w:i w:val="false"/>
          <w:iCs w:val="false"/>
          <w:sz w:val="22"/>
          <w:szCs w:val="22"/>
        </w:rPr>
        <w:t xml:space="preserve">This TDD freezes the multi-project platform standard introduced in BRD/PRD Section 18 at the level of detail needed to start implementation: the repository layout, the staging-to-GitHub relationship, platform-core's external contracts, the current infrastructure allocation, and — as explicitly required before any code is written — the AI model routing policy. Implementation proceeds against the standard repository scaffold (setup-phoneme-project.sh, already applied to this project as the Phase 1 pilot) and the open items in Section 9.</w:t>
      </w:r>
    </w:p>
    <w:sectPr>
      <w:headerReference w:type="default" r:id="rId7"/>
      <w:footerReference w:type="default" r:id="rId8"/>
      <w:pgSz w:w="12240" w:h="15840" w:orient="portrait"/>
      <w:pgMar w:top="1000" w:right="1000" w:bottom="1000" w:left="10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8"/>
        <w:szCs w:val="18"/>
      </w:rPr>
      <w:t xml:space="preserve">Confidential | Phoneme SDLC Platform | Page </w:t>
    </w:r>
    <w:r>
      <w:rPr>
        <w:rFonts w:ascii="Calibri" w:cs="Calibri" w:eastAsia="Calibri" w:hAnsi="Calibri"/>
        <w:color w:val="6E6E6E"/>
        <w:sz w:val="18"/>
        <w:szCs w:val="18"/>
      </w:rPr>
      <w:fldChar w:fldCharType="begin"/>
      <w:instrText xml:space="preserve">PAGE</w:instrText>
      <w:fldChar w:fldCharType="separate"/>
      <w:fldChar w:fldCharType="end"/>
    </w:r>
    <w:r>
      <w:rPr>
        <w:rFonts w:ascii="Calibri" w:cs="Calibri" w:eastAsia="Calibri" w:hAnsi="Calibri"/>
        <w:color w:val="6E6E6E"/>
        <w:sz w:val="18"/>
        <w:szCs w:val="18"/>
      </w:rPr>
      <w:t xml:space="preserve"> of </w:t>
    </w:r>
    <w:r>
      <w:rPr>
        <w:rFonts w:ascii="Calibri" w:cs="Calibri" w:eastAsia="Calibri" w:hAnsi="Calibri"/>
        <w:color w:val="6E6E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000"/>
      <w:gridCol w:w="7350"/>
    </w:tblGrid>
    <w:tr>
      <w:tc>
        <w:tcPr>
          <w:tcW w:type="dxa" w:w="2000"/>
          <w:vAlign w:val="center"/>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7350"/>
          <w:vAlign w:val="center"/>
        </w:tcPr>
        <w:p>
          <w:pPr>
            <w:jc w:val="right"/>
          </w:pPr>
          <w:r>
            <w:rPr>
              <w:rFonts w:ascii="Calibri" w:cs="Calibri" w:eastAsia="Calibri" w:hAnsi="Calibri"/>
              <w:color w:val="6E6E6E"/>
              <w:sz w:val="18"/>
              <w:szCs w:val="18"/>
            </w:rPr>
            <w:t xml:space="preserve">TECHNICAL DESIGN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2026-09-25T07:24:22.253Z</dcterms:created>
  <dcterms:modified xsi:type="dcterms:W3CDTF">2026-09-25T07:24:22.264Z</dcterms:modified>
</cp:coreProperties>
</file>

<file path=docProps/custom.xml><?xml version="1.0" encoding="utf-8"?>
<Properties xmlns="http://schemas.openxmlformats.org/officeDocument/2006/custom-properties" xmlns:vt="http://schemas.openxmlformats.org/officeDocument/2006/docPropsVTypes"/>
</file>