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
        <w:jc w:val="center"/>
      </w:pPr>
      <w:r>
        <w:rPr>
          <w:rFonts w:ascii="Times New Roman" w:cs="Times New Roman" w:eastAsia="Times New Roman" w:hAnsi="Times New Roman"/>
          <w:b/>
          <w:bCs/>
          <w:i w:val="false"/>
          <w:iCs w:val="false"/>
          <w:sz w:val="48"/>
          <w:szCs w:val="48"/>
        </w:rPr>
        <w:t xml:space="preserve">BOOKSWAP</w:t>
      </w:r>
    </w:p>
    <w:p>
      <w:pPr>
        <w:spacing w:after="240"/>
        <w:jc w:val="center"/>
      </w:pPr>
      <w:r>
        <w:rPr>
          <w:rFonts w:ascii="Times New Roman" w:cs="Times New Roman" w:eastAsia="Times New Roman" w:hAnsi="Times New Roman"/>
          <w:b w:val="false"/>
          <w:bCs w:val="false"/>
          <w:i w:val="false"/>
          <w:iCs w:val="false"/>
          <w:sz w:val="28"/>
          <w:szCs w:val="28"/>
        </w:rPr>
        <w:t xml:space="preserve">A Centralized Peer-to-Peer Book Exchange Platform for Bookworms</w:t>
      </w:r>
    </w:p>
    <w:p>
      <w:pPr>
        <w:spacing w:after="720"/>
        <w:jc w:val="center"/>
      </w:pPr>
      <w:r>
        <w:rPr>
          <w:rFonts w:ascii="Times New Roman" w:cs="Times New Roman" w:eastAsia="Times New Roman" w:hAnsi="Times New Roman"/>
          <w:b w:val="false"/>
          <w:bCs w:val="false"/>
          <w:i/>
          <w:iCs/>
          <w:sz w:val="26"/>
          <w:szCs w:val="26"/>
        </w:rPr>
        <w:t xml:space="preserve">AI Usage Log</w:t>
      </w:r>
    </w:p>
    <w:p>
      <w:pPr>
        <w:spacing w:after="120"/>
        <w:jc w:val="center"/>
      </w:pPr>
      <w:r>
        <w:rPr>
          <w:rFonts w:ascii="Times New Roman" w:cs="Times New Roman" w:eastAsia="Times New Roman" w:hAnsi="Times New Roman"/>
          <w:b w:val="false"/>
          <w:bCs w:val="false"/>
          <w:i w:val="false"/>
          <w:iCs w:val="false"/>
          <w:sz w:val="24"/>
          <w:szCs w:val="24"/>
        </w:rPr>
        <w:t xml:space="preserve">Submitted in partial fulfillment of the requirements for</w:t>
      </w:r>
    </w:p>
    <w:p>
      <w:pPr>
        <w:spacing w:after="720"/>
        <w:jc w:val="center"/>
      </w:pPr>
      <w:r>
        <w:rPr>
          <w:rFonts w:ascii="Times New Roman" w:cs="Times New Roman" w:eastAsia="Times New Roman" w:hAnsi="Times New Roman"/>
          <w:b/>
          <w:bCs/>
          <w:i w:val="false"/>
          <w:iCs w:val="false"/>
          <w:sz w:val="24"/>
          <w:szCs w:val="24"/>
        </w:rPr>
        <w:t xml:space="preserve">ITS122P</w:t>
      </w:r>
    </w:p>
    <w:p>
      <w:pPr>
        <w:spacing w:after="120"/>
        <w:jc w:val="center"/>
      </w:pPr>
      <w:r>
        <w:rPr>
          <w:rFonts w:ascii="Times New Roman" w:cs="Times New Roman" w:eastAsia="Times New Roman" w:hAnsi="Times New Roman"/>
          <w:b/>
          <w:bCs/>
          <w:i w:val="false"/>
          <w:iCs w:val="false"/>
          <w:sz w:val="24"/>
          <w:szCs w:val="24"/>
        </w:rPr>
        <w:t xml:space="preserve">Aldea, Adrian Ivan</w:t>
      </w:r>
    </w:p>
    <w:p>
      <w:pPr>
        <w:spacing w:after="120"/>
        <w:jc w:val="center"/>
      </w:pPr>
      <w:r>
        <w:rPr>
          <w:rFonts w:ascii="Times New Roman" w:cs="Times New Roman" w:eastAsia="Times New Roman" w:hAnsi="Times New Roman"/>
          <w:b/>
          <w:bCs/>
          <w:i w:val="false"/>
          <w:iCs w:val="false"/>
          <w:sz w:val="24"/>
          <w:szCs w:val="24"/>
        </w:rPr>
        <w:t xml:space="preserve">De Leon, Irish Gail</w:t>
      </w:r>
    </w:p>
    <w:p>
      <w:pPr>
        <w:spacing w:after="120"/>
        <w:jc w:val="center"/>
      </w:pPr>
      <w:r>
        <w:rPr>
          <w:rFonts w:ascii="Times New Roman" w:cs="Times New Roman" w:eastAsia="Times New Roman" w:hAnsi="Times New Roman"/>
          <w:b/>
          <w:bCs/>
          <w:i w:val="false"/>
          <w:iCs w:val="false"/>
          <w:sz w:val="24"/>
          <w:szCs w:val="24"/>
        </w:rPr>
        <w:t xml:space="preserve">Dorosan, Jade Danielle</w:t>
      </w:r>
    </w:p>
    <w:p>
      <w:pPr>
        <w:spacing w:after="120"/>
        <w:jc w:val="center"/>
      </w:pPr>
      <w:r>
        <w:rPr>
          <w:rFonts w:ascii="Times New Roman" w:cs="Times New Roman" w:eastAsia="Times New Roman" w:hAnsi="Times New Roman"/>
          <w:b/>
          <w:bCs/>
          <w:i w:val="false"/>
          <w:iCs w:val="false"/>
          <w:sz w:val="24"/>
          <w:szCs w:val="24"/>
        </w:rPr>
        <w:t xml:space="preserve">Jerusalem, Myrielle Alexcis</w:t>
      </w:r>
    </w:p>
    <w:p>
      <w:pPr>
        <w:spacing w:after="720"/>
        <w:jc w:val="center"/>
      </w:pPr>
      <w:r>
        <w:rPr>
          <w:rFonts w:ascii="Times New Roman" w:cs="Times New Roman" w:eastAsia="Times New Roman" w:hAnsi="Times New Roman"/>
          <w:b/>
          <w:bCs/>
          <w:i w:val="false"/>
          <w:iCs w:val="false"/>
          <w:sz w:val="24"/>
          <w:szCs w:val="24"/>
        </w:rPr>
        <w:t xml:space="preserve">Sabayo, Arnulfo III</w:t>
      </w:r>
    </w:p>
    <w:p>
      <w:pPr>
        <w:spacing w:after="120"/>
        <w:jc w:val="center"/>
      </w:pPr>
      <w:r>
        <w:rPr>
          <w:rFonts w:ascii="Times New Roman" w:cs="Times New Roman" w:eastAsia="Times New Roman" w:hAnsi="Times New Roman"/>
          <w:b w:val="false"/>
          <w:bCs w:val="false"/>
          <w:i w:val="false"/>
          <w:iCs w:val="false"/>
          <w:sz w:val="24"/>
          <w:szCs w:val="24"/>
        </w:rPr>
        <w:t xml:space="preserve">Group 3  |  Section AM6</w:t>
      </w:r>
    </w:p>
    <w:p>
      <w:pPr>
        <w:spacing w:after="120"/>
        <w:jc w:val="center"/>
      </w:pPr>
      <w:r>
        <w:rPr>
          <w:rFonts w:ascii="Times New Roman" w:cs="Times New Roman" w:eastAsia="Times New Roman" w:hAnsi="Times New Roman"/>
          <w:b w:val="false"/>
          <w:bCs w:val="false"/>
          <w:i w:val="false"/>
          <w:iCs w:val="false"/>
          <w:sz w:val="24"/>
          <w:szCs w:val="24"/>
        </w:rPr>
        <w:t xml:space="preserve">September 2026</w:t>
      </w:r>
    </w:p>
    <w:p>
      <w:pPr>
        <w:sectPr>
          <w:pgSz w:w="12240" w:h="15840" w:orient="portrait"/>
          <w:pgMar w:top="1440" w:right="1440" w:bottom="1440" w:left="1440" w:header="708" w:footer="708" w:gutter="0"/>
          <w:pgNumType/>
          <w:docGrid w:linePitch="360"/>
        </w:sectPr>
      </w:pPr>
    </w:p>
    <w:p>
      <w:pPr>
        <w:spacing w:after="160" w:before="120"/>
      </w:pPr>
      <w:r>
        <w:rPr>
          <w:rFonts w:ascii="Times New Roman" w:cs="Times New Roman" w:eastAsia="Times New Roman" w:hAnsi="Times New Roman"/>
          <w:b/>
          <w:bCs/>
          <w:i w:val="false"/>
          <w:iCs w:val="false"/>
          <w:sz w:val="28"/>
          <w:szCs w:val="28"/>
        </w:rPr>
        <w:t xml:space="preserve">AI Usage Log</w:t>
      </w:r>
    </w:p>
    <w:p>
      <w:pPr>
        <w:spacing w:after="160" w:line="276"/>
        <w:jc w:val="both"/>
      </w:pPr>
      <w:r>
        <w:rPr>
          <w:rFonts w:ascii="Times New Roman" w:cs="Times New Roman" w:eastAsia="Times New Roman" w:hAnsi="Times New Roman"/>
          <w:b w:val="false"/>
          <w:bCs w:val="false"/>
          <w:i w:val="false"/>
          <w:iCs w:val="false"/>
          <w:sz w:val="24"/>
          <w:szCs w:val="24"/>
        </w:rPr>
        <w:t xml:space="preserve">This log records how AI assistance was used during Phase 2 (Database and Backend), as required by Section 10 of the Final Project Guide. It covers the fixes and minor corrections the AI tool identified, not every file it generated. For each entry, the group reviewed the finding, checked the result, and decided whether to accept the change before it was committed.</w:t>
      </w:r>
    </w:p>
    <w:p>
      <w:pPr>
        <w:keepNext/>
        <w:spacing w:after="0" w:before="120"/>
      </w:pPr>
      <w:r>
        <w:rPr>
          <w:rFonts w:ascii="Times New Roman" w:cs="Times New Roman" w:eastAsia="Times New Roman" w:hAnsi="Times New Roman"/>
          <w:b/>
          <w:bCs/>
          <w:i w:val="false"/>
          <w:iCs w:val="false"/>
          <w:sz w:val="24"/>
          <w:szCs w:val="24"/>
        </w:rPr>
        <w:t xml:space="preserve">Table 1</w:t>
      </w:r>
    </w:p>
    <w:p>
      <w:pPr>
        <w:keepNext/>
        <w:spacing w:after="120"/>
      </w:pPr>
      <w:r>
        <w:rPr>
          <w:rFonts w:ascii="Times New Roman" w:cs="Times New Roman" w:eastAsia="Times New Roman" w:hAnsi="Times New Roman"/>
          <w:b w:val="false"/>
          <w:bCs w:val="false"/>
          <w:i/>
          <w:iCs/>
          <w:sz w:val="24"/>
          <w:szCs w:val="24"/>
        </w:rPr>
        <w:t xml:space="preserve">AI-Assisted Fixes and Corrections in Phase 2</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0"/>
        <w:gridCol w:w="1050"/>
        <w:gridCol w:w="1150"/>
        <w:gridCol w:w="2250"/>
        <w:gridCol w:w="3200"/>
        <w:gridCol w:w="2400"/>
        <w:gridCol w:w="2460"/>
      </w:tblGrid>
      <w:tr>
        <w:trPr>
          <w:tblHeader/>
        </w:trPr>
        <w:tc>
          <w:tcPr>
            <w:tcW w:type="dxa" w:w="450"/>
            <w:tcBorders>
              <w:top w:val="single" w:color="000000" w:sz="6"/>
              <w:left w:val="none" w:color="FFFFFF" w:sz="0"/>
              <w:bottom w:val="single" w:color="000000" w:sz="6"/>
              <w:right w:val="none" w:color="FFFFFF" w:sz="0"/>
            </w:tcBorders>
            <w:shd w:fill="F2F2F2" w:color="auto" w:val="clear"/>
            <w:tcMar>
              <w:top w:type="dxa" w:w="70"/>
              <w:left w:type="dxa" w:w="80"/>
              <w:bottom w:type="dxa" w:w="70"/>
              <w:right w:type="dxa" w:w="80"/>
            </w:tcMar>
            <w:vAlign w:val="top"/>
          </w:tcPr>
          <w:p>
            <w:pPr>
              <w:spacing w:after="0" w:line="240"/>
            </w:pPr>
            <w:r>
              <w:rPr>
                <w:rFonts w:ascii="Times New Roman" w:cs="Times New Roman" w:eastAsia="Times New Roman" w:hAnsi="Times New Roman"/>
                <w:b/>
                <w:bCs/>
                <w:i w:val="false"/>
                <w:iCs w:val="false"/>
                <w:sz w:val="20"/>
                <w:szCs w:val="20"/>
              </w:rPr>
              <w:t xml:space="preserve">No.</w:t>
            </w:r>
          </w:p>
        </w:tc>
        <w:tc>
          <w:tcPr>
            <w:tcW w:type="dxa" w:w="1050"/>
            <w:tcBorders>
              <w:top w:val="single" w:color="000000" w:sz="6"/>
              <w:left w:val="none" w:color="FFFFFF" w:sz="0"/>
              <w:bottom w:val="single" w:color="000000" w:sz="6"/>
              <w:right w:val="none" w:color="FFFFFF" w:sz="0"/>
            </w:tcBorders>
            <w:shd w:fill="F2F2F2" w:color="auto" w:val="clear"/>
            <w:tcMar>
              <w:top w:type="dxa" w:w="70"/>
              <w:left w:type="dxa" w:w="80"/>
              <w:bottom w:type="dxa" w:w="70"/>
              <w:right w:type="dxa" w:w="80"/>
            </w:tcMar>
            <w:vAlign w:val="top"/>
          </w:tcPr>
          <w:p>
            <w:pPr>
              <w:spacing w:after="0" w:line="240"/>
            </w:pPr>
            <w:r>
              <w:rPr>
                <w:rFonts w:ascii="Times New Roman" w:cs="Times New Roman" w:eastAsia="Times New Roman" w:hAnsi="Times New Roman"/>
                <w:b/>
                <w:bCs/>
                <w:i w:val="false"/>
                <w:iCs w:val="false"/>
                <w:sz w:val="20"/>
                <w:szCs w:val="20"/>
              </w:rPr>
              <w:t xml:space="preserve">Date</w:t>
            </w:r>
          </w:p>
        </w:tc>
        <w:tc>
          <w:tcPr>
            <w:tcW w:type="dxa" w:w="1150"/>
            <w:tcBorders>
              <w:top w:val="single" w:color="000000" w:sz="6"/>
              <w:left w:val="none" w:color="FFFFFF" w:sz="0"/>
              <w:bottom w:val="single" w:color="000000" w:sz="6"/>
              <w:right w:val="none" w:color="FFFFFF" w:sz="0"/>
            </w:tcBorders>
            <w:shd w:fill="F2F2F2" w:color="auto" w:val="clear"/>
            <w:tcMar>
              <w:top w:type="dxa" w:w="70"/>
              <w:left w:type="dxa" w:w="80"/>
              <w:bottom w:type="dxa" w:w="70"/>
              <w:right w:type="dxa" w:w="80"/>
            </w:tcMar>
            <w:vAlign w:val="top"/>
          </w:tcPr>
          <w:p>
            <w:pPr>
              <w:spacing w:after="0" w:line="240"/>
            </w:pPr>
            <w:r>
              <w:rPr>
                <w:rFonts w:ascii="Times New Roman" w:cs="Times New Roman" w:eastAsia="Times New Roman" w:hAnsi="Times New Roman"/>
                <w:b/>
                <w:bCs/>
                <w:i w:val="false"/>
                <w:iCs w:val="false"/>
                <w:sz w:val="20"/>
                <w:szCs w:val="20"/>
              </w:rPr>
              <w:t xml:space="preserve">AI Tool</w:t>
            </w:r>
          </w:p>
        </w:tc>
        <w:tc>
          <w:tcPr>
            <w:tcW w:type="dxa" w:w="2250"/>
            <w:tcBorders>
              <w:top w:val="single" w:color="000000" w:sz="6"/>
              <w:left w:val="none" w:color="FFFFFF" w:sz="0"/>
              <w:bottom w:val="single" w:color="000000" w:sz="6"/>
              <w:right w:val="none" w:color="FFFFFF" w:sz="0"/>
            </w:tcBorders>
            <w:shd w:fill="F2F2F2" w:color="auto" w:val="clear"/>
            <w:tcMar>
              <w:top w:type="dxa" w:w="70"/>
              <w:left w:type="dxa" w:w="80"/>
              <w:bottom w:type="dxa" w:w="70"/>
              <w:right w:type="dxa" w:w="80"/>
            </w:tcMar>
            <w:vAlign w:val="top"/>
          </w:tcPr>
          <w:p>
            <w:pPr>
              <w:spacing w:after="0" w:line="240"/>
            </w:pPr>
            <w:r>
              <w:rPr>
                <w:rFonts w:ascii="Times New Roman" w:cs="Times New Roman" w:eastAsia="Times New Roman" w:hAnsi="Times New Roman"/>
                <w:b/>
                <w:bCs/>
                <w:i w:val="false"/>
                <w:iCs w:val="false"/>
                <w:sz w:val="20"/>
                <w:szCs w:val="20"/>
              </w:rPr>
              <w:t xml:space="preserve">Prompt</w:t>
            </w:r>
          </w:p>
        </w:tc>
        <w:tc>
          <w:tcPr>
            <w:tcW w:type="dxa" w:w="3200"/>
            <w:tcBorders>
              <w:top w:val="single" w:color="000000" w:sz="6"/>
              <w:left w:val="none" w:color="FFFFFF" w:sz="0"/>
              <w:bottom w:val="single" w:color="000000" w:sz="6"/>
              <w:right w:val="none" w:color="FFFFFF" w:sz="0"/>
            </w:tcBorders>
            <w:shd w:fill="F2F2F2" w:color="auto" w:val="clear"/>
            <w:tcMar>
              <w:top w:type="dxa" w:w="70"/>
              <w:left w:type="dxa" w:w="80"/>
              <w:bottom w:type="dxa" w:w="70"/>
              <w:right w:type="dxa" w:w="80"/>
            </w:tcMar>
            <w:vAlign w:val="top"/>
          </w:tcPr>
          <w:p>
            <w:pPr>
              <w:spacing w:after="0" w:line="240"/>
            </w:pPr>
            <w:r>
              <w:rPr>
                <w:rFonts w:ascii="Times New Roman" w:cs="Times New Roman" w:eastAsia="Times New Roman" w:hAnsi="Times New Roman"/>
                <w:b/>
                <w:bCs/>
                <w:i w:val="false"/>
                <w:iCs w:val="false"/>
                <w:sz w:val="20"/>
                <w:szCs w:val="20"/>
              </w:rPr>
              <w:t xml:space="preserve">AI Output</w:t>
            </w:r>
          </w:p>
        </w:tc>
        <w:tc>
          <w:tcPr>
            <w:tcW w:type="dxa" w:w="2400"/>
            <w:tcBorders>
              <w:top w:val="single" w:color="000000" w:sz="6"/>
              <w:left w:val="none" w:color="FFFFFF" w:sz="0"/>
              <w:bottom w:val="single" w:color="000000" w:sz="6"/>
              <w:right w:val="none" w:color="FFFFFF" w:sz="0"/>
            </w:tcBorders>
            <w:shd w:fill="F2F2F2" w:color="auto" w:val="clear"/>
            <w:tcMar>
              <w:top w:type="dxa" w:w="70"/>
              <w:left w:type="dxa" w:w="80"/>
              <w:bottom w:type="dxa" w:w="70"/>
              <w:right w:type="dxa" w:w="80"/>
            </w:tcMar>
            <w:vAlign w:val="top"/>
          </w:tcPr>
          <w:p>
            <w:pPr>
              <w:spacing w:after="0" w:line="240"/>
            </w:pPr>
            <w:r>
              <w:rPr>
                <w:rFonts w:ascii="Times New Roman" w:cs="Times New Roman" w:eastAsia="Times New Roman" w:hAnsi="Times New Roman"/>
                <w:b/>
                <w:bCs/>
                <w:i w:val="false"/>
                <w:iCs w:val="false"/>
                <w:sz w:val="20"/>
                <w:szCs w:val="20"/>
              </w:rPr>
              <w:t xml:space="preserve">What Student Changed</w:t>
            </w:r>
          </w:p>
        </w:tc>
        <w:tc>
          <w:tcPr>
            <w:tcW w:type="dxa" w:w="2460"/>
            <w:tcBorders>
              <w:top w:val="single" w:color="000000" w:sz="6"/>
              <w:left w:val="none" w:color="FFFFFF" w:sz="0"/>
              <w:bottom w:val="single" w:color="000000" w:sz="6"/>
              <w:right w:val="none" w:color="FFFFFF" w:sz="0"/>
            </w:tcBorders>
            <w:shd w:fill="F2F2F2" w:color="auto" w:val="clear"/>
            <w:tcMar>
              <w:top w:type="dxa" w:w="70"/>
              <w:left w:type="dxa" w:w="80"/>
              <w:bottom w:type="dxa" w:w="70"/>
              <w:right w:type="dxa" w:w="80"/>
            </w:tcMar>
            <w:vAlign w:val="top"/>
          </w:tcPr>
          <w:p>
            <w:pPr>
              <w:spacing w:after="0" w:line="240"/>
            </w:pPr>
            <w:r>
              <w:rPr>
                <w:rFonts w:ascii="Times New Roman" w:cs="Times New Roman" w:eastAsia="Times New Roman" w:hAnsi="Times New Roman"/>
                <w:b/>
                <w:bCs/>
                <w:i w:val="false"/>
                <w:iCs w:val="false"/>
                <w:sz w:val="20"/>
                <w:szCs w:val="20"/>
              </w:rPr>
              <w:t xml:space="preserve">Reason</w:t>
            </w:r>
          </w:p>
        </w:tc>
      </w:tr>
      <w:tr>
        <w:trPr>
          <w:cantSplit/>
        </w:trPr>
        <w:tc>
          <w:tcPr>
            <w:tcW w:type="dxa" w:w="4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1</w:t>
            </w:r>
          </w:p>
        </w:tc>
        <w:tc>
          <w:tcPr>
            <w:tcW w:type="dxa" w:w="10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2026-09-11</w:t>
            </w:r>
          </w:p>
        </w:tc>
        <w:tc>
          <w:tcPr>
            <w:tcW w:type="dxa" w:w="11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Claude Code (Claude Opus 5)</w:t>
            </w:r>
          </w:p>
        </w:tc>
        <w:tc>
          <w:tcPr>
            <w:tcW w:type="dxa" w:w="22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"Help me do the Phase 2 – Database + Backend."</w:t>
            </w:r>
          </w:p>
        </w:tc>
        <w:tc>
          <w:tcPr>
            <w:tcW w:type="dxa" w:w="32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Tested the seeded logins against the live database and found every seed password hash was a made-up bcrypt string that matched no password. Generated real hashes for the documented test password.</w:t>
            </w:r>
          </w:p>
        </w:tc>
        <w:tc>
          <w:tcPr>
            <w:tcW w:type="dxa" w:w="24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Checked that all seed accounts could now log in, then approved the corrected seed.sql for commit.</w:t>
            </w:r>
          </w:p>
        </w:tc>
        <w:tc>
          <w:tcPr>
            <w:tcW w:type="dxa" w:w="246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No seeded account could log in, so the Authentication requirement could not be demonstrated.</w:t>
            </w:r>
          </w:p>
        </w:tc>
      </w:tr>
      <w:tr>
        <w:trPr>
          <w:cantSplit/>
        </w:trPr>
        <w:tc>
          <w:tcPr>
            <w:tcW w:type="dxa" w:w="4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2</w:t>
            </w:r>
          </w:p>
        </w:tc>
        <w:tc>
          <w:tcPr>
            <w:tcW w:type="dxa" w:w="10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2026-09-11</w:t>
            </w:r>
          </w:p>
        </w:tc>
        <w:tc>
          <w:tcPr>
            <w:tcW w:type="dxa" w:w="11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Claude Code (Claude Opus 5)</w:t>
            </w:r>
          </w:p>
        </w:tc>
        <w:tc>
          <w:tcPr>
            <w:tcW w:type="dxa" w:w="22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"Help me do the Phase 2 – Database + Backend."</w:t>
            </w:r>
          </w:p>
        </w:tc>
        <w:tc>
          <w:tcPr>
            <w:tcW w:type="dxa" w:w="32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Found that listing creation called handlePhotoUpload(), a function that did not exist, while the working saveBookPhoto() helper was never used. Switched the controller to the existing helper.</w:t>
            </w:r>
          </w:p>
        </w:tc>
        <w:tc>
          <w:tcPr>
            <w:tcW w:type="dxa" w:w="24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Confirmed a listing with a photo now saves, and approved the change.</w:t>
            </w:r>
          </w:p>
        </w:tc>
        <w:tc>
          <w:tcPr>
            <w:tcW w:type="dxa" w:w="246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Submitting any listing with a photo crashed with a fatal error.</w:t>
            </w:r>
          </w:p>
        </w:tc>
      </w:tr>
      <w:tr>
        <w:trPr>
          <w:cantSplit/>
        </w:trPr>
        <w:tc>
          <w:tcPr>
            <w:tcW w:type="dxa" w:w="4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3</w:t>
            </w:r>
          </w:p>
        </w:tc>
        <w:tc>
          <w:tcPr>
            <w:tcW w:type="dxa" w:w="10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2026-09-11</w:t>
            </w:r>
          </w:p>
        </w:tc>
        <w:tc>
          <w:tcPr>
            <w:tcW w:type="dxa" w:w="11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Claude Code (Claude Opus 5)</w:t>
            </w:r>
          </w:p>
        </w:tc>
        <w:tc>
          <w:tcPr>
            <w:tcW w:type="dxa" w:w="22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"Help me do the Phase 2 – Database + Backend."</w:t>
            </w:r>
          </w:p>
        </w:tc>
        <w:tc>
          <w:tcPr>
            <w:tcW w:type="dxa" w:w="32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Found two seeded listings tied to a scheduled exchange marked available instead of locked, a wrong test password in PROGRESS.md, and uploaded test photos that could be committed. Corrected the seed and the document, and added uploads/ to .gitignore.</w:t>
            </w:r>
          </w:p>
        </w:tc>
        <w:tc>
          <w:tcPr>
            <w:tcW w:type="dxa" w:w="24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Reviewed the corrections and approved them.</w:t>
            </w:r>
          </w:p>
        </w:tc>
        <w:tc>
          <w:tcPr>
            <w:tcW w:type="dxa" w:w="246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The seed contradicted the rule that exchanged books are locked, and the wrong password would have misled groupmates.</w:t>
            </w:r>
          </w:p>
        </w:tc>
      </w:tr>
      <w:tr>
        <w:trPr>
          <w:cantSplit/>
        </w:trPr>
        <w:tc>
          <w:tcPr>
            <w:tcW w:type="dxa" w:w="4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4</w:t>
            </w:r>
          </w:p>
        </w:tc>
        <w:tc>
          <w:tcPr>
            <w:tcW w:type="dxa" w:w="10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2026-09-13</w:t>
            </w:r>
          </w:p>
        </w:tc>
        <w:tc>
          <w:tcPr>
            <w:tcW w:type="dxa" w:w="11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Claude Code (Claude Opus 5)</w:t>
            </w:r>
          </w:p>
        </w:tc>
        <w:tc>
          <w:tcPr>
            <w:tcW w:type="dxa" w:w="22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"Finish Phase 2 database + backend – make a plan first before implementing." / "Use as reference, especially Phase 1."</w:t>
            </w:r>
          </w:p>
        </w:tc>
        <w:tc>
          <w:tcPr>
            <w:tcW w:type="dxa" w:w="32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Compared the backend with the Phase 1 document and found requests had to be endorsed by staff before the owner could accept, which Phase 1 §3.2.2 and §4.4 do not allow. Proposed letting the owner decide.</w:t>
            </w:r>
          </w:p>
        </w:tc>
        <w:tc>
          <w:tcPr>
            <w:tcW w:type="dxa" w:w="24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Chose to follow Phase 1, approved the plan, and picked JWT with a server-side sessions table and keeping the existing column names.</w:t>
            </w:r>
          </w:p>
        </w:tc>
        <w:tc>
          <w:tcPr>
            <w:tcW w:type="dxa" w:w="246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The backend had to follow the approved Phase 1 rules.</w:t>
            </w:r>
          </w:p>
        </w:tc>
      </w:tr>
      <w:tr>
        <w:trPr>
          <w:cantSplit/>
        </w:trPr>
        <w:tc>
          <w:tcPr>
            <w:tcW w:type="dxa" w:w="4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5</w:t>
            </w:r>
          </w:p>
        </w:tc>
        <w:tc>
          <w:tcPr>
            <w:tcW w:type="dxa" w:w="10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2026-09-15</w:t>
            </w:r>
          </w:p>
        </w:tc>
        <w:tc>
          <w:tcPr>
            <w:tcW w:type="dxa" w:w="11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Claude Code (Claude Opus 5)</w:t>
            </w:r>
          </w:p>
        </w:tc>
        <w:tc>
          <w:tcPr>
            <w:tcW w:type="dxa" w:w="22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"Finish Phase 2 database + backend."</w:t>
            </w:r>
          </w:p>
        </w:tc>
        <w:tc>
          <w:tcPr>
            <w:tcW w:type="dxa" w:w="32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End-to-end tests showed an accepted request whose exchange was later cancelled still counted as active, so the member could never request that book again. Changed the check to look at the exchange’s current status.</w:t>
            </w:r>
          </w:p>
        </w:tc>
        <w:tc>
          <w:tcPr>
            <w:tcW w:type="dxa" w:w="24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Reviewed the failing test and the fix, and approved the commit.</w:t>
            </w:r>
          </w:p>
        </w:tc>
        <w:tc>
          <w:tcPr>
            <w:tcW w:type="dxa" w:w="246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Members were permanently blocked from re-requesting a book after a no-show.</w:t>
            </w:r>
          </w:p>
        </w:tc>
      </w:tr>
      <w:tr>
        <w:trPr>
          <w:cantSplit/>
        </w:trPr>
        <w:tc>
          <w:tcPr>
            <w:tcW w:type="dxa" w:w="4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6</w:t>
            </w:r>
          </w:p>
        </w:tc>
        <w:tc>
          <w:tcPr>
            <w:tcW w:type="dxa" w:w="10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2026-09-15</w:t>
            </w:r>
          </w:p>
        </w:tc>
        <w:tc>
          <w:tcPr>
            <w:tcW w:type="dxa" w:w="11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Claude Code (Claude Opus 5)</w:t>
            </w:r>
          </w:p>
        </w:tc>
        <w:tc>
          <w:tcPr>
            <w:tcW w:type="dxa" w:w="22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"Finish Phase 2 database + backend."</w:t>
            </w:r>
          </w:p>
        </w:tc>
        <w:tc>
          <w:tcPr>
            <w:tcW w:type="dxa" w:w="32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Found that adding a handover slot returned HTTP 500 because an en dash written right after $startTime was read as part of the variable name. Wrapped the variables in braces.</w:t>
            </w:r>
          </w:p>
        </w:tc>
        <w:tc>
          <w:tcPr>
            <w:tcW w:type="dxa" w:w="24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Approved the fix.</w:t>
            </w:r>
          </w:p>
        </w:tc>
        <w:tc>
          <w:tcPr>
            <w:tcW w:type="dxa" w:w="246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Administrators could not add slots to the handover pool.</w:t>
            </w:r>
          </w:p>
        </w:tc>
      </w:tr>
      <w:tr>
        <w:trPr>
          <w:cantSplit/>
        </w:trPr>
        <w:tc>
          <w:tcPr>
            <w:tcW w:type="dxa" w:w="4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7</w:t>
            </w:r>
          </w:p>
        </w:tc>
        <w:tc>
          <w:tcPr>
            <w:tcW w:type="dxa" w:w="10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2026-09-15</w:t>
            </w:r>
          </w:p>
        </w:tc>
        <w:tc>
          <w:tcPr>
            <w:tcW w:type="dxa" w:w="11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Claude Code (Claude Opus 5)</w:t>
            </w:r>
          </w:p>
        </w:tc>
        <w:tc>
          <w:tcPr>
            <w:tcW w:type="dxa" w:w="22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"Review if Phase 2 is done and if there are any suggestions … do a deepcheck."</w:t>
            </w:r>
          </w:p>
        </w:tc>
        <w:tc>
          <w:tcPr>
            <w:tcW w:type="dxa" w:w="32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Ran the tests through real XAMPP Apache and found Apache dropped the Authorization header, so every logged-in request was rejected with 401. Added a rewrite rule to .htaccess.</w:t>
            </w:r>
          </w:p>
        </w:tc>
        <w:tc>
          <w:tcPr>
            <w:tcW w:type="dxa" w:w="24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Reviewed the before-and-after probe results and approved the commit.</w:t>
            </w:r>
          </w:p>
        </w:tc>
        <w:tc>
          <w:tcPr>
            <w:tcW w:type="dxa" w:w="246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The deployed backend would have rejected every signed-in request.</w:t>
            </w:r>
          </w:p>
        </w:tc>
      </w:tr>
      <w:tr>
        <w:trPr>
          <w:cantSplit/>
        </w:trPr>
        <w:tc>
          <w:tcPr>
            <w:tcW w:type="dxa" w:w="4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8</w:t>
            </w:r>
          </w:p>
        </w:tc>
        <w:tc>
          <w:tcPr>
            <w:tcW w:type="dxa" w:w="10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2026-09-15</w:t>
            </w:r>
          </w:p>
        </w:tc>
        <w:tc>
          <w:tcPr>
            <w:tcW w:type="dxa" w:w="11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Claude Code (Claude Opus 5)</w:t>
            </w:r>
          </w:p>
        </w:tc>
        <w:tc>
          <w:tcPr>
            <w:tcW w:type="dxa" w:w="225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"Review if Phase 2 is done and if there are any suggestions … do a deepcheck."</w:t>
            </w:r>
          </w:p>
        </w:tc>
        <w:tc>
          <w:tcPr>
            <w:tcW w:type="dxa" w:w="32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Found PHP (Europe/Berlin) and the database (Asia/Singapore) were six hours apart. Set one APP_TIMEZONE for both.</w:t>
            </w:r>
          </w:p>
        </w:tc>
        <w:tc>
          <w:tcPr>
            <w:tcW w:type="dxa" w:w="240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Approved the commit.</w:t>
            </w:r>
          </w:p>
        </w:tc>
        <w:tc>
          <w:tcPr>
            <w:tcW w:type="dxa" w:w="2460"/>
            <w:tcBorders>
              <w:top w:val="none" w:color="FFFFFF" w:sz="0"/>
              <w:left w:val="none" w:color="FFFFFF" w:sz="0"/>
              <w:bottom w:val="single" w:color="000000" w:sz="6"/>
              <w:right w:val="none" w:color="FFFFFF" w:sz="0"/>
            </w:tcBorders>
            <w:tcMar>
              <w:top w:type="dxa" w:w="70"/>
              <w:left w:type="dxa" w:w="80"/>
              <w:bottom w:type="dxa" w:w="70"/>
              <w:right w:type="dxa" w:w="80"/>
            </w:tcMar>
            <w:vAlign w:val="top"/>
          </w:tcPr>
          <w:p>
            <w:pPr>
              <w:spacing w:after="0" w:line="240"/>
            </w:pPr>
            <w:r>
              <w:rPr>
                <w:rFonts w:ascii="Times New Roman" w:cs="Times New Roman" w:eastAsia="Times New Roman" w:hAnsi="Times New Roman"/>
                <w:b w:val="false"/>
                <w:bCs w:val="false"/>
                <w:i w:val="false"/>
                <w:iCs w:val="false"/>
                <w:sz w:val="20"/>
                <w:szCs w:val="20"/>
              </w:rPr>
              <w:t xml:space="preserve">Handover slots and report date ranges could fall on the wrong day.</w:t>
            </w:r>
          </w:p>
        </w:tc>
      </w:tr>
    </w:tbl>
    <w:sectPr>
      <w:headerReference w:type="default" r:id="rId7"/>
      <w:footerReference w:type="default" r:id="rId8"/>
      <w:pgSz w:w="15840" w:h="12240" w:orient="landscape"/>
      <w:pgMar w:top="1440" w:right="1440" w:bottom="1440" w:left="1440" w:header="720" w:footer="720"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sz w:val="20"/>
        <w:szCs w:val="20"/>
      </w:rPr>
      <w:t xml:space="preserve">BookSwap: AI Usage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BookSwap AI Usage Log</dc:title>
  <dc:creator>Group 3, Section AM6</dc:creator>
  <cp:lastModifiedBy>Un-named</cp:lastModifiedBy>
  <cp:revision>1</cp:revision>
  <dcterms:created xsi:type="dcterms:W3CDTF">2026-09-15T09:14:24.679Z</dcterms:created>
  <dcterms:modified xsi:type="dcterms:W3CDTF">2026-09-15T09:14:24.680Z</dcterms:modified>
</cp:coreProperties>
</file>

<file path=docProps/custom.xml><?xml version="1.0" encoding="utf-8"?>
<Properties xmlns="http://schemas.openxmlformats.org/officeDocument/2006/custom-properties" xmlns:vt="http://schemas.openxmlformats.org/officeDocument/2006/docPropsVTypes"/>
</file>