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240"/>
        <w:jc w:val="center"/>
      </w:pPr>
      <w:r>
        <w:rPr>
          <w:rFonts w:ascii="Times New Roman" w:cs="Times New Roman" w:eastAsia="Times New Roman" w:hAnsi="Times New Roman"/>
          <w:b/>
          <w:bCs/>
          <w:i w:val="false"/>
          <w:iCs w:val="false"/>
          <w:sz w:val="48"/>
          <w:szCs w:val="48"/>
        </w:rPr>
        <w:t xml:space="preserve">BOOKSWAP</w:t>
      </w:r>
    </w:p>
    <w:p>
      <w:pPr>
        <w:spacing w:after="240"/>
        <w:jc w:val="center"/>
      </w:pPr>
      <w:r>
        <w:rPr>
          <w:rFonts w:ascii="Times New Roman" w:cs="Times New Roman" w:eastAsia="Times New Roman" w:hAnsi="Times New Roman"/>
          <w:b w:val="false"/>
          <w:bCs w:val="false"/>
          <w:i w:val="false"/>
          <w:iCs w:val="false"/>
          <w:sz w:val="28"/>
          <w:szCs w:val="28"/>
        </w:rPr>
        <w:t xml:space="preserve">A Centralized Peer-to-Peer Book Exchange Platform for Bookworms</w:t>
      </w:r>
    </w:p>
    <w:p>
      <w:pPr>
        <w:spacing w:after="720"/>
        <w:jc w:val="center"/>
      </w:pPr>
      <w:r>
        <w:rPr>
          <w:rFonts w:ascii="Times New Roman" w:cs="Times New Roman" w:eastAsia="Times New Roman" w:hAnsi="Times New Roman"/>
          <w:b w:val="false"/>
          <w:bCs w:val="false"/>
          <w:i/>
          <w:iCs/>
          <w:sz w:val="26"/>
          <w:szCs w:val="26"/>
        </w:rPr>
        <w:t xml:space="preserve">Phase 2: Database and Backend Implementation</w:t>
      </w:r>
    </w:p>
    <w:p>
      <w:pPr>
        <w:spacing w:after="120"/>
        <w:jc w:val="center"/>
      </w:pPr>
      <w:r>
        <w:rPr>
          <w:rFonts w:ascii="Times New Roman" w:cs="Times New Roman" w:eastAsia="Times New Roman" w:hAnsi="Times New Roman"/>
          <w:b w:val="false"/>
          <w:bCs w:val="false"/>
          <w:i w:val="false"/>
          <w:iCs w:val="false"/>
          <w:sz w:val="24"/>
          <w:szCs w:val="24"/>
        </w:rPr>
        <w:t xml:space="preserve">Submitted in partial fulfillment of the requirements for</w:t>
      </w:r>
    </w:p>
    <w:p>
      <w:pPr>
        <w:spacing w:after="720"/>
        <w:jc w:val="center"/>
      </w:pPr>
      <w:r>
        <w:rPr>
          <w:rFonts w:ascii="Times New Roman" w:cs="Times New Roman" w:eastAsia="Times New Roman" w:hAnsi="Times New Roman"/>
          <w:b/>
          <w:bCs/>
          <w:i w:val="false"/>
          <w:iCs w:val="false"/>
          <w:sz w:val="24"/>
          <w:szCs w:val="24"/>
        </w:rPr>
        <w:t xml:space="preserve">ITS122P</w:t>
      </w:r>
    </w:p>
    <w:p>
      <w:pPr>
        <w:spacing w:after="120"/>
        <w:jc w:val="center"/>
      </w:pPr>
      <w:r>
        <w:rPr>
          <w:rFonts w:ascii="Times New Roman" w:cs="Times New Roman" w:eastAsia="Times New Roman" w:hAnsi="Times New Roman"/>
          <w:b/>
          <w:bCs/>
          <w:i w:val="false"/>
          <w:iCs w:val="false"/>
          <w:sz w:val="24"/>
          <w:szCs w:val="24"/>
        </w:rPr>
        <w:t xml:space="preserve">Aldea, Adrian Ivan</w:t>
      </w:r>
    </w:p>
    <w:p>
      <w:pPr>
        <w:spacing w:after="120"/>
        <w:jc w:val="center"/>
      </w:pPr>
      <w:r>
        <w:rPr>
          <w:rFonts w:ascii="Times New Roman" w:cs="Times New Roman" w:eastAsia="Times New Roman" w:hAnsi="Times New Roman"/>
          <w:b/>
          <w:bCs/>
          <w:i w:val="false"/>
          <w:iCs w:val="false"/>
          <w:sz w:val="24"/>
          <w:szCs w:val="24"/>
        </w:rPr>
        <w:t xml:space="preserve">De Leon, Irish Gail</w:t>
      </w:r>
    </w:p>
    <w:p>
      <w:pPr>
        <w:spacing w:after="120"/>
        <w:jc w:val="center"/>
      </w:pPr>
      <w:r>
        <w:rPr>
          <w:rFonts w:ascii="Times New Roman" w:cs="Times New Roman" w:eastAsia="Times New Roman" w:hAnsi="Times New Roman"/>
          <w:b/>
          <w:bCs/>
          <w:i w:val="false"/>
          <w:iCs w:val="false"/>
          <w:sz w:val="24"/>
          <w:szCs w:val="24"/>
        </w:rPr>
        <w:t xml:space="preserve">Dorosan, Jade Danielle</w:t>
      </w:r>
    </w:p>
    <w:p>
      <w:pPr>
        <w:spacing w:after="120"/>
        <w:jc w:val="center"/>
      </w:pPr>
      <w:r>
        <w:rPr>
          <w:rFonts w:ascii="Times New Roman" w:cs="Times New Roman" w:eastAsia="Times New Roman" w:hAnsi="Times New Roman"/>
          <w:b/>
          <w:bCs/>
          <w:i w:val="false"/>
          <w:iCs w:val="false"/>
          <w:sz w:val="24"/>
          <w:szCs w:val="24"/>
        </w:rPr>
        <w:t xml:space="preserve">Jerusalem, Myrielle Alexcis</w:t>
      </w:r>
    </w:p>
    <w:p>
      <w:pPr>
        <w:spacing w:after="720"/>
        <w:jc w:val="center"/>
      </w:pPr>
      <w:r>
        <w:rPr>
          <w:rFonts w:ascii="Times New Roman" w:cs="Times New Roman" w:eastAsia="Times New Roman" w:hAnsi="Times New Roman"/>
          <w:b/>
          <w:bCs/>
          <w:i w:val="false"/>
          <w:iCs w:val="false"/>
          <w:sz w:val="24"/>
          <w:szCs w:val="24"/>
        </w:rPr>
        <w:t xml:space="preserve">Sabayo, Arnulfo III</w:t>
      </w:r>
    </w:p>
    <w:p>
      <w:pPr>
        <w:spacing w:after="120"/>
        <w:jc w:val="center"/>
      </w:pPr>
      <w:r>
        <w:rPr>
          <w:rFonts w:ascii="Times New Roman" w:cs="Times New Roman" w:eastAsia="Times New Roman" w:hAnsi="Times New Roman"/>
          <w:b w:val="false"/>
          <w:bCs w:val="false"/>
          <w:i w:val="false"/>
          <w:iCs w:val="false"/>
          <w:sz w:val="24"/>
          <w:szCs w:val="24"/>
        </w:rPr>
        <w:t xml:space="preserve">Group 3  |  Section AM6</w:t>
      </w:r>
    </w:p>
    <w:p>
      <w:pPr>
        <w:spacing w:after="120"/>
        <w:jc w:val="center"/>
      </w:pPr>
      <w:r>
        <w:rPr>
          <w:rFonts w:ascii="Times New Roman" w:cs="Times New Roman" w:eastAsia="Times New Roman" w:hAnsi="Times New Roman"/>
          <w:b w:val="false"/>
          <w:bCs w:val="false"/>
          <w:i w:val="false"/>
          <w:iCs w:val="false"/>
          <w:sz w:val="24"/>
          <w:szCs w:val="24"/>
        </w:rPr>
        <w:t xml:space="preserve">September 2026</w:t>
      </w:r>
    </w:p>
    <w:p>
      <w:r>
        <w:br w:type="page"/>
      </w:r>
    </w:p>
    <w:p>
      <w:pPr>
        <w:pStyle w:val="Heading1"/>
        <w:spacing w:after="160" w:before="320"/>
      </w:pPr>
      <w:r>
        <w:rPr>
          <w:rFonts w:ascii="Times New Roman" w:cs="Times New Roman" w:eastAsia="Times New Roman" w:hAnsi="Times New Roman"/>
          <w:b/>
          <w:bCs/>
          <w:i w:val="false"/>
          <w:iCs w:val="false"/>
          <w:sz w:val="28"/>
          <w:szCs w:val="28"/>
        </w:rPr>
        <w:t xml:space="preserve">1. Database</w:t>
      </w:r>
    </w:p>
    <w:p>
      <w:pPr>
        <w:spacing w:after="160" w:line="276"/>
        <w:jc w:val="both"/>
      </w:pPr>
      <w:r>
        <w:rPr>
          <w:rFonts w:ascii="Times New Roman" w:cs="Times New Roman" w:eastAsia="Times New Roman" w:hAnsi="Times New Roman"/>
          <w:b w:val="false"/>
          <w:bCs w:val="false"/>
          <w:i w:val="false"/>
          <w:iCs w:val="false"/>
          <w:sz w:val="24"/>
          <w:szCs w:val="24"/>
        </w:rPr>
        <w:t xml:space="preserve">The system uses a single relational database named bookswap, running on MySQL 8.0 and compatible with MariaDB 10.4. Every table is created with the InnoDB storage engine so that foreign keys are enforced and grouped statements can be rolled back if any part fails. The utf8mb4 character set with utf8mb4_unicode_ci collation is applied across the database, which allows accented characters and other non-ASCII text in book titles and member notes.</w:t>
      </w:r>
    </w:p>
    <w:p>
      <w:pPr>
        <w:spacing w:after="160" w:line="276"/>
        <w:jc w:val="both"/>
      </w:pPr>
      <w:r>
        <w:rPr>
          <w:rFonts w:ascii="Times New Roman" w:cs="Times New Roman" w:eastAsia="Times New Roman" w:hAnsi="Times New Roman"/>
          <w:b w:val="false"/>
          <w:bCs w:val="false"/>
          <w:i w:val="false"/>
          <w:iCs w:val="false"/>
          <w:sz w:val="24"/>
          <w:szCs w:val="24"/>
        </w:rPr>
        <w:t xml:space="preserve">The application connects through a single PDO instance returned by getDBConnection() in config/database.php. The connection is opened once and reused for the rest of the request. Three settings are applied deliberately: errors are raised as exceptions instead of failing silently, rows are returned as associative arrays, and prepared-statement emulation is disabled so that placeholders are bound by the database server rather than substituted by the driver. If the connection fails, the detail is written to the error log and the client receives only a generic message, so server and credential details are never exposed.</w:t>
      </w:r>
    </w:p>
    <w:p>
      <w:pPr>
        <w:pStyle w:val="Heading1"/>
        <w:spacing w:after="160" w:before="320"/>
      </w:pPr>
      <w:r>
        <w:rPr>
          <w:rFonts w:ascii="Times New Roman" w:cs="Times New Roman" w:eastAsia="Times New Roman" w:hAnsi="Times New Roman"/>
          <w:b/>
          <w:bCs/>
          <w:i w:val="false"/>
          <w:iCs w:val="false"/>
          <w:sz w:val="28"/>
          <w:szCs w:val="28"/>
        </w:rPr>
        <w:t xml:space="preserve">2. Tables</w:t>
      </w:r>
    </w:p>
    <w:p>
      <w:pPr>
        <w:spacing w:after="160" w:line="276"/>
        <w:jc w:val="both"/>
      </w:pPr>
      <w:r>
        <w:rPr>
          <w:rFonts w:ascii="Times New Roman" w:cs="Times New Roman" w:eastAsia="Times New Roman" w:hAnsi="Times New Roman"/>
          <w:b w:val="false"/>
          <w:bCs w:val="false"/>
          <w:i w:val="false"/>
          <w:iCs w:val="false"/>
          <w:sz w:val="24"/>
          <w:szCs w:val="24"/>
        </w:rPr>
        <w:t xml:space="preserve">The schema consists of eleven tables. Reference data, namely categories, conditions, and meetup_locations, is kept separate from transactional data and carries an is_active flag instead of supporting deletion, so a retired category does not break listings that already reference it. Table 1 lists each table with its purpose and principal columns.</w:t>
      </w:r>
    </w:p>
    <w:p>
      <w:pPr>
        <w:spacing w:after="0" w:before="240"/>
      </w:pPr>
      <w:r>
        <w:rPr>
          <w:rFonts w:ascii="Times New Roman" w:cs="Times New Roman" w:eastAsia="Times New Roman" w:hAnsi="Times New Roman"/>
          <w:b/>
          <w:bCs/>
          <w:i w:val="false"/>
          <w:iCs w:val="false"/>
          <w:sz w:val="24"/>
          <w:szCs w:val="24"/>
        </w:rPr>
        <w:t xml:space="preserve">Table 1</w:t>
      </w:r>
    </w:p>
    <w:p>
      <w:pPr>
        <w:spacing w:after="120"/>
      </w:pPr>
      <w:r>
        <w:rPr>
          <w:rFonts w:ascii="Times New Roman" w:cs="Times New Roman" w:eastAsia="Times New Roman" w:hAnsi="Times New Roman"/>
          <w:b w:val="false"/>
          <w:bCs w:val="false"/>
          <w:i/>
          <w:iCs/>
          <w:sz w:val="24"/>
          <w:szCs w:val="24"/>
        </w:rPr>
        <w:t xml:space="preserve">Database Tables and Their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4260"/>
      </w:tblGrid>
      <w:tr>
        <w:trPr>
          <w:tblHeader/>
        </w:trPr>
        <w:tc>
          <w:tcPr>
            <w:tcW w:type="dxa" w:w="190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Table</w:t>
            </w:r>
          </w:p>
        </w:tc>
        <w:tc>
          <w:tcPr>
            <w:tcW w:type="dxa" w:w="320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Purpose</w:t>
            </w:r>
          </w:p>
        </w:tc>
        <w:tc>
          <w:tcPr>
            <w:tcW w:type="dxa" w:w="426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Principal Columns</w:t>
            </w:r>
          </w:p>
        </w:tc>
      </w:tr>
      <w:tr>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Member accounts, credentials, and roles.</w:t>
            </w:r>
          </w:p>
        </w:tc>
        <w:tc>
          <w:tcPr>
            <w:tcW w:type="dxa" w:w="42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id, name, email, password_hash, role, status, city, exchange_count</w:t>
            </w:r>
          </w:p>
        </w:tc>
      </w:tr>
      <w:tr>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categories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Genre, format, and age taxonomy.</w:t>
            </w:r>
          </w:p>
        </w:tc>
        <w:tc>
          <w:tcPr>
            <w:tcW w:type="dxa" w:w="42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id, name, type, is_active</w:t>
            </w:r>
          </w:p>
        </w:tc>
      </w:tr>
      <w:tr>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conditions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Condition grading rubric shown at listing time.</w:t>
            </w:r>
          </w:p>
        </w:tc>
        <w:tc>
          <w:tcPr>
            <w:tcW w:type="dxa" w:w="42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id, label, description, is_active</w:t>
            </w:r>
          </w:p>
        </w:tc>
      </w:tr>
      <w:tr>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meetup_locations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Approved venues for physical handovers.</w:t>
            </w:r>
          </w:p>
        </w:tc>
        <w:tc>
          <w:tcPr>
            <w:tcW w:type="dxa" w:w="42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id, name, address, is_active</w:t>
            </w:r>
          </w:p>
        </w:tc>
      </w:tr>
      <w:tr>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Books offered for exchange.</w:t>
            </w:r>
          </w:p>
        </w:tc>
        <w:tc>
          <w:tcPr>
            <w:tcW w:type="dxa" w:w="42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id, user_id, title, author, genre_id, condition_id, photo_path, status</w:t>
            </w:r>
          </w:p>
        </w:tc>
      </w:tr>
      <w:tr>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exchange_requests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One-to-one swap proposals between members.</w:t>
            </w:r>
          </w:p>
        </w:tc>
        <w:tc>
          <w:tcPr>
            <w:tcW w:type="dxa" w:w="42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id, requester_id, target_listing_id, offered_listing_id, status</w:t>
            </w:r>
          </w:p>
        </w:tc>
      </w:tr>
      <w:tr>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transactions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Supervised exchanges created from a request.</w:t>
            </w:r>
          </w:p>
        </w:tc>
        <w:tc>
          <w:tcPr>
            <w:tcW w:type="dxa" w:w="42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id, exchange_request_id, status, reschedule_count, handled_by</w:t>
            </w:r>
          </w:p>
        </w:tc>
      </w:tr>
      <w:tr>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handover_slots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Scheduled meetup for a transaction.</w:t>
            </w:r>
          </w:p>
        </w:tc>
        <w:tc>
          <w:tcPr>
            <w:tcW w:type="dxa" w:w="42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id, transaction_id, location_id, slot_date, slot_time, confirmed_by_a, confirmed_by_b</w:t>
            </w:r>
          </w:p>
        </w:tc>
      </w:tr>
      <w:tr>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notifications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In-app alerts raised by the workflow.</w:t>
            </w:r>
          </w:p>
        </w:tc>
        <w:tc>
          <w:tcPr>
            <w:tcW w:type="dxa" w:w="42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id, user_id, type, message, is_read</w:t>
            </w:r>
          </w:p>
        </w:tc>
      </w:tr>
      <w:tr>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activity_log</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Append-only audit trail of moderator and admin actions.</w:t>
            </w:r>
          </w:p>
        </w:tc>
        <w:tc>
          <w:tcPr>
            <w:tcW w:type="dxa" w:w="42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id, actor_id, record_type, record_id, action, note</w:t>
            </w:r>
          </w:p>
        </w:tc>
      </w:tr>
      <w:tr>
        <w:tc>
          <w:tcPr>
            <w:tcW w:type="dxa" w:w="190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watchlist</w:t>
            </w:r>
          </w:p>
        </w:tc>
        <w:tc>
          <w:tcPr>
            <w:tcW w:type="dxa" w:w="320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Listings a member is tracking.</w:t>
            </w:r>
          </w:p>
        </w:tc>
        <w:tc>
          <w:tcPr>
            <w:tcW w:type="dxa" w:w="426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id, user_id, listing_id</w:t>
            </w:r>
          </w:p>
        </w:tc>
      </w:tr>
    </w:tbl>
    <w:p>
      <w:pPr>
        <w:spacing w:after="160" w:line="276"/>
        <w:jc w:val="both"/>
      </w:pPr>
      <w:r>
        <w:rPr>
          <w:rFonts w:ascii="Times New Roman" w:cs="Times New Roman" w:eastAsia="Times New Roman" w:hAnsi="Times New Roman"/>
          <w:b w:val="false"/>
          <w:bCs w:val="false"/>
          <w:i w:val="false"/>
          <w:iCs w:val="false"/>
          <w:sz w:val="24"/>
          <w:szCs w:val="24"/>
        </w:rPr>
        <w:t xml:space="preserve">Lifecycle state is modelled with ENUM columns rather than free text, so invalid states are rejected by the database itself. A listing moves through unverified, available, locked, returned, rejected, archived, and withdrawn; a request through pending, endorsed, accepted, declined, rejected, held, withdrawn, and cancelled; and a transaction through pending, approved, scheduled, completed, and cancelled. Every table records created_at, and tables that change after insertion also record updated_at.</w:t>
      </w:r>
    </w:p>
    <w:p>
      <w:pPr>
        <w:pStyle w:val="Heading1"/>
        <w:spacing w:after="160" w:before="320"/>
      </w:pPr>
      <w:r>
        <w:rPr>
          <w:rFonts w:ascii="Times New Roman" w:cs="Times New Roman" w:eastAsia="Times New Roman" w:hAnsi="Times New Roman"/>
          <w:b/>
          <w:bCs/>
          <w:i w:val="false"/>
          <w:iCs w:val="false"/>
          <w:sz w:val="28"/>
          <w:szCs w:val="28"/>
        </w:rPr>
        <w:t xml:space="preserve">3. Relationships</w:t>
      </w:r>
    </w:p>
    <w:p>
      <w:pPr>
        <w:spacing w:after="160" w:line="276"/>
        <w:jc w:val="both"/>
      </w:pPr>
      <w:r>
        <w:rPr>
          <w:rFonts w:ascii="Times New Roman" w:cs="Times New Roman" w:eastAsia="Times New Roman" w:hAnsi="Times New Roman"/>
          <w:b w:val="false"/>
          <w:bCs w:val="false"/>
          <w:i w:val="false"/>
          <w:iCs w:val="false"/>
          <w:sz w:val="24"/>
          <w:szCs w:val="24"/>
        </w:rPr>
        <w:t xml:space="preserve">Fourteen foreign keys bind the schema together. Delete rules are chosen per relationship rather than applied uniformly. RESTRICT protects records that carry historical meaning, so an account that owns listings or appears in the audit trail cannot be removed while those records exist. CASCADE is used where a child row has no meaning without its parent, such as a handover slot without its transaction. The moderator handling a transaction is set to NULL on deletion so the transaction survives a volunteer leaving the platform.</w:t>
      </w:r>
    </w:p>
    <w:p>
      <w:pPr>
        <w:spacing w:after="0" w:before="240"/>
      </w:pPr>
      <w:r>
        <w:rPr>
          <w:rFonts w:ascii="Times New Roman" w:cs="Times New Roman" w:eastAsia="Times New Roman" w:hAnsi="Times New Roman"/>
          <w:b/>
          <w:bCs/>
          <w:i w:val="false"/>
          <w:iCs w:val="false"/>
          <w:sz w:val="24"/>
          <w:szCs w:val="24"/>
        </w:rPr>
        <w:t xml:space="preserve">Table 2</w:t>
      </w:r>
    </w:p>
    <w:p>
      <w:pPr>
        <w:spacing w:after="120"/>
      </w:pPr>
      <w:r>
        <w:rPr>
          <w:rFonts w:ascii="Times New Roman" w:cs="Times New Roman" w:eastAsia="Times New Roman" w:hAnsi="Times New Roman"/>
          <w:b w:val="false"/>
          <w:bCs w:val="false"/>
          <w:i/>
          <w:iCs/>
          <w:sz w:val="24"/>
          <w:szCs w:val="24"/>
        </w:rPr>
        <w:t xml:space="preserve">Foreign Key Constraints and Delete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150"/>
        <w:gridCol w:w="2350"/>
        <w:gridCol w:w="1300"/>
        <w:gridCol w:w="1560"/>
      </w:tblGrid>
      <w:tr>
        <w:trPr>
          <w:tblHeader/>
        </w:trPr>
        <w:tc>
          <w:tcPr>
            <w:tcW w:type="dxa" w:w="200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Child Table</w:t>
            </w:r>
          </w:p>
        </w:tc>
        <w:tc>
          <w:tcPr>
            <w:tcW w:type="dxa" w:w="215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Foreign Key</w:t>
            </w:r>
          </w:p>
        </w:tc>
        <w:tc>
          <w:tcPr>
            <w:tcW w:type="dxa" w:w="235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Parent Table</w:t>
            </w:r>
          </w:p>
        </w:tc>
        <w:tc>
          <w:tcPr>
            <w:tcW w:type="dxa" w:w="130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Cardinality</w:t>
            </w:r>
          </w:p>
        </w:tc>
        <w:tc>
          <w:tcPr>
            <w:tcW w:type="dxa" w:w="156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On Delete</w:t>
            </w:r>
          </w:p>
        </w:tc>
      </w:tr>
      <w:t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user_id</w:t>
            </w:r>
          </w:p>
        </w:tc>
        <w:tc>
          <w:tcPr>
            <w:tcW w:type="dxa" w:w="23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users(id)</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5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RESTRICT</w:t>
            </w:r>
          </w:p>
        </w:tc>
      </w:tr>
      <w:t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genre_id</w:t>
            </w:r>
          </w:p>
        </w:tc>
        <w:tc>
          <w:tcPr>
            <w:tcW w:type="dxa" w:w="23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categories(id)</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5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RESTRICT</w:t>
            </w:r>
          </w:p>
        </w:tc>
      </w:tr>
      <w:t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condition_id</w:t>
            </w:r>
          </w:p>
        </w:tc>
        <w:tc>
          <w:tcPr>
            <w:tcW w:type="dxa" w:w="23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conditions(id)</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5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RESTRICT</w:t>
            </w:r>
          </w:p>
        </w:tc>
      </w:tr>
      <w:t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exchange_requests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requester_id</w:t>
            </w:r>
          </w:p>
        </w:tc>
        <w:tc>
          <w:tcPr>
            <w:tcW w:type="dxa" w:w="23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users(id)</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5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RESTRICT</w:t>
            </w:r>
          </w:p>
        </w:tc>
      </w:tr>
      <w:t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exchange_requests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target_listing_id</w:t>
            </w:r>
          </w:p>
        </w:tc>
        <w:tc>
          <w:tcPr>
            <w:tcW w:type="dxa" w:w="23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listings(id)</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5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RESTRICT</w:t>
            </w:r>
          </w:p>
        </w:tc>
      </w:tr>
      <w:t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exchange_requests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offered_listing_id</w:t>
            </w:r>
          </w:p>
        </w:tc>
        <w:tc>
          <w:tcPr>
            <w:tcW w:type="dxa" w:w="23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listings(id)</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5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RESTRICT</w:t>
            </w:r>
          </w:p>
        </w:tc>
      </w:tr>
      <w:t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transactions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exchange_request_id</w:t>
            </w:r>
          </w:p>
        </w:tc>
        <w:tc>
          <w:tcPr>
            <w:tcW w:type="dxa" w:w="23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exchange_requests(id)</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1:1</w:t>
            </w:r>
          </w:p>
        </w:tc>
        <w:tc>
          <w:tcPr>
            <w:tcW w:type="dxa" w:w="15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RESTRICT</w:t>
            </w:r>
          </w:p>
        </w:tc>
      </w:tr>
      <w:t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transactions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handled_by</w:t>
            </w:r>
          </w:p>
        </w:tc>
        <w:tc>
          <w:tcPr>
            <w:tcW w:type="dxa" w:w="23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users(id)</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5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SET NULL</w:t>
            </w:r>
          </w:p>
        </w:tc>
      </w:tr>
      <w:t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handover_slots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transaction_id</w:t>
            </w:r>
          </w:p>
        </w:tc>
        <w:tc>
          <w:tcPr>
            <w:tcW w:type="dxa" w:w="23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transactions(id)</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1:1</w:t>
            </w:r>
          </w:p>
        </w:tc>
        <w:tc>
          <w:tcPr>
            <w:tcW w:type="dxa" w:w="15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CASCADE</w:t>
            </w:r>
          </w:p>
        </w:tc>
      </w:tr>
      <w:t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handover_slots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location_id</w:t>
            </w:r>
          </w:p>
        </w:tc>
        <w:tc>
          <w:tcPr>
            <w:tcW w:type="dxa" w:w="23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meetup_locations(id)</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5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RESTRICT</w:t>
            </w:r>
          </w:p>
        </w:tc>
      </w:tr>
      <w:t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notifications</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user_id</w:t>
            </w:r>
          </w:p>
        </w:tc>
        <w:tc>
          <w:tcPr>
            <w:tcW w:type="dxa" w:w="23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users(id)</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5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CASCADE</w:t>
            </w:r>
          </w:p>
        </w:tc>
      </w:tr>
      <w:t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activity_log</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actor_id</w:t>
            </w:r>
          </w:p>
        </w:tc>
        <w:tc>
          <w:tcPr>
            <w:tcW w:type="dxa" w:w="23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users(id)</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N:1</w:t>
            </w:r>
          </w:p>
        </w:tc>
        <w:tc>
          <w:tcPr>
            <w:tcW w:type="dxa" w:w="15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RESTRICT</w:t>
            </w:r>
          </w:p>
        </w:tc>
      </w:tr>
      <w:tr>
        <w:tc>
          <w:tcPr>
            <w:tcW w:type="dxa" w:w="20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watchlist</w:t>
            </w:r>
          </w:p>
        </w:tc>
        <w:tc>
          <w:tcPr>
            <w:tcW w:type="dxa" w:w="21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user_id</w:t>
            </w:r>
          </w:p>
        </w:tc>
        <w:tc>
          <w:tcPr>
            <w:tcW w:type="dxa" w:w="23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users(id)</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N:M</w:t>
            </w:r>
          </w:p>
        </w:tc>
        <w:tc>
          <w:tcPr>
            <w:tcW w:type="dxa" w:w="15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CASCADE</w:t>
            </w:r>
          </w:p>
        </w:tc>
      </w:tr>
      <w:tr>
        <w:tc>
          <w:tcPr>
            <w:tcW w:type="dxa" w:w="200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watchlist</w:t>
            </w:r>
          </w:p>
        </w:tc>
        <w:tc>
          <w:tcPr>
            <w:tcW w:type="dxa" w:w="215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listing_id</w:t>
            </w:r>
          </w:p>
        </w:tc>
        <w:tc>
          <w:tcPr>
            <w:tcW w:type="dxa" w:w="235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listings(id)</w:t>
            </w:r>
          </w:p>
        </w:tc>
        <w:tc>
          <w:tcPr>
            <w:tcW w:type="dxa" w:w="130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N:M</w:t>
            </w:r>
          </w:p>
        </w:tc>
        <w:tc>
          <w:tcPr>
            <w:tcW w:type="dxa" w:w="156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CASCADE</w:t>
            </w:r>
          </w:p>
        </w:tc>
      </w:tr>
    </w:tbl>
    <w:p>
      <w:pPr>
        <w:spacing w:after="160" w:line="276"/>
        <w:jc w:val="both"/>
      </w:pPr>
      <w:r>
        <w:rPr>
          <w:rFonts w:ascii="Times New Roman" w:cs="Times New Roman" w:eastAsia="Times New Roman" w:hAnsi="Times New Roman"/>
          <w:b w:val="false"/>
          <w:bCs w:val="false"/>
          <w:i w:val="false"/>
          <w:iCs w:val="false"/>
          <w:sz w:val="24"/>
          <w:szCs w:val="24"/>
        </w:rPr>
        <w:t xml:space="preserve">Three constraints enforce business rules at the database level. A UNIQUE key on transactions.exchange_request_id and on handover_slots.transaction_id makes both relationships strictly one-to-one. A composite UNIQUE key on watchlist(user_id, listing_id) resolves the many-to-many relationship between members and listings while preventing a duplicate entry. A CHECK constraint on transactions.reschedule_count enforces the limit of one reschedule per transaction, matching the rule applied in the controller.</w:t>
      </w:r>
    </w:p>
    <w:p>
      <w:pPr>
        <w:pStyle w:val="Heading1"/>
        <w:spacing w:after="160" w:before="320"/>
      </w:pPr>
      <w:r>
        <w:rPr>
          <w:rFonts w:ascii="Times New Roman" w:cs="Times New Roman" w:eastAsia="Times New Roman" w:hAnsi="Times New Roman"/>
          <w:b/>
          <w:bCs/>
          <w:i w:val="false"/>
          <w:iCs w:val="false"/>
          <w:sz w:val="28"/>
          <w:szCs w:val="28"/>
        </w:rPr>
        <w:t xml:space="preserve">4. CRUD</w:t>
      </w:r>
    </w:p>
    <w:p>
      <w:pPr>
        <w:spacing w:after="160" w:line="276"/>
        <w:jc w:val="both"/>
      </w:pPr>
      <w:r>
        <w:rPr>
          <w:rFonts w:ascii="Times New Roman" w:cs="Times New Roman" w:eastAsia="Times New Roman" w:hAnsi="Times New Roman"/>
          <w:b w:val="false"/>
          <w:bCs w:val="false"/>
          <w:i w:val="false"/>
          <w:iCs w:val="false"/>
          <w:sz w:val="24"/>
          <w:szCs w:val="24"/>
        </w:rPr>
        <w:t xml:space="preserve">All database access is confined to eight model classes. Controllers never issue SQL directly, and every statement is a prepared statement with bound parameters, which removes the possibility of SQL injection through user input. Deletion is implemented as a status change rather than physical removal, so withdrawn listings and completed exchanges remain auditable. Table 3 summarises the operations each model provides.</w:t>
      </w:r>
    </w:p>
    <w:p>
      <w:pPr>
        <w:spacing w:after="0" w:before="240"/>
      </w:pPr>
      <w:r>
        <w:rPr>
          <w:rFonts w:ascii="Times New Roman" w:cs="Times New Roman" w:eastAsia="Times New Roman" w:hAnsi="Times New Roman"/>
          <w:b/>
          <w:bCs/>
          <w:i w:val="false"/>
          <w:iCs w:val="false"/>
          <w:sz w:val="24"/>
          <w:szCs w:val="24"/>
        </w:rPr>
        <w:t xml:space="preserve">Table 3</w:t>
      </w:r>
    </w:p>
    <w:p>
      <w:pPr>
        <w:spacing w:after="120"/>
      </w:pPr>
      <w:r>
        <w:rPr>
          <w:rFonts w:ascii="Times New Roman" w:cs="Times New Roman" w:eastAsia="Times New Roman" w:hAnsi="Times New Roman"/>
          <w:b w:val="false"/>
          <w:bCs w:val="false"/>
          <w:i/>
          <w:iCs/>
          <w:sz w:val="24"/>
          <w:szCs w:val="24"/>
        </w:rPr>
        <w:t xml:space="preserve">Model Classes and Their CRUD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050"/>
        <w:gridCol w:w="2800"/>
        <w:gridCol w:w="2910"/>
      </w:tblGrid>
      <w:tr>
        <w:trPr>
          <w:tblHeader/>
        </w:trPr>
        <w:tc>
          <w:tcPr>
            <w:tcW w:type="dxa" w:w="160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Model</w:t>
            </w:r>
          </w:p>
        </w:tc>
        <w:tc>
          <w:tcPr>
            <w:tcW w:type="dxa" w:w="205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Create</w:t>
            </w:r>
          </w:p>
        </w:tc>
        <w:tc>
          <w:tcPr>
            <w:tcW w:type="dxa" w:w="280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Read</w:t>
            </w:r>
          </w:p>
        </w:tc>
        <w:tc>
          <w:tcPr>
            <w:tcW w:type="dxa" w:w="291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Update and Delete</w:t>
            </w:r>
          </w:p>
        </w:tc>
      </w:tr>
      <w:tr>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UserModel</w:t>
            </w:r>
          </w:p>
        </w:tc>
        <w:tc>
          <w:tcPr>
            <w:tcW w:type="dxa" w:w="20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create()</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findById(), findByEmail(), getAll()</w:t>
            </w:r>
          </w:p>
        </w:tc>
        <w:tc>
          <w:tcPr>
            <w:tcW w:type="dxa" w:w="29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updateProfile(), updateStatus(), updateRole(), updatePassword(), incrementExchangeCount()</w:t>
            </w:r>
          </w:p>
        </w:tc>
      </w:tr>
      <w:tr>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ListingModel</w:t>
            </w:r>
          </w:p>
        </w:tc>
        <w:tc>
          <w:tcPr>
            <w:tcW w:type="dxa" w:w="20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create()</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findById(), getAvailable(), getByUserId(), getPending(), getIdle()</w:t>
            </w:r>
          </w:p>
        </w:tc>
        <w:tc>
          <w:tcPr>
            <w:tcW w:type="dxa" w:w="29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update(), updateStatus(), withdraw() as a soft delete</w:t>
            </w:r>
          </w:p>
        </w:tc>
      </w:tr>
      <w:tr>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ExchangeModel</w:t>
            </w:r>
          </w:p>
        </w:tc>
        <w:tc>
          <w:tcPr>
            <w:tcW w:type="dxa" w:w="20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create()</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findById(), getByRequester(), getByTargetListing(), getPendingForStaff(), hasActiveRequest()</w:t>
            </w:r>
          </w:p>
        </w:tc>
        <w:tc>
          <w:tcPr>
            <w:tcW w:type="dxa" w:w="29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updateStatus(), cancelExpired()</w:t>
            </w:r>
          </w:p>
        </w:tc>
      </w:tr>
      <w:tr>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TransactionModel</w:t>
            </w:r>
          </w:p>
        </w:tc>
        <w:tc>
          <w:tcPr>
            <w:tcW w:type="dxa" w:w="20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create(), assignHandoverSlot()</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findById(), getByUserId(), getByStaffId(), getScheduledToday(), bothPartiesConfirmed()</w:t>
            </w:r>
          </w:p>
        </w:tc>
        <w:tc>
          <w:tcPr>
            <w:tcW w:type="dxa" w:w="29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updateStatus(), rescheduleHandoverSlot(), recordNoShow(), confirmReceipt()</w:t>
            </w:r>
          </w:p>
        </w:tc>
      </w:tr>
      <w:tr>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CategoryModel</w:t>
            </w:r>
          </w:p>
        </w:tc>
        <w:tc>
          <w:tcPr>
            <w:tcW w:type="dxa" w:w="20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createCategory(), createCondition(), createMeetupLocation()</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getCategories(), getConditions(), getMeetupLocations()</w:t>
            </w:r>
          </w:p>
        </w:tc>
        <w:tc>
          <w:tcPr>
            <w:tcW w:type="dxa" w:w="29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retireCategory(), retireCondition(), retireMeetupLocation()</w:t>
            </w:r>
          </w:p>
        </w:tc>
      </w:tr>
      <w:tr>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NotificationModel</w:t>
            </w:r>
          </w:p>
        </w:tc>
        <w:tc>
          <w:tcPr>
            <w:tcW w:type="dxa" w:w="20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create()</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getUnread(), getAll()</w:t>
            </w:r>
          </w:p>
        </w:tc>
        <w:tc>
          <w:tcPr>
            <w:tcW w:type="dxa" w:w="29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markRead(), markAllRead()</w:t>
            </w:r>
          </w:p>
        </w:tc>
      </w:tr>
      <w:tr>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WatchlistModel</w:t>
            </w:r>
          </w:p>
        </w:tc>
        <w:tc>
          <w:tcPr>
            <w:tcW w:type="dxa" w:w="20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add() using INSERT IGNORE</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getByUserId(), isWatchlisted(), getUsersWatchingListing()</w:t>
            </w:r>
          </w:p>
        </w:tc>
        <w:tc>
          <w:tcPr>
            <w:tcW w:type="dxa" w:w="29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remove()</w:t>
            </w:r>
          </w:p>
        </w:tc>
      </w:tr>
      <w:tr>
        <w:tc>
          <w:tcPr>
            <w:tcW w:type="dxa" w:w="160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ReportModel</w:t>
            </w:r>
          </w:p>
        </w:tc>
        <w:tc>
          <w:tcPr>
            <w:tcW w:type="dxa" w:w="205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logActivity()</w:t>
            </w:r>
          </w:p>
        </w:tc>
        <w:tc>
          <w:tcPr>
            <w:tcW w:type="dxa" w:w="280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getSummary(), getTopGenres(), getParticipationByCity(), getActivityLog()</w:t>
            </w:r>
          </w:p>
        </w:tc>
        <w:tc>
          <w:tcPr>
            <w:tcW w:type="dxa" w:w="291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Not applicable, as the audit trail is append-only.</w:t>
            </w:r>
          </w:p>
        </w:tc>
      </w:tr>
    </w:tbl>
    <w:p>
      <w:pPr>
        <w:spacing w:after="160" w:line="276"/>
        <w:jc w:val="both"/>
      </w:pPr>
      <w:r>
        <w:rPr>
          <w:rFonts w:ascii="Times New Roman" w:cs="Times New Roman" w:eastAsia="Times New Roman" w:hAnsi="Times New Roman"/>
          <w:b w:val="false"/>
          <w:bCs w:val="false"/>
          <w:i w:val="false"/>
          <w:iCs w:val="false"/>
          <w:sz w:val="24"/>
          <w:szCs w:val="24"/>
        </w:rPr>
        <w:t xml:space="preserve">Catalogue search is built as a single parameterised query whose WHERE clause is assembled from the filters actually supplied, so keyword, genre, condition, and sort order combine without string concatenation of user input. Two operations run inside explicit database transactions because they touch more than one table and must not be left half-applied: rescheduling a handover, which updates the slot and the reschedule counter together, and completing an exchange, which archives both listings and increments the exchange count of both members.</w:t>
      </w:r>
    </w:p>
    <w:p>
      <w:pPr>
        <w:pStyle w:val="Heading1"/>
        <w:spacing w:after="160" w:before="320"/>
      </w:pPr>
      <w:r>
        <w:rPr>
          <w:rFonts w:ascii="Times New Roman" w:cs="Times New Roman" w:eastAsia="Times New Roman" w:hAnsi="Times New Roman"/>
          <w:b/>
          <w:bCs/>
          <w:i w:val="false"/>
          <w:iCs w:val="false"/>
          <w:sz w:val="28"/>
          <w:szCs w:val="28"/>
        </w:rPr>
        <w:t xml:space="preserve">5. Authentication</w:t>
      </w:r>
    </w:p>
    <w:p>
      <w:pPr>
        <w:pStyle w:val="Heading2"/>
        <w:spacing w:after="120" w:before="240"/>
      </w:pPr>
      <w:r>
        <w:rPr>
          <w:rFonts w:ascii="Times New Roman" w:cs="Times New Roman" w:eastAsia="Times New Roman" w:hAnsi="Times New Roman"/>
          <w:b/>
          <w:bCs/>
          <w:i w:val="false"/>
          <w:iCs w:val="false"/>
          <w:sz w:val="24"/>
          <w:szCs w:val="24"/>
        </w:rPr>
        <w:t xml:space="preserve">5.1 Password Storage</w:t>
      </w:r>
    </w:p>
    <w:p>
      <w:pPr>
        <w:spacing w:after="160" w:line="276"/>
        <w:jc w:val="both"/>
      </w:pPr>
      <w:r>
        <w:rPr>
          <w:rFonts w:ascii="Times New Roman" w:cs="Times New Roman" w:eastAsia="Times New Roman" w:hAnsi="Times New Roman"/>
          <w:b w:val="false"/>
          <w:bCs w:val="false"/>
          <w:i w:val="false"/>
          <w:iCs w:val="false"/>
          <w:sz w:val="24"/>
          <w:szCs w:val="24"/>
        </w:rPr>
        <w:t xml:space="preserve">Passwords are hashed with bcrypt through password_hash() at a cost factor of 12. Bcrypt applies a distinct salt to each password automatically, so two members who choose the same password produce different stored values. The plaintext password is never written to the database or to any log, and verification uses password_verify(), which compares in constant time.</w:t>
      </w:r>
    </w:p>
    <w:p>
      <w:pPr>
        <w:pStyle w:val="Heading2"/>
        <w:spacing w:after="120" w:before="240"/>
      </w:pPr>
      <w:r>
        <w:rPr>
          <w:rFonts w:ascii="Times New Roman" w:cs="Times New Roman" w:eastAsia="Times New Roman" w:hAnsi="Times New Roman"/>
          <w:b/>
          <w:bCs/>
          <w:i w:val="false"/>
          <w:iCs w:val="false"/>
          <w:sz w:val="24"/>
          <w:szCs w:val="24"/>
        </w:rPr>
        <w:t xml:space="preserve">5.2 Token Issuance and Validation</w:t>
      </w:r>
    </w:p>
    <w:p>
      <w:pPr>
        <w:spacing w:after="160" w:line="276"/>
        <w:jc w:val="both"/>
      </w:pPr>
      <w:r>
        <w:rPr>
          <w:rFonts w:ascii="Times New Roman" w:cs="Times New Roman" w:eastAsia="Times New Roman" w:hAnsi="Times New Roman"/>
          <w:b w:val="false"/>
          <w:bCs w:val="false"/>
          <w:i w:val="false"/>
          <w:iCs w:val="false"/>
          <w:sz w:val="24"/>
          <w:szCs w:val="24"/>
        </w:rPr>
        <w:t xml:space="preserve">A successful login returns a JSON Web Token signed with HMAC-SHA256. The token carries the member identifier, the role, the time of issue, and an expiry one hour later. Validation recomputes the signature over the received header and payload and compares it with hash_equals(), which resists timing attacks, before checking the expiry. A token that is malformed, altered, or expired is rejected without any database query. Because the role travels inside the token, no server-side session store is needed, which suits a deployment where the frontend and backend are hosted separately.</w:t>
      </w:r>
    </w:p>
    <w:p>
      <w:pPr>
        <w:pStyle w:val="Heading2"/>
        <w:spacing w:after="120" w:before="240"/>
      </w:pPr>
      <w:r>
        <w:rPr>
          <w:rFonts w:ascii="Times New Roman" w:cs="Times New Roman" w:eastAsia="Times New Roman" w:hAnsi="Times New Roman"/>
          <w:b/>
          <w:bCs/>
          <w:i w:val="false"/>
          <w:iCs w:val="false"/>
          <w:sz w:val="24"/>
          <w:szCs w:val="24"/>
        </w:rPr>
        <w:t xml:space="preserve">5.3 Role-Based Access Control</w:t>
      </w:r>
    </w:p>
    <w:p>
      <w:pPr>
        <w:spacing w:after="160" w:line="276"/>
        <w:jc w:val="both"/>
      </w:pPr>
      <w:r>
        <w:rPr>
          <w:rFonts w:ascii="Times New Roman" w:cs="Times New Roman" w:eastAsia="Times New Roman" w:hAnsi="Times New Roman"/>
          <w:b w:val="false"/>
          <w:bCs w:val="false"/>
          <w:i w:val="false"/>
          <w:iCs w:val="false"/>
          <w:sz w:val="24"/>
          <w:szCs w:val="24"/>
        </w:rPr>
        <w:t xml:space="preserve">Every protected controller method begins with requireAuth(), which reads the bearer token from the Authorization header, validates it, and optionally enforces a role or a list of roles. A request with no valid token receives HTTP 401, and an authenticated request from the wrong role receives HTTP 403. Because this check runs before any query, an unauthorised request never reaches the database.</w:t>
      </w:r>
    </w:p>
    <w:p>
      <w:pPr>
        <w:spacing w:after="160" w:line="276"/>
        <w:jc w:val="both"/>
      </w:pPr>
      <w:r>
        <w:rPr>
          <w:rFonts w:ascii="Times New Roman" w:cs="Times New Roman" w:eastAsia="Times New Roman" w:hAnsi="Times New Roman"/>
          <w:b w:val="false"/>
          <w:bCs w:val="false"/>
          <w:i w:val="false"/>
          <w:iCs w:val="false"/>
          <w:sz w:val="24"/>
          <w:szCs w:val="24"/>
        </w:rPr>
        <w:t xml:space="preserve">Three further safeguards implement rules from the proposal:</w:t>
      </w:r>
    </w:p>
    <w:p>
      <w:pPr>
        <w:pStyle w:val="ListParagraph"/>
        <w:numPr>
          <w:ilvl w:val="0"/>
          <w:numId w:val="2"/>
        </w:numPr>
        <w:spacing w:after="100" w:line="276"/>
      </w:pPr>
      <w:r>
        <w:rPr>
          <w:rFonts w:ascii="Times New Roman" w:cs="Times New Roman" w:eastAsia="Times New Roman" w:hAnsi="Times New Roman"/>
          <w:b/>
          <w:bCs/>
          <w:i w:val="false"/>
          <w:iCs w:val="false"/>
          <w:sz w:val="24"/>
          <w:szCs w:val="24"/>
        </w:rPr>
        <w:t xml:space="preserve">Pending accounts. </w:t>
      </w:r>
      <w:r>
        <w:rPr>
          <w:rFonts w:ascii="Times New Roman" w:cs="Times New Roman" w:eastAsia="Times New Roman" w:hAnsi="Times New Roman"/>
          <w:b w:val="false"/>
          <w:bCs w:val="false"/>
          <w:i w:val="false"/>
          <w:iCs w:val="false"/>
          <w:sz w:val="24"/>
          <w:szCs w:val="24"/>
        </w:rPr>
        <w:t xml:space="preserve">A new registration is stored with status pending and is refused login until an Administrator approves it.</w:t>
      </w:r>
    </w:p>
    <w:p>
      <w:pPr>
        <w:pStyle w:val="ListParagraph"/>
        <w:numPr>
          <w:ilvl w:val="0"/>
          <w:numId w:val="2"/>
        </w:numPr>
        <w:spacing w:after="100" w:line="276"/>
      </w:pPr>
      <w:r>
        <w:rPr>
          <w:rFonts w:ascii="Times New Roman" w:cs="Times New Roman" w:eastAsia="Times New Roman" w:hAnsi="Times New Roman"/>
          <w:b/>
          <w:bCs/>
          <w:i w:val="false"/>
          <w:iCs w:val="false"/>
          <w:sz w:val="24"/>
          <w:szCs w:val="24"/>
        </w:rPr>
        <w:t xml:space="preserve">Moderator self-dealing. </w:t>
      </w:r>
      <w:r>
        <w:rPr>
          <w:rFonts w:ascii="Times New Roman" w:cs="Times New Roman" w:eastAsia="Times New Roman" w:hAnsi="Times New Roman"/>
          <w:b w:val="false"/>
          <w:bCs w:val="false"/>
          <w:i w:val="false"/>
          <w:iCs w:val="false"/>
          <w:sz w:val="24"/>
          <w:szCs w:val="24"/>
        </w:rPr>
        <w:t xml:space="preserve">blockStaffSelfTransaction() prevents a moderator from verifying, endorsing, or scheduling an exchange in which they are a party.</w:t>
      </w:r>
    </w:p>
    <w:p>
      <w:pPr>
        <w:pStyle w:val="ListParagraph"/>
        <w:numPr>
          <w:ilvl w:val="0"/>
          <w:numId w:val="2"/>
        </w:numPr>
        <w:spacing w:after="100" w:line="276"/>
      </w:pPr>
      <w:r>
        <w:rPr>
          <w:rFonts w:ascii="Times New Roman" w:cs="Times New Roman" w:eastAsia="Times New Roman" w:hAnsi="Times New Roman"/>
          <w:b/>
          <w:bCs/>
          <w:i w:val="false"/>
          <w:iCs w:val="false"/>
          <w:sz w:val="24"/>
          <w:szCs w:val="24"/>
        </w:rPr>
        <w:t xml:space="preserve">Last administrator. </w:t>
      </w:r>
      <w:r>
        <w:rPr>
          <w:rFonts w:ascii="Times New Roman" w:cs="Times New Roman" w:eastAsia="Times New Roman" w:hAnsi="Times New Roman"/>
          <w:b w:val="false"/>
          <w:bCs w:val="false"/>
          <w:i w:val="false"/>
          <w:iCs w:val="false"/>
          <w:sz w:val="24"/>
          <w:szCs w:val="24"/>
        </w:rPr>
        <w:t xml:space="preserve">The Administrator controller counts the remaining active administrators before deactivating an account, so the platform cannot be left without one.</w:t>
      </w:r>
    </w:p>
    <w:p>
      <w:pPr>
        <w:pStyle w:val="Heading1"/>
        <w:spacing w:after="160" w:before="320"/>
      </w:pPr>
      <w:r>
        <w:rPr>
          <w:rFonts w:ascii="Times New Roman" w:cs="Times New Roman" w:eastAsia="Times New Roman" w:hAnsi="Times New Roman"/>
          <w:b/>
          <w:bCs/>
          <w:i w:val="false"/>
          <w:iCs w:val="false"/>
          <w:sz w:val="28"/>
          <w:szCs w:val="28"/>
        </w:rPr>
        <w:t xml:space="preserve">6. Basic Backend</w:t>
      </w:r>
    </w:p>
    <w:p>
      <w:pPr>
        <w:spacing w:after="160" w:line="276"/>
        <w:jc w:val="both"/>
      </w:pPr>
      <w:r>
        <w:rPr>
          <w:rFonts w:ascii="Times New Roman" w:cs="Times New Roman" w:eastAsia="Times New Roman" w:hAnsi="Times New Roman"/>
          <w:b w:val="false"/>
          <w:bCs w:val="false"/>
          <w:i w:val="false"/>
          <w:iCs w:val="false"/>
          <w:sz w:val="24"/>
          <w:szCs w:val="24"/>
        </w:rPr>
        <w:t xml:space="preserve">The backend is written in plain PHP with no framework and no Composer dependency, which keeps it deployable on shared hosting where those may be unavailable. A request passes through the layers in a fixed order, and each layer has a single responsibility.</w:t>
      </w:r>
    </w:p>
    <w:p>
      <w:pPr>
        <w:spacing w:after="0" w:before="240"/>
      </w:pPr>
      <w:r>
        <w:rPr>
          <w:rFonts w:ascii="Times New Roman" w:cs="Times New Roman" w:eastAsia="Times New Roman" w:hAnsi="Times New Roman"/>
          <w:b/>
          <w:bCs/>
          <w:i w:val="false"/>
          <w:iCs w:val="false"/>
          <w:sz w:val="24"/>
          <w:szCs w:val="24"/>
        </w:rPr>
        <w:t xml:space="preserve">Table 4</w:t>
      </w:r>
    </w:p>
    <w:p>
      <w:pPr>
        <w:spacing w:after="120"/>
      </w:pPr>
      <w:r>
        <w:rPr>
          <w:rFonts w:ascii="Times New Roman" w:cs="Times New Roman" w:eastAsia="Times New Roman" w:hAnsi="Times New Roman"/>
          <w:b w:val="false"/>
          <w:bCs w:val="false"/>
          <w:i/>
          <w:iCs/>
          <w:sz w:val="24"/>
          <w:szCs w:val="24"/>
        </w:rPr>
        <w:t xml:space="preserve">Backend Layers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5310"/>
      </w:tblGrid>
      <w:tr>
        <w:trPr>
          <w:tblHeader/>
        </w:trPr>
        <w:tc>
          <w:tcPr>
            <w:tcW w:type="dxa" w:w="155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Layer</w:t>
            </w:r>
          </w:p>
        </w:tc>
        <w:tc>
          <w:tcPr>
            <w:tcW w:type="dxa" w:w="250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Location</w:t>
            </w:r>
          </w:p>
        </w:tc>
        <w:tc>
          <w:tcPr>
            <w:tcW w:type="dxa" w:w="531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Responsibility</w:t>
            </w:r>
          </w:p>
        </w:tc>
      </w:tr>
      <w:tr>
        <w:tc>
          <w:tcPr>
            <w:tcW w:type="dxa" w:w="15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Entry point</w:t>
            </w:r>
          </w:p>
        </w:tc>
        <w:tc>
          <w:tcPr>
            <w:tcW w:type="dxa" w:w="25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index.php</w:t>
            </w:r>
          </w:p>
        </w:tc>
        <w:tc>
          <w:tcPr>
            <w:tcW w:type="dxa" w:w="53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Sets CORS and JSON headers, answers preflight requests, and dispatches to the router.</w:t>
            </w:r>
          </w:p>
        </w:tc>
      </w:tr>
      <w:tr>
        <w:tc>
          <w:tcPr>
            <w:tcW w:type="dxa" w:w="15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Routing</w:t>
            </w:r>
          </w:p>
        </w:tc>
        <w:tc>
          <w:tcPr>
            <w:tcW w:type="dxa" w:w="25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routes/api.php</w:t>
            </w:r>
          </w:p>
        </w:tc>
        <w:tc>
          <w:tcPr>
            <w:tcW w:type="dxa" w:w="53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Matches the HTTP method and path against 49 route patterns and extracts path parameters.</w:t>
            </w:r>
          </w:p>
        </w:tc>
      </w:tr>
      <w:tr>
        <w:tc>
          <w:tcPr>
            <w:tcW w:type="dxa" w:w="15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Middleware</w:t>
            </w:r>
          </w:p>
        </w:tc>
        <w:tc>
          <w:tcPr>
            <w:tcW w:type="dxa" w:w="25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middleware/auth_middleware.php</w:t>
            </w:r>
          </w:p>
        </w:tc>
        <w:tc>
          <w:tcPr>
            <w:tcW w:type="dxa" w:w="53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Validates the token and enforces the required role before the controller runs.</w:t>
            </w:r>
          </w:p>
        </w:tc>
      </w:tr>
      <w:tr>
        <w:tc>
          <w:tcPr>
            <w:tcW w:type="dxa" w:w="15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Controllers</w:t>
            </w:r>
          </w:p>
        </w:tc>
        <w:tc>
          <w:tcPr>
            <w:tcW w:type="dxa" w:w="25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controllers/, eight classes</w:t>
            </w:r>
          </w:p>
        </w:tc>
        <w:tc>
          <w:tcPr>
            <w:tcW w:type="dxa" w:w="53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Validate input, apply business rules, and coordinate models and notifications.</w:t>
            </w:r>
          </w:p>
        </w:tc>
      </w:tr>
      <w:tr>
        <w:tc>
          <w:tcPr>
            <w:tcW w:type="dxa" w:w="15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Models</w:t>
            </w:r>
          </w:p>
        </w:tc>
        <w:tc>
          <w:tcPr>
            <w:tcW w:type="dxa" w:w="25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models/, eight classes</w:t>
            </w:r>
          </w:p>
        </w:tc>
        <w:tc>
          <w:tcPr>
            <w:tcW w:type="dxa" w:w="53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Execute prepared SQL statements and return plain arrays.</w:t>
            </w:r>
          </w:p>
        </w:tc>
      </w:tr>
      <w:tr>
        <w:tc>
          <w:tcPr>
            <w:tcW w:type="dxa" w:w="15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Helpers</w:t>
            </w:r>
          </w:p>
        </w:tc>
        <w:tc>
          <w:tcPr>
            <w:tcW w:type="dxa" w:w="25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helpers/</w:t>
            </w:r>
          </w:p>
        </w:tc>
        <w:tc>
          <w:tcPr>
            <w:tcW w:type="dxa" w:w="53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Provide JSON responses, validation and sanitisation, token functions, and photo upload handling.</w:t>
            </w:r>
          </w:p>
        </w:tc>
      </w:tr>
      <w:tr>
        <w:tc>
          <w:tcPr>
            <w:tcW w:type="dxa" w:w="155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Configuration</w:t>
            </w:r>
          </w:p>
        </w:tc>
        <w:tc>
          <w:tcPr>
            <w:tcW w:type="dxa" w:w="250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config/</w:t>
            </w:r>
          </w:p>
        </w:tc>
        <w:tc>
          <w:tcPr>
            <w:tcW w:type="dxa" w:w="531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Hold the PDO connection factory and the shared role, status, and limit constants.</w:t>
            </w:r>
          </w:p>
        </w:tc>
      </w:tr>
    </w:tbl>
    <w:p>
      <w:pPr>
        <w:spacing w:after="160" w:line="276"/>
        <w:jc w:val="both"/>
      </w:pPr>
      <w:r>
        <w:rPr>
          <w:rFonts w:ascii="Times New Roman" w:cs="Times New Roman" w:eastAsia="Times New Roman" w:hAnsi="Times New Roman"/>
          <w:b w:val="false"/>
          <w:bCs w:val="false"/>
          <w:i w:val="false"/>
          <w:iCs w:val="false"/>
          <w:sz w:val="24"/>
          <w:szCs w:val="24"/>
        </w:rPr>
        <w:t xml:space="preserve">Roles, statuses, and numeric limits are defined once in config/constants.php and referenced everywhere else, so changing a status label propagates through controllers, models, and middleware without a search through the codebase.</w:t>
      </w:r>
    </w:p>
    <w:p>
      <w:pPr>
        <w:pStyle w:val="Heading2"/>
        <w:spacing w:after="120" w:before="240"/>
      </w:pPr>
      <w:r>
        <w:rPr>
          <w:rFonts w:ascii="Times New Roman" w:cs="Times New Roman" w:eastAsia="Times New Roman" w:hAnsi="Times New Roman"/>
          <w:b/>
          <w:bCs/>
          <w:i w:val="false"/>
          <w:iCs w:val="false"/>
          <w:sz w:val="24"/>
          <w:szCs w:val="24"/>
        </w:rPr>
        <w:t xml:space="preserve">6.1 Response Format</w:t>
      </w:r>
    </w:p>
    <w:p>
      <w:pPr>
        <w:spacing w:after="160" w:line="276"/>
        <w:jc w:val="both"/>
      </w:pPr>
      <w:r>
        <w:rPr>
          <w:rFonts w:ascii="Times New Roman" w:cs="Times New Roman" w:eastAsia="Times New Roman" w:hAnsi="Times New Roman"/>
          <w:b w:val="false"/>
          <w:bCs w:val="false"/>
          <w:i w:val="false"/>
          <w:iCs w:val="false"/>
          <w:sz w:val="24"/>
          <w:szCs w:val="24"/>
        </w:rPr>
        <w:t xml:space="preserve">Every endpoint returns the same JSON envelope. A successful call returns a success flag set to true, a readable message, and a data member carrying the payload, with status 200 or 201. A failed call returns the flag set to false, a message, and, for validation failures, an errors object keyed by field name. Status codes are used consistently: 400 for a malformed request, 401 when authentication is missing or invalid, 403 when the role is insufficient, 404 when a record does not exist or is not visible to the caller, 409 when the request conflicts with the current state, and 422 when validation fails.</w:t>
      </w:r>
    </w:p>
    <w:p>
      <w:pPr>
        <w:pStyle w:val="Heading2"/>
        <w:spacing w:after="120" w:before="240"/>
      </w:pPr>
      <w:r>
        <w:rPr>
          <w:rFonts w:ascii="Times New Roman" w:cs="Times New Roman" w:eastAsia="Times New Roman" w:hAnsi="Times New Roman"/>
          <w:b/>
          <w:bCs/>
          <w:i w:val="false"/>
          <w:iCs w:val="false"/>
          <w:sz w:val="24"/>
          <w:szCs w:val="24"/>
        </w:rPr>
        <w:t xml:space="preserve">6.2 Endpoint Groups</w:t>
      </w:r>
    </w:p>
    <w:p>
      <w:pPr>
        <w:spacing w:after="160" w:line="276"/>
        <w:jc w:val="both"/>
      </w:pPr>
      <w:r>
        <w:rPr>
          <w:rFonts w:ascii="Times New Roman" w:cs="Times New Roman" w:eastAsia="Times New Roman" w:hAnsi="Times New Roman"/>
          <w:b w:val="false"/>
          <w:bCs w:val="false"/>
          <w:i w:val="false"/>
          <w:iCs w:val="false"/>
          <w:sz w:val="24"/>
          <w:szCs w:val="24"/>
        </w:rPr>
        <w:t xml:space="preserve">The API exposes 49 routes. Table 5 summarises them by functional group and the access level each requires.</w:t>
      </w:r>
    </w:p>
    <w:p>
      <w:pPr>
        <w:spacing w:after="0" w:before="240"/>
      </w:pPr>
      <w:r>
        <w:rPr>
          <w:rFonts w:ascii="Times New Roman" w:cs="Times New Roman" w:eastAsia="Times New Roman" w:hAnsi="Times New Roman"/>
          <w:b/>
          <w:bCs/>
          <w:i w:val="false"/>
          <w:iCs w:val="false"/>
          <w:sz w:val="24"/>
          <w:szCs w:val="24"/>
        </w:rPr>
        <w:t xml:space="preserve">Table 5</w:t>
      </w:r>
    </w:p>
    <w:p>
      <w:pPr>
        <w:spacing w:after="120"/>
      </w:pPr>
      <w:r>
        <w:rPr>
          <w:rFonts w:ascii="Times New Roman" w:cs="Times New Roman" w:eastAsia="Times New Roman" w:hAnsi="Times New Roman"/>
          <w:b w:val="false"/>
          <w:bCs w:val="false"/>
          <w:i/>
          <w:iCs/>
          <w:sz w:val="24"/>
          <w:szCs w:val="24"/>
        </w:rPr>
        <w:t xml:space="preserve">REST API Endpoint Groups and Access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900"/>
        <w:gridCol w:w="2200"/>
        <w:gridCol w:w="4160"/>
      </w:tblGrid>
      <w:tr>
        <w:trPr>
          <w:tblHeader/>
        </w:trPr>
        <w:tc>
          <w:tcPr>
            <w:tcW w:type="dxa" w:w="210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Group</w:t>
            </w:r>
          </w:p>
        </w:tc>
        <w:tc>
          <w:tcPr>
            <w:tcW w:type="dxa" w:w="90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Routes</w:t>
            </w:r>
          </w:p>
        </w:tc>
        <w:tc>
          <w:tcPr>
            <w:tcW w:type="dxa" w:w="220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Access</w:t>
            </w:r>
          </w:p>
        </w:tc>
        <w:tc>
          <w:tcPr>
            <w:tcW w:type="dxa" w:w="4160"/>
            <w:tcBorders>
              <w:top w:val="single" w:color="000000" w:sz="6"/>
              <w:left w:val="none" w:color="FFFFFF" w:sz="0"/>
              <w:bottom w:val="single" w:color="000000" w:sz="6"/>
              <w:right w:val="none" w:color="FFFFFF" w:sz="0"/>
            </w:tcBorders>
            <w:shd w:fill="F2F2F2" w:color="auto" w:val="clear"/>
            <w:tcMar>
              <w:top w:type="dxa" w:w="60"/>
              <w:left w:type="dxa" w:w="80"/>
              <w:bottom w:type="dxa" w:w="60"/>
              <w:right w:type="dxa" w:w="80"/>
            </w:tcMar>
            <w:vAlign w:val="top"/>
          </w:tcPr>
          <w:p>
            <w:pPr>
              <w:spacing w:after="0" w:line="240"/>
            </w:pPr>
            <w:r>
              <w:rPr>
                <w:rFonts w:ascii="Times New Roman" w:cs="Times New Roman" w:eastAsia="Times New Roman" w:hAnsi="Times New Roman"/>
                <w:b/>
                <w:bCs/>
                <w:i w:val="false"/>
                <w:iCs w:val="false"/>
                <w:sz w:val="22"/>
                <w:szCs w:val="22"/>
              </w:rPr>
              <w:t xml:space="preserve">Representative Endpoint</w:t>
            </w:r>
          </w:p>
        </w:tc>
      </w:tr>
      <w:t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Authentication</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3</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Public</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POST /api/auth/login</w:t>
            </w:r>
          </w:p>
        </w:tc>
      </w:tr>
      <w:t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Public catalogue</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2</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Public</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GET /api/listings</w:t>
            </w:r>
          </w:p>
        </w:tc>
      </w:tr>
      <w:t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Taxonomy</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3</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Public</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GET /api/categories</w:t>
            </w:r>
          </w:p>
        </w:tc>
      </w:tr>
      <w:t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Member profile</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6</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Authenticated</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GET /api/user/dashboard</w:t>
            </w:r>
          </w:p>
        </w:tc>
      </w:tr>
      <w:t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Listing management</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6</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Customer, owner only</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POST /api/listings</w:t>
            </w:r>
          </w:p>
        </w:tc>
      </w:tr>
      <w:t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Exchange requests</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5</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Customer, participants</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PUT /api/exchanges/{id}/accept</w:t>
            </w:r>
          </w:p>
        </w:tc>
      </w:tr>
      <w:t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Transactions</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3</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Participants and staff</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PUT /api/transactions/{id}/confirm</w:t>
            </w:r>
          </w:p>
        </w:tc>
      </w:tr>
      <w:t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Moderation</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7</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Staff and Administrator</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PUT /api/staff/listings/{id}/verify</w:t>
            </w:r>
          </w:p>
        </w:tc>
      </w:tr>
      <w:t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User administration</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4</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Administrator</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PUT /api/admin/users/{id}/status</w:t>
            </w:r>
          </w:p>
        </w:tc>
      </w:tr>
      <w:t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Taxonomy administration</w:t>
            </w:r>
          </w:p>
        </w:tc>
        <w:tc>
          <w:tcPr>
            <w:tcW w:type="dxa" w:w="9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6</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Administrator</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POST /api/admin/categories</w:t>
            </w:r>
          </w:p>
        </w:tc>
      </w:tr>
      <w:tr>
        <w:tc>
          <w:tcPr>
            <w:tcW w:type="dxa" w:w="210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Reporting and audit</w:t>
            </w:r>
          </w:p>
        </w:tc>
        <w:tc>
          <w:tcPr>
            <w:tcW w:type="dxa" w:w="90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4</w:t>
            </w:r>
          </w:p>
        </w:tc>
        <w:tc>
          <w:tcPr>
            <w:tcW w:type="dxa" w:w="220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Administrator</w:t>
            </w:r>
          </w:p>
        </w:tc>
        <w:tc>
          <w:tcPr>
            <w:tcW w:type="dxa" w:w="4160"/>
            <w:tcBorders>
              <w:top w:val="none" w:color="FFFFFF" w:sz="0"/>
              <w:left w:val="none" w:color="FFFFFF" w:sz="0"/>
              <w:bottom w:val="single" w:color="000000" w:sz="6"/>
              <w:right w:val="none" w:color="FFFFFF" w:sz="0"/>
            </w:tcBorders>
            <w:tcMar>
              <w:top w:type="dxa" w:w="60"/>
              <w:left w:type="dxa" w:w="80"/>
              <w:bottom w:type="dxa" w:w="60"/>
              <w:right w:type="dxa" w:w="80"/>
            </w:tcMar>
            <w:vAlign w:val="top"/>
          </w:tcPr>
          <w:p>
            <w:pPr>
              <w:spacing w:after="0" w:line="240"/>
            </w:pPr>
            <w:r>
              <w:rPr>
                <w:rFonts w:ascii="Times New Roman" w:cs="Times New Roman" w:eastAsia="Times New Roman" w:hAnsi="Times New Roman"/>
                <w:b w:val="false"/>
                <w:bCs w:val="false"/>
                <w:i w:val="false"/>
                <w:iCs w:val="false"/>
                <w:sz w:val="22"/>
                <w:szCs w:val="22"/>
              </w:rPr>
              <w:t xml:space="preserve">GET /api/admin/reports/summary</w:t>
            </w:r>
          </w:p>
        </w:tc>
      </w:tr>
    </w:tbl>
    <w:p>
      <w:pPr>
        <w:pStyle w:val="Heading2"/>
        <w:spacing w:after="120" w:before="240"/>
      </w:pPr>
      <w:r>
        <w:rPr>
          <w:rFonts w:ascii="Times New Roman" w:cs="Times New Roman" w:eastAsia="Times New Roman" w:hAnsi="Times New Roman"/>
          <w:b/>
          <w:bCs/>
          <w:i w:val="false"/>
          <w:iCs w:val="false"/>
          <w:sz w:val="24"/>
          <w:szCs w:val="24"/>
        </w:rPr>
        <w:t xml:space="preserve">6.3 Verification</w:t>
      </w:r>
    </w:p>
    <w:p>
      <w:pPr>
        <w:spacing w:after="160" w:line="276"/>
        <w:jc w:val="both"/>
      </w:pPr>
      <w:r>
        <w:rPr>
          <w:rFonts w:ascii="Times New Roman" w:cs="Times New Roman" w:eastAsia="Times New Roman" w:hAnsi="Times New Roman"/>
          <w:b w:val="false"/>
          <w:bCs w:val="false"/>
          <w:i w:val="false"/>
          <w:iCs w:val="false"/>
          <w:sz w:val="24"/>
          <w:szCs w:val="24"/>
        </w:rPr>
        <w:t xml:space="preserve">The backend was deployed to a local Apache, MySQL, and PHP environment and exercised against a live database rather than inspected statically. The full member journey was executed through the HTTP interface: registration, Administrator approval, listing submission with a photograph, moderator verification, exchange request, endorsement, owner acceptance, transaction approval, handover scheduling and rescheduling, dual receipt confirmation, and finally the summary report and audit log. Twenty-seven checks were run, covering both the accepted path and the rejected path for each rule, and all twenty-seven passed.</w:t>
      </w:r>
    </w:p>
    <w:p>
      <w:pPr>
        <w:spacing w:after="160" w:line="276"/>
        <w:jc w:val="both"/>
      </w:pPr>
      <w:r>
        <w:rPr>
          <w:rFonts w:ascii="Times New Roman" w:cs="Times New Roman" w:eastAsia="Times New Roman" w:hAnsi="Times New Roman"/>
          <w:b w:val="false"/>
          <w:bCs w:val="false"/>
          <w:i w:val="false"/>
          <w:iCs w:val="false"/>
          <w:sz w:val="24"/>
          <w:szCs w:val="24"/>
        </w:rPr>
        <w:t xml:space="preserve">Database state was inspected afterwards to confirm the side effects were applied and not merely reported. The transaction reached the completed state with a reschedule count of one, both handover confirmations were recorded, both listings moved to archived, the exchange count of both members increased by one, and twelve notifications were dispatched across the workflow.</w:t>
      </w:r>
    </w:p>
    <w:sectPr>
      <w:headerReference w:type="default" r:id="rId7"/>
      <w:headerReference w:type="first" r:id="rId8"/>
      <w:footerReference w:type="default" r:id="rId9"/>
      <w:footerReference w:type="first" r:id="rId10"/>
      <w:pgSz w:w="12240" w:h="15840" w:orient="portrait"/>
      <w:pgMar w:top="1440" w:right="1440" w:bottom="1440" w:left="1440"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iCs/>
        <w:sz w:val="20"/>
        <w:szCs w:val="20"/>
      </w:rPr>
      <w:t xml:space="preserve">BookSwap: Phase 2 Database and Backend Implementation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BookSwap Phase 2: Database and Backend Implementation</dc:title>
  <dc:creator>Group 3, Section AM6</dc:creator>
  <cp:lastModifiedBy>Un-named</cp:lastModifiedBy>
  <cp:revision>1</cp:revision>
  <dcterms:created xsi:type="dcterms:W3CDTF">2026-09-11T15:55:00.377Z</dcterms:created>
  <dcterms:modified xsi:type="dcterms:W3CDTF">2026-09-11T15:55:00.377Z</dcterms:modified>
</cp:coreProperties>
</file>

<file path=docProps/custom.xml><?xml version="1.0" encoding="utf-8"?>
<Properties xmlns="http://schemas.openxmlformats.org/officeDocument/2006/custom-properties" xmlns:vt="http://schemas.openxmlformats.org/officeDocument/2006/docPropsVTypes"/>
</file>