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BELAJAR: TOKSIKOLOGI &amp; BIOMONITORING</w:t>
      </w:r>
    </w:p>
    <w:p>
      <w:r>
        <w:rPr>
          <w:sz w:val="26"/>
        </w:rPr>
        <w:t>Bagian 1 sampai 3A: Prinsip dasar, regulasi Indonesia, dan logam berat</w:t>
      </w:r>
    </w:p>
    <w:p>
      <w:r>
        <w:rPr>
          <w:i/>
          <w:sz w:val="19"/>
        </w:rPr>
        <w:t>Catatan persiapan ujian board Kedokteran Okupasi (Sp.Ok). Disusun dari jawaban NotebookLM (notebook "Toxicology - Heavy metals", 56 sumber) mengikuti outline yang diberikan. Topik 3B sampai 3F, formula tambahan, dan quick table zat lain menyusul dari notebook lain.</w:t>
      </w:r>
    </w:p>
    <w:p/>
    <w:p>
      <w:r>
        <w:rPr>
          <w:b/>
          <w:sz w:val="24"/>
        </w:rPr>
        <w:t>Daftar isi</w:t>
      </w:r>
    </w:p>
    <w:p/>
    <w:p>
      <w:pPr>
        <w:spacing w:after="20"/>
        <w:ind w:left="0"/>
      </w:pPr>
      <w:hyperlink w:anchor="toc_000" w:history="1">
        <w:r>
          <w:rPr>
            <w:b/>
            <w:sz w:val="20"/>
            <w:color w:val="1F3864"/>
          </w:rPr>
          <w:t xml:space="preserve">1. BAGIAN AWAL: PRINSIP DASAR</w:t>
        </w:r>
      </w:hyperlink>
    </w:p>
    <w:p>
      <w:pPr>
        <w:spacing w:after="20"/>
        <w:ind w:left="454"/>
      </w:pPr>
      <w:hyperlink w:anchor="toc_001" w:history="1">
        <w:r>
          <w:rPr>
            <w:sz w:val="19"/>
            <w:color w:val="1F3864"/>
          </w:rPr>
          <w:t xml:space="preserve">1.1 Dosis-respons</w:t>
        </w:r>
      </w:hyperlink>
    </w:p>
    <w:p>
      <w:pPr>
        <w:spacing w:after="20"/>
        <w:ind w:left="454"/>
      </w:pPr>
      <w:hyperlink w:anchor="toc_002" w:history="1">
        <w:r>
          <w:rPr>
            <w:sz w:val="19"/>
            <w:color w:val="1F3864"/>
          </w:rPr>
          <w:t xml:space="preserve">1.2 LD50 dan LC50</w:t>
        </w:r>
      </w:hyperlink>
    </w:p>
    <w:p>
      <w:pPr>
        <w:spacing w:after="20"/>
        <w:ind w:left="454"/>
      </w:pPr>
      <w:hyperlink w:anchor="toc_003" w:history="1">
        <w:r>
          <w:rPr>
            <w:sz w:val="19"/>
            <w:color w:val="1F3864"/>
          </w:rPr>
          <w:t xml:space="preserve">1.3 NAB/TLV</w:t>
        </w:r>
      </w:hyperlink>
    </w:p>
    <w:p>
      <w:pPr>
        <w:spacing w:after="20"/>
        <w:ind w:left="454"/>
      </w:pPr>
      <w:hyperlink w:anchor="toc_004" w:history="1">
        <w:r>
          <w:rPr>
            <w:sz w:val="19"/>
            <w:color w:val="1F3864"/>
          </w:rPr>
          <w:t xml:space="preserve">1.4 TWA dan penyesuaian shift panjang</w:t>
        </w:r>
      </w:hyperlink>
    </w:p>
    <w:p>
      <w:pPr>
        <w:spacing w:after="20"/>
        <w:ind w:left="454"/>
      </w:pPr>
      <w:hyperlink w:anchor="toc_005" w:history="1">
        <w:r>
          <w:rPr>
            <w:sz w:val="19"/>
            <w:color w:val="1F3864"/>
          </w:rPr>
          <w:t xml:space="preserve">1.5 Campuran: rumus unity (aditif)</w:t>
        </w:r>
      </w:hyperlink>
    </w:p>
    <w:p>
      <w:pPr>
        <w:spacing w:after="20"/>
        <w:ind w:left="454"/>
      </w:pPr>
      <w:hyperlink w:anchor="toc_006" w:history="1">
        <w:r>
          <w:rPr>
            <w:sz w:val="19"/>
            <w:color w:val="1F3864"/>
          </w:rPr>
          <w:t xml:space="preserve">1.6 Biomarker</w:t>
        </w:r>
      </w:hyperlink>
    </w:p>
    <w:p>
      <w:pPr>
        <w:spacing w:after="20"/>
        <w:ind w:left="454"/>
      </w:pPr>
      <w:hyperlink w:anchor="toc_007" w:history="1">
        <w:r>
          <w:rPr>
            <w:sz w:val="19"/>
            <w:color w:val="1F3864"/>
          </w:rPr>
          <w:t xml:space="preserve">1.7 BEI</w:t>
        </w:r>
      </w:hyperlink>
    </w:p>
    <w:p>
      <w:pPr>
        <w:spacing w:after="20"/>
        <w:ind w:left="454"/>
      </w:pPr>
      <w:hyperlink w:anchor="toc_008" w:history="1">
        <w:r>
          <w:rPr>
            <w:sz w:val="19"/>
            <w:color w:val="1F3864"/>
          </w:rPr>
          <w:t xml:space="preserve">1.8 Koreksi urin (kreatinin dan berat jenis)</w:t>
        </w:r>
      </w:hyperlink>
    </w:p>
    <w:p>
      <w:pPr>
        <w:spacing w:after="20"/>
        <w:ind w:left="454"/>
      </w:pPr>
      <w:hyperlink w:anchor="toc_009" w:history="1">
        <w:r>
          <w:rPr>
            <w:sz w:val="19"/>
            <w:color w:val="1F3864"/>
          </w:rPr>
          <w:t xml:space="preserve">1.9 Biotransformasi</w:t>
        </w:r>
      </w:hyperlink>
    </w:p>
    <w:p>
      <w:pPr>
        <w:spacing w:after="20"/>
        <w:ind w:left="454"/>
      </w:pPr>
      <w:hyperlink w:anchor="toc_010" w:history="1">
        <w:r>
          <w:rPr>
            <w:sz w:val="19"/>
            <w:color w:val="1F3864"/>
          </w:rPr>
          <w:t xml:space="preserve">1.10 Toksikokinetik umum</w:t>
        </w:r>
      </w:hyperlink>
    </w:p>
    <w:p>
      <w:pPr>
        <w:spacing w:after="20"/>
        <w:ind w:left="454"/>
      </w:pPr>
      <w:hyperlink w:anchor="toc_011" w:history="1">
        <w:r>
          <w:rPr>
            <w:sz w:val="19"/>
            <w:color w:val="1F3864"/>
          </w:rPr>
          <w:t xml:space="preserve">1.11 Mekanisme toksisitas</w:t>
        </w:r>
      </w:hyperlink>
    </w:p>
    <w:p>
      <w:pPr>
        <w:spacing w:after="20"/>
        <w:ind w:left="454"/>
      </w:pPr>
      <w:hyperlink w:anchor="toc_012" w:history="1">
        <w:r>
          <w:rPr>
            <w:sz w:val="19"/>
            <w:color w:val="1F3864"/>
          </w:rPr>
          <w:t xml:space="preserve">1.12 Klasifikasi karsinogen</w:t>
        </w:r>
      </w:hyperlink>
    </w:p>
    <w:p>
      <w:pPr>
        <w:spacing w:after="20"/>
        <w:ind w:left="0"/>
      </w:pPr>
      <w:hyperlink w:anchor="toc_013" w:history="1">
        <w:r>
          <w:rPr>
            <w:b/>
            <w:sz w:val="20"/>
            <w:color w:val="1F3864"/>
          </w:rPr>
          <w:t xml:space="preserve">2. REGULASI INDONESIA</w:t>
        </w:r>
      </w:hyperlink>
    </w:p>
    <w:p>
      <w:pPr>
        <w:spacing w:after="20"/>
        <w:ind w:left="454"/>
      </w:pPr>
      <w:hyperlink w:anchor="toc_014" w:history="1">
        <w:r>
          <w:rPr>
            <w:sz w:val="19"/>
            <w:color w:val="1F3864"/>
          </w:rPr>
          <w:t xml:space="preserve">2.1 Permenaker No. 5 Tahun 2018 (K3 lingkungan kerja, NAB, IPB) dan Kepmenaker 187/1999</w:t>
        </w:r>
      </w:hyperlink>
    </w:p>
    <w:p>
      <w:pPr>
        <w:spacing w:after="20"/>
        <w:ind w:left="454"/>
      </w:pPr>
      <w:hyperlink w:anchor="toc_015" w:history="1">
        <w:r>
          <w:rPr>
            <w:sz w:val="19"/>
            <w:color w:val="1F3864"/>
          </w:rPr>
          <w:t xml:space="preserve">2.2 PAK: Perpres 7/2019 dan Permenkes 11/2022</w:t>
        </w:r>
      </w:hyperlink>
    </w:p>
    <w:p>
      <w:pPr>
        <w:spacing w:after="20"/>
        <w:ind w:left="454"/>
      </w:pPr>
      <w:hyperlink w:anchor="toc_016" w:history="1">
        <w:r>
          <w:rPr>
            <w:sz w:val="19"/>
            <w:color w:val="1F3864"/>
          </w:rPr>
          <w:t xml:space="preserve">2.3 Status PP 88/2019 dan PP 28/2024</w:t>
        </w:r>
      </w:hyperlink>
    </w:p>
    <w:p>
      <w:pPr>
        <w:spacing w:after="20"/>
        <w:ind w:left="454"/>
      </w:pPr>
      <w:hyperlink w:anchor="toc_017" w:history="1">
        <w:r>
          <w:rPr>
            <w:sz w:val="19"/>
            <w:color w:val="1F3864"/>
          </w:rPr>
          <w:t xml:space="preserve">2.4 ARKL: Pedoman Ditjen PP&amp;PL Kemenkes 2012</w:t>
        </w:r>
      </w:hyperlink>
    </w:p>
    <w:p>
      <w:pPr>
        <w:spacing w:after="20"/>
        <w:ind w:left="454"/>
      </w:pPr>
      <w:hyperlink w:anchor="toc_018" w:history="1">
        <w:r>
          <w:rPr>
            <w:sz w:val="19"/>
            <w:color w:val="1F3864"/>
          </w:rPr>
          <w:t xml:space="preserve">2.5 Regulasi lain (belum tercakup di notebook ini)</w:t>
        </w:r>
      </w:hyperlink>
    </w:p>
    <w:p>
      <w:pPr>
        <w:spacing w:after="20"/>
        <w:ind w:left="0"/>
      </w:pPr>
      <w:hyperlink w:anchor="toc_019" w:history="1">
        <w:r>
          <w:rPr>
            <w:b/>
            <w:sz w:val="20"/>
            <w:color w:val="1F3864"/>
          </w:rPr>
          <w:t xml:space="preserve">3. BAGIAN TENGAH: TEMPLATE PER ZAT (3A. LOGAM BERAT)</w:t>
        </w:r>
      </w:hyperlink>
    </w:p>
    <w:p>
      <w:pPr>
        <w:spacing w:after="20"/>
        <w:ind w:left="454"/>
      </w:pPr>
      <w:hyperlink w:anchor="toc_020" w:history="1">
        <w:r>
          <w:rPr>
            <w:sz w:val="19"/>
            <w:color w:val="1F3864"/>
          </w:rPr>
          <w:t xml:space="preserve">3A.1 Kromium (Cr VI vs Cr III)</w:t>
        </w:r>
      </w:hyperlink>
    </w:p>
    <w:p>
      <w:pPr>
        <w:spacing w:after="20"/>
        <w:ind w:left="454"/>
      </w:pPr>
      <w:hyperlink w:anchor="toc_021" w:history="1">
        <w:r>
          <w:rPr>
            <w:sz w:val="19"/>
            <w:color w:val="1F3864"/>
          </w:rPr>
          <w:t xml:space="preserve">3A.2 Merkuri (Hg)</w:t>
        </w:r>
      </w:hyperlink>
    </w:p>
    <w:p>
      <w:pPr>
        <w:spacing w:after="20"/>
        <w:ind w:left="454"/>
      </w:pPr>
      <w:hyperlink w:anchor="toc_022" w:history="1">
        <w:r>
          <w:rPr>
            <w:sz w:val="19"/>
            <w:color w:val="1F3864"/>
          </w:rPr>
          <w:t xml:space="preserve">3A.3 Arsen (As)</w:t>
        </w:r>
      </w:hyperlink>
    </w:p>
    <w:p>
      <w:pPr>
        <w:spacing w:after="20"/>
        <w:ind w:left="454"/>
      </w:pPr>
      <w:hyperlink w:anchor="toc_023" w:history="1">
        <w:r>
          <w:rPr>
            <w:sz w:val="19"/>
            <w:color w:val="1F3864"/>
          </w:rPr>
          <w:t xml:space="preserve">3A.4 Timbal (Pb)</w:t>
        </w:r>
      </w:hyperlink>
    </w:p>
    <w:p>
      <w:pPr>
        <w:spacing w:after="20"/>
        <w:ind w:left="454"/>
      </w:pPr>
      <w:hyperlink w:anchor="toc_024" w:history="1">
        <w:r>
          <w:rPr>
            <w:sz w:val="19"/>
            <w:color w:val="1F3864"/>
          </w:rPr>
          <w:t xml:space="preserve">3A.5 Kadmium (Cd)</w:t>
        </w:r>
      </w:hyperlink>
    </w:p>
    <w:p>
      <w:pPr>
        <w:spacing w:after="20"/>
        <w:ind w:left="454"/>
      </w:pPr>
      <w:hyperlink w:anchor="toc_025" w:history="1">
        <w:r>
          <w:rPr>
            <w:sz w:val="19"/>
            <w:color w:val="1F3864"/>
          </w:rPr>
          <w:t xml:space="preserve">3A.6 Mangan (Mn)</w:t>
        </w:r>
      </w:hyperlink>
    </w:p>
    <w:p>
      <w:pPr>
        <w:spacing w:after="20"/>
        <w:ind w:left="454"/>
      </w:pPr>
      <w:hyperlink w:anchor="toc_026" w:history="1">
        <w:r>
          <w:rPr>
            <w:sz w:val="19"/>
            <w:color w:val="1F3864"/>
          </w:rPr>
          <w:t xml:space="preserve">3A.7 Nikel (Ni)</w:t>
        </w:r>
      </w:hyperlink>
    </w:p>
    <w:p>
      <w:pPr>
        <w:spacing w:after="20"/>
        <w:ind w:left="454"/>
      </w:pPr>
      <w:hyperlink w:anchor="toc_027" w:history="1">
        <w:r>
          <w:rPr>
            <w:sz w:val="19"/>
            <w:color w:val="1F3864"/>
          </w:rPr>
          <w:t xml:space="preserve">3A.8 Berilium (Be)</w:t>
        </w:r>
      </w:hyperlink>
    </w:p>
    <w:p>
      <w:pPr>
        <w:spacing w:after="20"/>
        <w:ind w:left="454"/>
      </w:pPr>
      <w:hyperlink w:anchor="toc_028" w:history="1">
        <w:r>
          <w:rPr>
            <w:sz w:val="19"/>
            <w:color w:val="1F3864"/>
          </w:rPr>
          <w:t xml:space="preserve">3A.9 Kobalt dan hard metal</w:t>
        </w:r>
      </w:hyperlink>
    </w:p>
    <w:p>
      <w:pPr>
        <w:spacing w:after="20"/>
        <w:ind w:left="454"/>
      </w:pPr>
      <w:hyperlink w:anchor="toc_029" w:history="1">
        <w:r>
          <w:rPr>
            <w:sz w:val="19"/>
            <w:color w:val="1F3864"/>
          </w:rPr>
          <w:t xml:space="preserve">3A.10 Seng / zinc (metal fume fever)</w:t>
        </w:r>
      </w:hyperlink>
    </w:p>
    <w:p>
      <w:pPr>
        <w:spacing w:after="20"/>
        <w:ind w:left="454"/>
      </w:pPr>
      <w:hyperlink w:anchor="toc_030" w:history="1">
        <w:r>
          <w:rPr>
            <w:sz w:val="19"/>
            <w:color w:val="1F3864"/>
          </w:rPr>
          <w:t xml:space="preserve">3A.11 Talium (Tl)</w:t>
        </w:r>
      </w:hyperlink>
    </w:p>
    <w:p>
      <w:pPr>
        <w:spacing w:after="20"/>
        <w:ind w:left="0"/>
      </w:pPr>
      <w:hyperlink w:anchor="toc_031" w:history="1">
        <w:r>
          <w:rPr>
            <w:b/>
            <w:sz w:val="20"/>
            <w:color w:val="1F3864"/>
          </w:rPr>
          <w:t xml:space="preserve">4. FORMULA WAJIB HITUNG</w:t>
        </w:r>
      </w:hyperlink>
    </w:p>
    <w:p>
      <w:pPr>
        <w:spacing w:after="20"/>
        <w:ind w:left="0"/>
      </w:pPr>
      <w:hyperlink w:anchor="toc_032" w:history="1">
        <w:r>
          <w:rPr>
            <w:b/>
            <w:sz w:val="20"/>
            <w:color w:val="1F3864"/>
          </w:rPr>
          <w:t xml:space="preserve">5. QUICK TABLE AKHIR (3A. LOGAM BERAT)</w:t>
        </w:r>
      </w:hyperlink>
    </w:p>
    <w:p>
      <w:pPr>
        <w:spacing w:after="20"/>
        <w:ind w:left="0"/>
      </w:pPr>
      <w:hyperlink w:anchor="toc_033" w:history="1">
        <w:r>
          <w:rPr>
            <w:b/>
            <w:sz w:val="20"/>
            <w:color w:val="1F3864"/>
          </w:rPr>
          <w:t xml:space="preserve">6. BAGIAN PENUTUP (3A. LOGAM BERAT)</w:t>
        </w:r>
      </w:hyperlink>
    </w:p>
    <w:p>
      <w:pPr>
        <w:spacing w:after="20"/>
        <w:ind w:left="454"/>
      </w:pPr>
      <w:hyperlink w:anchor="toc_034" w:history="1">
        <w:r>
          <w:rPr>
            <w:sz w:val="19"/>
            <w:color w:val="1F3864"/>
          </w:rPr>
          <w:t xml:space="preserve">6.1 Lafaz OSCE: satu kalimat per zat prioritas</w:t>
        </w:r>
      </w:hyperlink>
    </w:p>
    <w:p>
      <w:pPr>
        <w:spacing w:after="20"/>
        <w:ind w:left="454"/>
      </w:pPr>
      <w:hyperlink w:anchor="toc_035" w:history="1">
        <w:r>
          <w:rPr>
            <w:sz w:val="19"/>
            <w:color w:val="1F3864"/>
          </w:rPr>
          <w:t xml:space="preserve">6.2 Vignette MCQ dan jawaban (3A)</w:t>
        </w:r>
      </w:hyperlink>
    </w:p>
    <w:p>
      <w:pPr>
        <w:spacing w:after="20"/>
        <w:ind w:left="454"/>
      </w:pPr>
      <w:hyperlink w:anchor="toc_036" w:history="1">
        <w:r>
          <w:rPr>
            <w:sz w:val="19"/>
            <w:color w:val="1F3864"/>
          </w:rPr>
          <w:t xml:space="preserve">6.3 Vignette hitung ARKL (data hipotetis)</w:t>
        </w:r>
      </w:hyperlink>
    </w:p>
    <w:p>
      <w:pPr>
        <w:spacing w:after="20"/>
        <w:ind w:left="0"/>
      </w:pPr>
      <w:hyperlink w:anchor="toc_037" w:history="1">
        <w:r>
          <w:rPr>
            <w:b/>
            <w:sz w:val="20"/>
            <w:color w:val="1F3864"/>
          </w:rPr>
          <w:t xml:space="preserve">7. CATATAN KUALITAS DAN HAL YANG PERLU DICEK</w:t>
        </w:r>
      </w:hyperlink>
    </w:p>
    <w:p>
      <w:r>
        <w:br w:type="page"/>
      </w:r>
    </w:p>
    <w:p>
      <w:pPr>
        <w:pStyle w:val="Heading1"/>
      </w:pPr>
      <w:bookmarkStart w:id="100" w:name="toc_000"/>
      <w:r>
        <w:t>1. BAGIAN AWAL: PRINSIP DASAR</w:t>
      </w:r>
      <w:bookmarkEnd w:id="100"/>
    </w:p>
    <w:p>
      <w:pPr>
        <w:pStyle w:val="Heading2"/>
      </w:pPr>
      <w:bookmarkStart w:id="101" w:name="toc_001"/>
      <w:r>
        <w:t>1.1 Dosis-respons</w:t>
      </w:r>
      <w:bookmarkEnd w:id="101"/>
    </w:p>
    <w:p>
      <w:pPr>
        <w:pStyle w:val="Heading3"/>
      </w:pPr>
      <w:r>
        <w:t>1. Bentuk-Bentuk Kurva Dosis-Respons (Dose-Response Curve Shapes)</w:t>
      </w:r>
    </w:p>
    <w:p>
      <w:pPr>
        <w:spacing w:after="80"/>
      </w:pPr>
      <w:r>
        <w:rPr/>
        <w:t>Hubungan dosis-respons menggambarkan proporsi populasi atau intensitas sistem biologis yang memperlihatkan respons terukur terhadap peningkatan dosis toksikan. Dalam toksikologi industri dan eksperimental, terdapat beberapa morfologi kurva utama:</w:t>
      </w:r>
    </w:p>
    <w:p>
      <w:pPr>
        <w:pStyle w:val="ListBullet"/>
        <w:spacing w:after="20"/>
      </w:pPr>
      <w:r>
        <w:rPr>
          <w:b/>
        </w:rPr>
        <w:t>Kurva Sigmoidal (S-shaped / Kurva Monotonik Klasik):</w:t>
      </w:r>
    </w:p>
    <w:p>
      <w:pPr>
        <w:spacing w:after="80"/>
      </w:pPr>
      <w:r>
        <w:rPr/>
        <w:t>Merupakan bentuk paling umum untuk efek kuantal dan bertingkat (</w:t>
      </w:r>
      <w:r>
        <w:rPr>
          <w:i/>
        </w:rPr>
        <w:t>graded</w:t>
      </w:r>
      <w:r>
        <w:rPr/>
        <w:t xml:space="preserve">) pada zat kimia non-karsinogenik. Jika dosis diplot secara logaritmik terhadap respons kumulatif, kurva ini terbagi menjadi </w:t>
      </w:r>
      <w:r>
        <w:rPr>
          <w:b/>
        </w:rPr>
        <w:t>5 segmen fungsional</w:t>
      </w:r>
      <w:r>
        <w:rPr/>
        <w:t>:</w:t>
      </w:r>
    </w:p>
    <w:p>
      <w:pPr>
        <w:pStyle w:val="ListBullet2"/>
        <w:spacing w:after="20"/>
      </w:pPr>
      <w:r>
        <w:rPr>
          <w:b/>
        </w:rPr>
        <w:t>Segmen I (Slope nol):</w:t>
      </w:r>
      <w:r>
        <w:rPr/>
        <w:t xml:space="preserve"> Rentang dosis subteratologis/subtoksik di mana kapasitas kompensasi dan detoksifikasi tubuh mampu mengeliminasi agen tanpa mortalitas atau morbiditas.</w:t>
      </w:r>
    </w:p>
    <w:p>
      <w:pPr>
        <w:pStyle w:val="ListBullet2"/>
        <w:spacing w:after="20"/>
      </w:pPr>
      <w:r>
        <w:rPr>
          <w:b/>
        </w:rPr>
        <w:t>Segmen II:</w:t>
      </w:r>
      <w:r>
        <w:rPr/>
        <w:t xml:space="preserve"> Dosis mulai memicu efek toksik hanya pada fraksi populasi yang paling rentan/hipersensitif (</w:t>
      </w:r>
      <w:r>
        <w:rPr>
          <w:i/>
        </w:rPr>
        <w:t>most susceptible individuals</w:t>
      </w:r>
      <w:r>
        <w:rPr/>
        <w:t>).</w:t>
      </w:r>
    </w:p>
    <w:p>
      <w:pPr>
        <w:pStyle w:val="ListBullet2"/>
        <w:spacing w:after="20"/>
      </w:pPr>
      <w:r>
        <w:rPr>
          <w:b/>
        </w:rPr>
        <w:t>Segmen III:</w:t>
      </w:r>
      <w:r>
        <w:rPr/>
        <w:t xml:space="preserve"> Segmen dengan kemiringan (</w:t>
      </w:r>
      <w:r>
        <w:rPr>
          <w:i/>
        </w:rPr>
        <w:t>slope</w:t>
      </w:r>
      <w:r>
        <w:rPr/>
        <w:t>) paling curam, di mana sebagian besar populasi pekerja/organisme uji memberikan respons biologis nyata.</w:t>
      </w:r>
    </w:p>
    <w:p>
      <w:pPr>
        <w:pStyle w:val="ListBullet2"/>
        <w:spacing w:after="20"/>
      </w:pPr>
      <w:r>
        <w:rPr>
          <w:b/>
        </w:rPr>
        <w:t>Segmen IV:</w:t>
      </w:r>
      <w:r>
        <w:rPr/>
        <w:t xml:space="preserve"> Rentang dosis tinggi yang hanya mampu ditahan oleh individu paling toleran/resisten.</w:t>
      </w:r>
    </w:p>
    <w:p>
      <w:pPr>
        <w:pStyle w:val="ListBullet2"/>
        <w:spacing w:after="20"/>
      </w:pPr>
      <w:r>
        <w:rPr>
          <w:b/>
        </w:rPr>
        <w:t>Segmen V (Plateau / Respons Maksimal, E_(max)):</w:t>
      </w:r>
      <w:r>
        <w:rPr/>
        <w:t xml:space="preserve"> Titik jenuh di mana penambahan dosis tidak lagi meningkatkan proporsi respons (mencapai 100% respons atau kematian).</w:t>
      </w:r>
    </w:p>
    <w:p>
      <w:pPr>
        <w:pStyle w:val="ListBullet2"/>
        <w:spacing w:after="20"/>
      </w:pPr>
      <w:r>
        <w:rPr>
          <w:i/>
        </w:rPr>
        <w:t>Linearisasi Matematis:</w:t>
      </w:r>
      <w:r>
        <w:rPr/>
        <w:t xml:space="preserve"> Untuk keperluan statistika, kurva sigmoid ditransformasikan menjadi linier menggunakan </w:t>
      </w:r>
      <w:r>
        <w:rPr>
          <w:b/>
        </w:rPr>
        <w:t>skala log (dosis) versus probit (respons)</w:t>
      </w:r>
      <w:r>
        <w:rPr/>
        <w:t>.</w:t>
      </w:r>
    </w:p>
    <w:p>
      <w:pPr>
        <w:pStyle w:val="ListBullet2"/>
        <w:spacing w:after="20"/>
      </w:pPr>
      <w:r>
        <w:rPr>
          <w:i/>
        </w:rPr>
        <w:t>Makna Kemiringan (Slope):</w:t>
      </w:r>
      <w:r>
        <w:rPr/>
        <w:t xml:space="preserve"> Kemiringan kurva yang terlinearisasi mencerminkan spesifisitas toksikan. </w:t>
      </w:r>
      <w:r>
        <w:rPr>
          <w:b/>
        </w:rPr>
        <w:t>Slope yang curam</w:t>
      </w:r>
      <w:r>
        <w:rPr/>
        <w:t xml:space="preserve"> mengindikasikan toksikan bekerja pada target spesifik (rentang sempit antara dosis tanpa efek dan efek fatal), sedangkan </w:t>
      </w:r>
      <w:r>
        <w:rPr>
          <w:b/>
        </w:rPr>
        <w:t>slope yang landai</w:t>
      </w:r>
      <w:r>
        <w:rPr/>
        <w:t xml:space="preserve"> menunjukkan efek toksik non-spesifik seperti narkosis pelarut organik.</w:t>
      </w:r>
    </w:p>
    <w:p>
      <w:pPr>
        <w:pStyle w:val="ListBullet"/>
        <w:spacing w:after="20"/>
      </w:pPr>
      <w:r>
        <w:rPr>
          <w:b/>
        </w:rPr>
        <w:t>Kurva Linier / Log-Linier:</w:t>
      </w:r>
    </w:p>
    <w:p>
      <w:pPr>
        <w:spacing w:after="80"/>
      </w:pPr>
      <w:r>
        <w:rPr/>
        <w:t xml:space="preserve">Respons meningkat atau menurun secara konstan sebanding dengan kenaikan dosis. Respons yang murni linier di seluruh rentang jarang terjadi pada proses biologis utuh, namun digunakan secara universal sebagai model ekstrapolasi dosis rendah pada </w:t>
      </w:r>
      <w:r>
        <w:rPr>
          <w:b/>
        </w:rPr>
        <w:t>karsinogen genotoksik tanpa ambang</w:t>
      </w:r>
      <w:r>
        <w:rPr/>
        <w:t xml:space="preserve"> (</w:t>
      </w:r>
      <w:r>
        <w:rPr>
          <w:i/>
        </w:rPr>
        <w:t>Linear Non-Threshold</w:t>
      </w:r>
      <w:r>
        <w:rPr/>
        <w:t>).</w:t>
      </w:r>
    </w:p>
    <w:p>
      <w:pPr>
        <w:pStyle w:val="ListBullet"/>
        <w:spacing w:after="20"/>
      </w:pPr>
      <w:r>
        <w:rPr>
          <w:b/>
        </w:rPr>
        <w:t>Kurva Non-Monotonik (</w:t>
      </w:r>
      <w:r>
        <w:rPr>
          <w:b/>
          <w:i/>
        </w:rPr>
        <w:t>Nonmonotonic Dose-Response Curves</w:t>
      </w:r>
      <w:r>
        <w:rPr>
          <w:b/>
        </w:rPr>
        <w:t xml:space="preserve"> / NMDRCs):</w:t>
      </w:r>
    </w:p>
    <w:p>
      <w:pPr>
        <w:spacing w:after="80"/>
      </w:pPr>
      <w:r>
        <w:rPr/>
        <w:t>Kurva yang mengalami pembalikan tanda kemiringan (</w:t>
      </w:r>
      <w:r>
        <w:rPr>
          <w:i/>
        </w:rPr>
        <w:t>slope</w:t>
      </w:r>
      <w:r>
        <w:rPr/>
        <w:t xml:space="preserve">) dari positif ke negatif atau sebaliknya di sepanjang rentang dosis yang diuji. Bentuk ini mencakup kurva </w:t>
      </w:r>
      <w:r>
        <w:rPr>
          <w:b/>
        </w:rPr>
        <w:t>bifasik (berbentuk U atau inverted-U)</w:t>
      </w:r>
      <w:r>
        <w:rPr/>
        <w:t xml:space="preserve"> serta </w:t>
      </w:r>
      <w:r>
        <w:rPr>
          <w:b/>
        </w:rPr>
        <w:t>multifasik</w:t>
      </w:r>
      <w:r>
        <w:rPr/>
        <w:t>, yang umum dijumpai pada zat pengganggu endokrin (</w:t>
      </w:r>
      <w:r>
        <w:rPr>
          <w:i/>
        </w:rPr>
        <w:t>endocrine disrupting chemicals/EDCs</w:t>
      </w:r>
      <w:r>
        <w:rPr/>
        <w:t>), zat esensial, dan fenomena adaptif.</w:t>
      </w:r>
    </w:p>
    <w:p>
      <w:pPr>
        <w:pStyle w:val="Heading3"/>
      </w:pPr>
      <w:r>
        <w:t>2. Ambang Toksisitas: NOAEL dan LOAEL</w:t>
      </w:r>
    </w:p>
    <w:p>
      <w:pPr>
        <w:spacing w:after="80"/>
      </w:pPr>
      <w:r>
        <w:rPr/>
        <w:t>Pada efek toksik yang memiliki ambang (</w:t>
      </w:r>
      <w:r>
        <w:rPr>
          <w:i/>
        </w:rPr>
        <w:t>threshold</w:t>
      </w:r>
      <w:r>
        <w:rPr/>
        <w:t>), terdapat dosis kritis yang dijadikan titik awal perhitungan regulasi batas pajanan okupasi:</w:t>
      </w:r>
    </w:p>
    <w:p>
      <w:pPr>
        <w:pStyle w:val="ListBullet"/>
        <w:spacing w:after="20"/>
      </w:pPr>
      <w:r>
        <w:rPr>
          <w:b/>
        </w:rPr>
        <w:t>NOAEL (</w:t>
      </w:r>
      <w:r>
        <w:rPr>
          <w:b/>
          <w:i/>
        </w:rPr>
        <w:t>No Observed Adverse Effect Level</w:t>
      </w:r>
      <w:r>
        <w:rPr>
          <w:b/>
        </w:rPr>
        <w:t>):</w:t>
      </w:r>
    </w:p>
    <w:p>
      <w:pPr>
        <w:spacing w:after="80"/>
      </w:pPr>
      <w:r>
        <w:rPr/>
        <w:t xml:space="preserve">Dosis eksperimental tertinggi dari suatu studi toksisitas yang </w:t>
      </w:r>
      <w:r>
        <w:rPr>
          <w:b/>
        </w:rPr>
        <w:t>tidak menghasilkan peningkatan signifikan secara biologis maupun statistik</w:t>
      </w:r>
      <w:r>
        <w:rPr/>
        <w:t xml:space="preserve"> pada efek merugikan (</w:t>
      </w:r>
      <w:r>
        <w:rPr>
          <w:i/>
        </w:rPr>
        <w:t>adverse response</w:t>
      </w:r>
      <w:r>
        <w:rPr/>
        <w:t>) dibandingkan kontrol.</w:t>
      </w:r>
    </w:p>
    <w:p>
      <w:pPr>
        <w:pStyle w:val="ListBullet"/>
        <w:spacing w:after="20"/>
      </w:pPr>
      <w:r>
        <w:rPr>
          <w:b/>
        </w:rPr>
        <w:t>LOAEL (</w:t>
      </w:r>
      <w:r>
        <w:rPr>
          <w:b/>
          <w:i/>
        </w:rPr>
        <w:t>Lowest Observed Adverse Effect Level</w:t>
      </w:r>
      <w:r>
        <w:rPr>
          <w:b/>
        </w:rPr>
        <w:t>):</w:t>
      </w:r>
    </w:p>
    <w:p>
      <w:pPr>
        <w:spacing w:after="80"/>
      </w:pPr>
      <w:r>
        <w:rPr/>
        <w:t xml:space="preserve">Dosis eksperimental terendah yang </w:t>
      </w:r>
      <w:r>
        <w:rPr>
          <w:b/>
        </w:rPr>
        <w:t>mulai memperlihatkan peningkatan efek merugikan</w:t>
      </w:r>
      <w:r>
        <w:rPr/>
        <w:t xml:space="preserve"> yang signifikan secara biologis atau statistik.</w:t>
      </w:r>
    </w:p>
    <w:p>
      <w:pPr>
        <w:pStyle w:val="ListBullet"/>
        <w:spacing w:after="20"/>
      </w:pPr>
      <w:r>
        <w:rPr>
          <w:b/>
        </w:rPr>
        <w:t>Aplikasi Regulasi Okupasi:</w:t>
      </w:r>
    </w:p>
    <w:p>
      <w:pPr>
        <w:spacing w:after="80"/>
      </w:pPr>
      <w:r>
        <w:rPr/>
        <w:t xml:space="preserve">NOAEL (atau LOAEL bila NOAEL tidak ditemukan) dijadikan dasar </w:t>
      </w:r>
      <w:r>
        <w:rPr>
          <w:i/>
        </w:rPr>
        <w:t>Point of Departure</w:t>
      </w:r>
      <w:r>
        <w:rPr/>
        <w:t xml:space="preserve"> (POD) untuk menurunkan nilai batas pajanan seperti </w:t>
      </w:r>
      <w:r>
        <w:rPr>
          <w:i/>
        </w:rPr>
        <w:t>Reference Dose</w:t>
      </w:r>
      <w:r>
        <w:rPr/>
        <w:t xml:space="preserve"> (RfD), </w:t>
      </w:r>
      <w:r>
        <w:rPr>
          <w:i/>
        </w:rPr>
        <w:t>Reference Concentration</w:t>
      </w:r>
      <w:r>
        <w:rPr/>
        <w:t xml:space="preserve"> (RfC), </w:t>
      </w:r>
      <w:r>
        <w:rPr>
          <w:i/>
        </w:rPr>
        <w:t>Acceptable Daily Intake</w:t>
      </w:r>
      <w:r>
        <w:rPr/>
        <w:t xml:space="preserve"> (ADI), hingga Nilai Ambang Batas (NAB / TLV-TWA). Formula konversi baku melibatkan pembagian NOAEL dengan </w:t>
      </w:r>
      <w:r>
        <w:rPr>
          <w:b/>
        </w:rPr>
        <w:t>Faktor Ketidakpastian (</w:t>
      </w:r>
      <w:r>
        <w:rPr>
          <w:b/>
          <w:i/>
        </w:rPr>
        <w:t>Uncertainty Factors</w:t>
      </w:r>
      <w:r>
        <w:rPr>
          <w:b/>
        </w:rPr>
        <w:t xml:space="preserve"> / UF)</w:t>
      </w:r>
      <w:r>
        <w:rPr/>
        <w:t xml:space="preserve"> dan </w:t>
      </w:r>
      <w:r>
        <w:rPr>
          <w:i/>
        </w:rPr>
        <w:t>Modifying Factor</w:t>
      </w:r>
      <w:r>
        <w:rPr/>
        <w:t xml:space="preserve"> (MF):</w:t>
      </w:r>
    </w:p>
    <w:p>
      <w:pPr>
        <w:spacing w:after="60"/>
        <w:jc w:val="center"/>
      </w:pPr>
      <w:r>
        <w:rPr>
          <w:i/>
        </w:rPr>
        <w:t>RfD atau RfC = (NOAEL)/(Π UF × MF)</w:t>
      </w:r>
    </w:p>
    <w:p>
      <w:pPr>
        <w:spacing w:after="80"/>
      </w:pPr>
      <w:r>
        <w:rPr/>
        <w:t>Faktor ketidakpastian standar (masing-masing bernilai default 10) mencakup:</w:t>
      </w:r>
    </w:p>
    <w:p>
      <w:pPr>
        <w:spacing w:after="40"/>
        <w:ind w:left="680" w:hanging="283"/>
      </w:pPr>
      <w:r>
        <w:rPr/>
        <w:t>1. Variabilitas interspesies (ekstrapolasi hewan ke manusia, UF_A = 10).</w:t>
      </w:r>
    </w:p>
    <w:p>
      <w:pPr>
        <w:spacing w:after="40"/>
        <w:ind w:left="680" w:hanging="283"/>
      </w:pPr>
      <w:r>
        <w:rPr/>
        <w:t>2. Variabilitas intraspesies (kerentanan antarpopulasi manusia, UF_H = 10).</w:t>
      </w:r>
    </w:p>
    <w:p>
      <w:pPr>
        <w:spacing w:after="40"/>
        <w:ind w:left="680" w:hanging="283"/>
      </w:pPr>
      <w:r>
        <w:rPr/>
        <w:t>3. Ekstrapolasi durasi subkronik ke kronik (UF_S = 10).</w:t>
      </w:r>
    </w:p>
    <w:p>
      <w:pPr>
        <w:spacing w:after="40"/>
        <w:ind w:left="680" w:hanging="283"/>
      </w:pPr>
      <w:r>
        <w:rPr/>
        <w:t>4. Ekstrapolasi dari LOAEL ke NOAEL bila data NOAEL absen (UF_L = 10).</w:t>
      </w:r>
    </w:p>
    <w:p>
      <w:pPr>
        <w:spacing w:after="40"/>
        <w:ind w:left="680" w:hanging="283"/>
      </w:pPr>
      <w:r>
        <w:rPr/>
        <w:t>5. Kelengkapan database studi (UF_D = 10).</w:t>
      </w:r>
    </w:p>
    <w:p>
      <w:pPr>
        <w:pStyle w:val="ListBullet"/>
        <w:spacing w:after="20"/>
      </w:pPr>
      <w:r>
        <w:rPr>
          <w:b/>
        </w:rPr>
        <w:t>Kelemahan dan Keterbatasan Metodologis NOAEL (Ujian Board Wajib Paham):</w:t>
      </w:r>
    </w:p>
    <w:p>
      <w:pPr>
        <w:spacing w:after="40"/>
        <w:ind w:left="680" w:hanging="283"/>
      </w:pPr>
      <w:r>
        <w:rPr/>
        <w:t xml:space="preserve">1. </w:t>
      </w:r>
      <w:r>
        <w:rPr>
          <w:i/>
        </w:rPr>
        <w:t>Keterikatan Dosis Uji:</w:t>
      </w:r>
      <w:r>
        <w:rPr/>
        <w:t xml:space="preserve"> NOAEL </w:t>
      </w:r>
      <w:r>
        <w:rPr>
          <w:b/>
        </w:rPr>
        <w:t>harus merupakan salah satu dosis yang diuji</w:t>
      </w:r>
      <w:r>
        <w:rPr/>
        <w:t xml:space="preserve"> dalam protokol laboratorium. Jika dosis yang dipilih keliru, nilai NOAEL ikut terdistorsi.</w:t>
      </w:r>
    </w:p>
    <w:p>
      <w:pPr>
        <w:spacing w:after="40"/>
        <w:ind w:left="680" w:hanging="283"/>
      </w:pPr>
      <w:r>
        <w:rPr/>
        <w:t xml:space="preserve">2. </w:t>
      </w:r>
      <w:r>
        <w:rPr>
          <w:i/>
        </w:rPr>
        <w:t>Mengabaikan Bentuk Kurva:</w:t>
      </w:r>
      <w:r>
        <w:rPr/>
        <w:t xml:space="preserve"> Begitu titik NOAEL ditetapkan, seluruh data kemiringan (</w:t>
      </w:r>
      <w:r>
        <w:rPr>
          <w:i/>
        </w:rPr>
        <w:t>slope</w:t>
      </w:r>
      <w:r>
        <w:rPr/>
        <w:t>) dan informasi pada dosis lain diabaikan.</w:t>
      </w:r>
    </w:p>
    <w:p>
      <w:pPr>
        <w:spacing w:after="40"/>
        <w:ind w:left="680" w:hanging="283"/>
      </w:pPr>
      <w:r>
        <w:rPr/>
        <w:t xml:space="preserve">3. </w:t>
      </w:r>
      <w:r>
        <w:rPr>
          <w:i/>
        </w:rPr>
        <w:t>Menghukum Studi Berkualitas Baik:</w:t>
      </w:r>
      <w:r>
        <w:rPr/>
        <w:t xml:space="preserve"> Eksperimen dengan jumlah hewan coba sedikit dan daya statistik rendah memiliki variabilitas tinggi, sehingga sulit mendeteksi signifikansi statistik; akibatnya, studi yang buruk secara keliru menghasilkan NOAEL yang lebih tinggi (kurang protektif).</w:t>
      </w:r>
    </w:p>
    <w:p>
      <w:pPr>
        <w:spacing w:after="40"/>
        <w:ind w:left="680" w:hanging="283"/>
      </w:pPr>
      <w:r>
        <w:rPr/>
        <w:t xml:space="preserve">4. </w:t>
      </w:r>
      <w:r>
        <w:rPr>
          <w:i/>
        </w:rPr>
        <w:t>Adanya Risiko Residual:</w:t>
      </w:r>
      <w:r>
        <w:rPr/>
        <w:t xml:space="preserve"> NOAEL tidak berarti nol risiko; studi empiris menunjukkan bahwa pada titik NOAEL, masih dapat tersisa risiko ekses hingga 1–5%.</w:t>
      </w:r>
    </w:p>
    <w:p>
      <w:pPr>
        <w:pStyle w:val="Heading3"/>
      </w:pPr>
      <w:r>
        <w:t>3. Pendekatan Modern: Benchmark Dose (BMD) dan BMDL</w:t>
      </w:r>
    </w:p>
    <w:p>
      <w:pPr>
        <w:spacing w:after="80"/>
      </w:pPr>
      <w:r>
        <w:rPr/>
        <w:t xml:space="preserve">Sebagai solusi atas kelemahan inheren NOAEL, badan regulasi internasional (seperti US-EPA dan EFSA) beralih ke pendekatan </w:t>
      </w:r>
      <w:r>
        <w:rPr>
          <w:b/>
        </w:rPr>
        <w:t>Benchmark Dose (BMD)</w:t>
      </w:r>
      <w:r>
        <w:rPr/>
        <w:t>:</w:t>
      </w:r>
    </w:p>
    <w:p>
      <w:pPr>
        <w:pStyle w:val="ListBullet"/>
        <w:spacing w:after="20"/>
      </w:pPr>
      <w:r>
        <w:rPr>
          <w:b/>
        </w:rPr>
        <w:t>Definisi BMD:</w:t>
      </w:r>
    </w:p>
    <w:p>
      <w:pPr>
        <w:spacing w:after="80"/>
      </w:pPr>
      <w:r>
        <w:rPr/>
        <w:t xml:space="preserve">Dosis yang diturunkan melalui pemodelan matematis kurva dosis-respons lengkap (menggunakan </w:t>
      </w:r>
      <w:r>
        <w:rPr>
          <w:i/>
        </w:rPr>
        <w:t>Benchmark Dose Software</w:t>
      </w:r>
      <w:r>
        <w:rPr/>
        <w:t xml:space="preserve">) yang menghasilkan perubahan tingkat respons spesifik di atas kontrol, yang disebut </w:t>
      </w:r>
      <w:r>
        <w:rPr>
          <w:b/>
        </w:rPr>
        <w:t>Benchmark Response (BMR)</w:t>
      </w:r>
      <w:r>
        <w:rPr/>
        <w:t xml:space="preserve">. BMR lazimnya ditetapkan pada tingkat risiko ekses </w:t>
      </w:r>
      <w:r>
        <w:rPr>
          <w:b/>
        </w:rPr>
        <w:t>1% hingga 10%</w:t>
      </w:r>
      <w:r>
        <w:rPr/>
        <w:t xml:space="preserve"> (misalnya BMR₁₀ atau BMR₀₅).</w:t>
      </w:r>
    </w:p>
    <w:p>
      <w:pPr>
        <w:pStyle w:val="ListBullet"/>
        <w:spacing w:after="20"/>
      </w:pPr>
      <w:r>
        <w:rPr>
          <w:b/>
        </w:rPr>
        <w:t>Definisi BMDL (</w:t>
      </w:r>
      <w:r>
        <w:rPr>
          <w:b/>
          <w:i/>
        </w:rPr>
        <w:t>Benchmark Dose Lower Confidence Limit</w:t>
      </w:r>
      <w:r>
        <w:rPr>
          <w:b/>
        </w:rPr>
        <w:t>):</w:t>
      </w:r>
    </w:p>
    <w:p>
      <w:pPr>
        <w:spacing w:after="80"/>
      </w:pPr>
      <w:r>
        <w:rPr/>
        <w:t>Batas bawah interval kepercayaan 95% satu sisi (</w:t>
      </w:r>
      <w:r>
        <w:rPr>
          <w:i/>
        </w:rPr>
        <w:t>lower 95% confidence bound</w:t>
      </w:r>
      <w:r>
        <w:rPr/>
        <w:t xml:space="preserve">) dari BMD (misalnya BMDL₁₀ atau BMD₅L₉₅). </w:t>
      </w:r>
      <w:r>
        <w:rPr>
          <w:b/>
        </w:rPr>
        <w:t>BMDL inilah yang digunakan secara formal sebagai Point of Departure (POD)</w:t>
      </w:r>
      <w:r>
        <w:rPr/>
        <w:t xml:space="preserve"> untuk menggantikan NOAEL dalam kalkulasi RfD, RfC, atau biomonitoring batas pajanan.</w:t>
      </w:r>
    </w:p>
    <w:p>
      <w:pPr>
        <w:pStyle w:val="ListBullet"/>
        <w:spacing w:after="20"/>
      </w:pPr>
      <w:r>
        <w:rPr>
          <w:b/>
        </w:rPr>
        <w:t>Keunggulan BMD/BMDL Dibandingkan NOAEL:</w:t>
      </w:r>
    </w:p>
    <w:p>
      <w:pPr>
        <w:spacing w:after="40"/>
        <w:ind w:left="680" w:hanging="283"/>
      </w:pPr>
      <w:r>
        <w:rPr/>
        <w:t>1. Memanfaatkan seluruh rentang data dosis dan kemiringan kurva respons.</w:t>
      </w:r>
    </w:p>
    <w:p>
      <w:pPr>
        <w:spacing w:after="40"/>
        <w:ind w:left="680" w:hanging="283"/>
      </w:pPr>
      <w:r>
        <w:rPr/>
        <w:t>2. Tidak terikat pada dosis uji diskrit eksperimen.</w:t>
      </w:r>
    </w:p>
    <w:p>
      <w:pPr>
        <w:spacing w:after="40"/>
        <w:ind w:left="680" w:hanging="283"/>
      </w:pPr>
      <w:r>
        <w:rPr/>
        <w:t xml:space="preserve">3. </w:t>
      </w:r>
      <w:r>
        <w:rPr>
          <w:b/>
        </w:rPr>
        <w:t>Memberi penghargaan pada studi berkualitas tinggi:</w:t>
      </w:r>
      <w:r>
        <w:rPr/>
        <w:t xml:space="preserve"> Studi dengan jumlah sampel besar dan variabilitas rendah akan menghasilkan rentang kepercayaan sempit, sehingga nilai BMDL-nya lebih tinggi dan presisi.</w:t>
      </w:r>
    </w:p>
    <w:p>
      <w:pPr>
        <w:spacing w:after="40"/>
        <w:ind w:left="680" w:hanging="283"/>
      </w:pPr>
      <w:r>
        <w:rPr/>
        <w:t>4. Dapat diaplikasikan pada data kuantal (insiden penyakit/lesi) maupun kontinu (kadar enzim serum, berat organ).</w:t>
      </w:r>
    </w:p>
    <w:p>
      <w:pPr>
        <w:pStyle w:val="ListBullet"/>
        <w:spacing w:after="20"/>
      </w:pPr>
      <w:r>
        <w:rPr>
          <w:b/>
        </w:rPr>
        <w:t>Contoh Aplikatif dari Sumber:</w:t>
      </w:r>
    </w:p>
    <w:p>
      <w:pPr>
        <w:pStyle w:val="ListBullet2"/>
        <w:spacing w:after="20"/>
      </w:pPr>
      <w:r>
        <w:rPr>
          <w:i/>
        </w:rPr>
        <w:t>Studi Perkembangan ETU (Ethylenethiourea):</w:t>
      </w:r>
      <w:r>
        <w:rPr/>
        <w:t xml:space="preserve"> Pada studi anomali janin tikus, pemodelan probabilitas Weibull dengan BMR 1% menghasilkan BMD 8,9 mg/kg dan </w:t>
      </w:r>
      <w:r>
        <w:rPr>
          <w:b/>
        </w:rPr>
        <w:t>BMDL 6,9 mg/kg</w:t>
      </w:r>
      <w:r>
        <w:rPr/>
        <w:t xml:space="preserve"> (mendekati NOAEL 5 mg/kg, namun diturunkan dari kurva penuh).</w:t>
      </w:r>
    </w:p>
    <w:p>
      <w:pPr>
        <w:pStyle w:val="ListBullet2"/>
        <w:spacing w:after="20"/>
      </w:pPr>
      <w:r>
        <w:rPr>
          <w:i/>
        </w:rPr>
        <w:t>Biomonitoring Kadmium Okupasi &amp; Lingkungan (EFSA &amp; ACGIH):</w:t>
      </w:r>
      <w:r>
        <w:rPr/>
        <w:t xml:space="preserve"> Analisis terhadap disfungsi tubulus ginjal (peningkatan ekskresi β₂-mikroglobulin/β₂M) menetapkan POD berupa </w:t>
      </w:r>
      <w:r>
        <w:rPr>
          <w:b/>
        </w:rPr>
        <w:t>BMD₅L₉₅ sebesar 4 µg/g kreatinin</w:t>
      </w:r>
      <w:r>
        <w:rPr/>
        <w:t xml:space="preserve"> untuk populasi umum dan sekitar </w:t>
      </w:r>
      <w:r>
        <w:rPr>
          <w:b/>
        </w:rPr>
        <w:t>5,5 µg/g kreatinin</w:t>
      </w:r>
      <w:r>
        <w:rPr/>
        <w:t xml:space="preserve"> pada pekerja non-perokok (Chaumont et al.), yang menjadi dasar penetapan Biological Exposure Index (BEI) kadmium urine.</w:t>
      </w:r>
    </w:p>
    <w:p>
      <w:pPr>
        <w:pStyle w:val="Heading3"/>
      </w:pPr>
      <w:r>
        <w:t>4. Threshold vs. Non-Threshold: Karsinogen Genotoksik vs. Non-Karsinogen</w:t>
      </w:r>
    </w:p>
    <w:p>
      <w:pPr>
        <w:spacing w:after="80"/>
      </w:pPr>
      <w:r>
        <w:rPr/>
        <w:t>Perbedaan fundamental dalam toksikologi regulatori membagi agen kimia ke dalam dua paradigma aksi biologis:</w:t>
      </w:r>
    </w:p>
    <w:tbl>
      <w:tblPr>
        <w:tblStyle w:val="TableGrid"/>
        <w:tblW w:type="auto" w:w="0"/>
        <w:tblLook w:firstColumn="1" w:firstRow="1" w:lastColumn="0" w:lastRow="0" w:noHBand="0" w:noVBand="1" w:val="04A0"/>
      </w:tblPr>
      <w:tblGrid>
        <w:gridCol w:w="3175"/>
        <w:gridCol w:w="3175"/>
        <w:gridCol w:w="3175"/>
      </w:tblGrid>
      <w:tr>
        <w:tc>
          <w:tcPr>
            <w:tcW w:type="dxa" w:w="3175"/>
            <w:shd w:val="clear" w:color="auto" w:fill="DCE6F1"/>
          </w:tcPr>
          <w:p>
            <w:pPr>
              <w:spacing w:after="0"/>
            </w:pPr>
            <w:r/>
            <w:r>
              <w:rPr>
                <w:b/>
                <w:sz w:val="18"/>
              </w:rPr>
              <w:t>Parameter Evaluasi</w:t>
            </w:r>
          </w:p>
        </w:tc>
        <w:tc>
          <w:tcPr>
            <w:tcW w:type="dxa" w:w="3175"/>
            <w:shd w:val="clear" w:color="auto" w:fill="DCE6F1"/>
          </w:tcPr>
          <w:p>
            <w:pPr>
              <w:spacing w:after="0"/>
            </w:pPr>
            <w:r/>
            <w:r>
              <w:rPr>
                <w:b/>
                <w:sz w:val="18"/>
              </w:rPr>
              <w:t>Paradigma Ambang (</w:t>
            </w:r>
            <w:r>
              <w:rPr>
                <w:b/>
                <w:i/>
                <w:sz w:val="18"/>
              </w:rPr>
              <w:t>Threshold</w:t>
            </w:r>
            <w:r>
              <w:rPr>
                <w:b/>
                <w:sz w:val="18"/>
              </w:rPr>
              <w:t>)</w:t>
            </w:r>
          </w:p>
        </w:tc>
        <w:tc>
          <w:tcPr>
            <w:tcW w:type="dxa" w:w="3175"/>
            <w:shd w:val="clear" w:color="auto" w:fill="DCE6F1"/>
          </w:tcPr>
          <w:p>
            <w:pPr>
              <w:spacing w:after="0"/>
            </w:pPr>
            <w:r/>
            <w:r>
              <w:rPr>
                <w:b/>
                <w:sz w:val="18"/>
              </w:rPr>
              <w:t>Paradigma Tanpa Ambang (</w:t>
            </w:r>
            <w:r>
              <w:rPr>
                <w:b/>
                <w:i/>
                <w:sz w:val="18"/>
              </w:rPr>
              <w:t>Non-Threshold</w:t>
            </w:r>
            <w:r>
              <w:rPr>
                <w:b/>
                <w:sz w:val="18"/>
              </w:rPr>
              <w:t>)</w:t>
            </w:r>
          </w:p>
        </w:tc>
      </w:tr>
      <w:tr>
        <w:tc>
          <w:tcPr>
            <w:tcW w:type="dxa" w:w="3175"/>
          </w:tcPr>
          <w:p>
            <w:pPr>
              <w:spacing w:after="0"/>
            </w:pPr>
            <w:r/>
            <w:r>
              <w:rPr>
                <w:b/>
                <w:sz w:val="18"/>
              </w:rPr>
              <w:t>Asumsi Biologis</w:t>
            </w:r>
          </w:p>
        </w:tc>
        <w:tc>
          <w:tcPr>
            <w:tcW w:type="dxa" w:w="3175"/>
          </w:tcPr>
          <w:p>
            <w:pPr>
              <w:spacing w:after="0"/>
            </w:pPr>
            <w:r/>
            <w:r>
              <w:rPr>
                <w:sz w:val="18"/>
              </w:rPr>
              <w:t>Terdapat rentang dosis di atas nol yang dapat ditoleransi sistem tubuh tanpa efek merugikan akibat adanya cadangan faal, detoksifikasi enzimatik, dan perbaikan seluler.</w:t>
            </w:r>
          </w:p>
        </w:tc>
        <w:tc>
          <w:tcPr>
            <w:tcW w:type="dxa" w:w="3175"/>
          </w:tcPr>
          <w:p>
            <w:pPr>
              <w:spacing w:after="0"/>
            </w:pPr>
            <w:r/>
            <w:r>
              <w:rPr>
                <w:i/>
                <w:sz w:val="18"/>
              </w:rPr>
              <w:t>Single-hit theory / Multistage model:</w:t>
            </w:r>
            <w:r>
              <w:rPr>
                <w:sz w:val="18"/>
              </w:rPr>
              <w:t xml:space="preserve"> Satu molekul mutagenik yang berinteraksi dengan DNA mampu memicu mutasi permanen yang berproliferasi klonal menjadi kanker; tidak ada dosis yang bebas risiko (</w:t>
            </w:r>
            <w:r>
              <w:rPr>
                <w:i/>
                <w:sz w:val="18"/>
              </w:rPr>
              <w:t>zero risk is absent</w:t>
            </w:r>
            <w:r>
              <w:rPr>
                <w:sz w:val="18"/>
              </w:rPr>
              <w:t>).</w:t>
            </w:r>
          </w:p>
        </w:tc>
      </w:tr>
      <w:tr>
        <w:tc>
          <w:tcPr>
            <w:tcW w:type="dxa" w:w="3175"/>
          </w:tcPr>
          <w:p>
            <w:pPr>
              <w:spacing w:after="0"/>
            </w:pPr>
            <w:r/>
            <w:r>
              <w:rPr>
                <w:b/>
                <w:sz w:val="18"/>
              </w:rPr>
              <w:t>Kategori Agen</w:t>
            </w:r>
          </w:p>
        </w:tc>
        <w:tc>
          <w:tcPr>
            <w:tcW w:type="dxa" w:w="3175"/>
          </w:tcPr>
          <w:p>
            <w:pPr>
              <w:spacing w:after="0"/>
            </w:pPr>
            <w:r/>
            <w:r>
              <w:rPr>
                <w:sz w:val="18"/>
              </w:rPr>
              <w:t xml:space="preserve">Efek non-karsinogenik (toksisitas organ sistemik) serta </w:t>
            </w:r>
            <w:r>
              <w:rPr>
                <w:b/>
                <w:sz w:val="18"/>
              </w:rPr>
              <w:t>karsinogen non-genotoksik (epigenetik / sitotoksik)</w:t>
            </w:r>
            <w:r>
              <w:rPr>
                <w:sz w:val="18"/>
              </w:rPr>
              <w:t>.</w:t>
            </w:r>
          </w:p>
        </w:tc>
        <w:tc>
          <w:tcPr>
            <w:tcW w:type="dxa" w:w="3175"/>
          </w:tcPr>
          <w:p>
            <w:pPr>
              <w:spacing w:after="0"/>
            </w:pPr>
            <w:r/>
            <w:r>
              <w:rPr>
                <w:b/>
                <w:sz w:val="18"/>
              </w:rPr>
              <w:t>Karsinogen genotoksik</w:t>
            </w:r>
            <w:r>
              <w:rPr>
                <w:sz w:val="18"/>
              </w:rPr>
              <w:t xml:space="preserve"> (merusak langsung materi DNA, membentuk </w:t>
            </w:r>
            <w:r>
              <w:rPr>
                <w:i/>
                <w:sz w:val="18"/>
              </w:rPr>
              <w:t>adduct</w:t>
            </w:r>
            <w:r>
              <w:rPr>
                <w:sz w:val="18"/>
              </w:rPr>
              <w:t>, menyebabkan aberasi kromosom).</w:t>
            </w:r>
          </w:p>
        </w:tc>
      </w:tr>
      <w:tr>
        <w:tc>
          <w:tcPr>
            <w:tcW w:type="dxa" w:w="3175"/>
          </w:tcPr>
          <w:p>
            <w:pPr>
              <w:spacing w:after="0"/>
            </w:pPr>
            <w:r/>
            <w:r>
              <w:rPr>
                <w:b/>
                <w:sz w:val="18"/>
              </w:rPr>
              <w:t>Bentuk Kurva Dosis-Respons</w:t>
            </w:r>
          </w:p>
        </w:tc>
        <w:tc>
          <w:tcPr>
            <w:tcW w:type="dxa" w:w="3175"/>
          </w:tcPr>
          <w:p>
            <w:pPr>
              <w:spacing w:after="0"/>
            </w:pPr>
            <w:r/>
            <w:r>
              <w:rPr>
                <w:sz w:val="18"/>
              </w:rPr>
              <w:t>Sigmoidal dengan nilai ambang (</w:t>
            </w:r>
            <w:r>
              <w:rPr>
                <w:i/>
                <w:sz w:val="18"/>
              </w:rPr>
              <w:t>threshold dose</w:t>
            </w:r>
            <w:r>
              <w:rPr>
                <w:sz w:val="18"/>
              </w:rPr>
              <w:t>) di mana kurva memotong sumbu dosis di atas nol.</w:t>
            </w:r>
          </w:p>
        </w:tc>
        <w:tc>
          <w:tcPr>
            <w:tcW w:type="dxa" w:w="3175"/>
          </w:tcPr>
          <w:p>
            <w:pPr>
              <w:spacing w:after="0"/>
            </w:pPr>
            <w:r/>
            <w:r>
              <w:rPr>
                <w:sz w:val="18"/>
              </w:rPr>
              <w:t>Linieritas dosis rendah (</w:t>
            </w:r>
            <w:r>
              <w:rPr>
                <w:i/>
                <w:sz w:val="18"/>
              </w:rPr>
              <w:t>Linear Non-Threshold</w:t>
            </w:r>
            <w:r>
              <w:rPr>
                <w:sz w:val="18"/>
              </w:rPr>
              <w:t xml:space="preserve"> / LNT) dengan intersep ditarik langsung ke titik origin (0,0).</w:t>
            </w:r>
          </w:p>
        </w:tc>
      </w:tr>
      <w:tr>
        <w:tc>
          <w:tcPr>
            <w:tcW w:type="dxa" w:w="3175"/>
          </w:tcPr>
          <w:p>
            <w:pPr>
              <w:spacing w:after="0"/>
            </w:pPr>
            <w:r/>
            <w:r>
              <w:rPr>
                <w:b/>
                <w:sz w:val="18"/>
              </w:rPr>
              <w:t>Metrik Risiko Regulasi</w:t>
            </w:r>
          </w:p>
        </w:tc>
        <w:tc>
          <w:tcPr>
            <w:tcW w:type="dxa" w:w="3175"/>
          </w:tcPr>
          <w:p>
            <w:pPr>
              <w:spacing w:after="0"/>
            </w:pPr>
            <w:r/>
            <w:r>
              <w:rPr>
                <w:sz w:val="18"/>
              </w:rPr>
              <w:t>Margin of Exposure (MoE), Hazard Quotient (HQ = Intake/RfD), atau Risk Quotient (RQ ≤ 1 aman, RQ &gt; 1 tidak aman).</w:t>
            </w:r>
          </w:p>
        </w:tc>
        <w:tc>
          <w:tcPr>
            <w:tcW w:type="dxa" w:w="3175"/>
          </w:tcPr>
          <w:p>
            <w:pPr>
              <w:spacing w:after="0"/>
            </w:pPr>
            <w:r/>
            <w:r>
              <w:rPr>
                <w:i/>
                <w:sz w:val="18"/>
              </w:rPr>
              <w:t>Cancer Slope Factor</w:t>
            </w:r>
            <w:r>
              <w:rPr>
                <w:sz w:val="18"/>
              </w:rPr>
              <w:t xml:space="preserve"> (CSF / SF), </w:t>
            </w:r>
            <w:r>
              <w:rPr>
                <w:i/>
                <w:sz w:val="18"/>
              </w:rPr>
              <w:t>Inhalation Unit Risk</w:t>
            </w:r>
            <w:r>
              <w:rPr>
                <w:sz w:val="18"/>
              </w:rPr>
              <w:t xml:space="preserve"> (IUR), dan </w:t>
            </w:r>
            <w:r>
              <w:rPr>
                <w:i/>
                <w:sz w:val="18"/>
              </w:rPr>
              <w:t>Excess Cancer Risk</w:t>
            </w:r>
            <w:r>
              <w:rPr>
                <w:sz w:val="18"/>
              </w:rPr>
              <w:t xml:space="preserve"> (ECR = Intake × CSF, dengan target 10⁻⁴ hingga 10⁻⁶).</w:t>
            </w:r>
          </w:p>
        </w:tc>
      </w:tr>
      <w:tr>
        <w:tc>
          <w:tcPr>
            <w:tcW w:type="dxa" w:w="3175"/>
          </w:tcPr>
          <w:p>
            <w:pPr>
              <w:spacing w:after="0"/>
            </w:pPr>
            <w:r/>
            <w:r>
              <w:rPr>
                <w:b/>
                <w:sz w:val="18"/>
              </w:rPr>
              <w:t>Filosofi Proteksi Okupasi</w:t>
            </w:r>
          </w:p>
        </w:tc>
        <w:tc>
          <w:tcPr>
            <w:tcW w:type="dxa" w:w="3175"/>
          </w:tcPr>
          <w:p>
            <w:pPr>
              <w:spacing w:after="0"/>
            </w:pPr>
            <w:r/>
            <w:r>
              <w:rPr>
                <w:sz w:val="18"/>
              </w:rPr>
              <w:t>Pengendalian konsentrasi lingkungan kerja agar berada di bawah NAB/TLV-TWA untuk mencegah disfungsi organ.</w:t>
            </w:r>
          </w:p>
        </w:tc>
        <w:tc>
          <w:tcPr>
            <w:tcW w:type="dxa" w:w="3175"/>
          </w:tcPr>
          <w:p>
            <w:pPr>
              <w:spacing w:after="0"/>
            </w:pPr>
            <w:r/>
            <w:r>
              <w:rPr>
                <w:sz w:val="18"/>
              </w:rPr>
              <w:t>Meminimalkan pajanan serendah mungkin (</w:t>
            </w:r>
            <w:r>
              <w:rPr>
                <w:i/>
                <w:sz w:val="18"/>
              </w:rPr>
              <w:t>As Low As Reasonably Achievable</w:t>
            </w:r>
            <w:r>
              <w:rPr>
                <w:sz w:val="18"/>
              </w:rPr>
              <w:t xml:space="preserve"> / ALARA), menurunkan batas pajanan dengan penyesuaian khusus.</w:t>
            </w:r>
          </w:p>
        </w:tc>
      </w:tr>
    </w:tbl>
    <w:p>
      <w:pPr>
        <w:spacing w:after="40"/>
      </w:pPr>
    </w:p>
    <w:p>
      <w:pPr>
        <w:pStyle w:val="ListBullet"/>
        <w:spacing w:after="20"/>
      </w:pPr>
      <w:r>
        <w:rPr>
          <w:b/>
        </w:rPr>
        <w:t>Pengecualian Penting untuk Ujian (Karsinogen Non-Genotoksik):</w:t>
      </w:r>
    </w:p>
    <w:p>
      <w:pPr>
        <w:spacing w:after="80"/>
      </w:pPr>
      <w:r>
        <w:rPr/>
        <w:t xml:space="preserve">Karsinogen yang bekerja melalui mekanisme sitotoksisitas kronis, nekrosis jaringan berulang, dan hiperplasia regeneratif kompensatori (contoh: kloroform atau silika kristalin respirabel / RCS) atau melalui mekanisme promosi tumor non-mutagenik </w:t>
      </w:r>
      <w:r>
        <w:rPr>
          <w:b/>
        </w:rPr>
        <w:t>diperlakukan dengan model berambang (</w:t>
      </w:r>
      <w:r>
        <w:rPr>
          <w:b/>
          <w:i/>
        </w:rPr>
        <w:t>threshold approach</w:t>
      </w:r>
      <w:r>
        <w:rPr>
          <w:b/>
        </w:rPr>
        <w:t>)</w:t>
      </w:r>
      <w:r>
        <w:rPr/>
        <w:t>, karena induksi neoplasma hanya terjadi jika dosis pajanan melampaui ambang cedera sitotoksik jaringan.</w:t>
      </w:r>
    </w:p>
    <w:p>
      <w:pPr>
        <w:pStyle w:val="ListBullet"/>
        <w:spacing w:after="20"/>
      </w:pPr>
      <w:r>
        <w:rPr>
          <w:b/>
        </w:rPr>
        <w:t>Contoh Agen Okupasi:</w:t>
      </w:r>
    </w:p>
    <w:p>
      <w:pPr>
        <w:pStyle w:val="ListBullet2"/>
        <w:spacing w:after="20"/>
      </w:pPr>
      <w:r>
        <w:rPr>
          <w:i/>
        </w:rPr>
        <w:t>Non-Threshold (Karsinogen Genotoksik):</w:t>
      </w:r>
      <w:r>
        <w:rPr/>
        <w:t xml:space="preserve"> </w:t>
      </w:r>
      <w:r>
        <w:rPr>
          <w:b/>
        </w:rPr>
        <w:t>Benzena</w:t>
      </w:r>
      <w:r>
        <w:rPr/>
        <w:t xml:space="preserve"> (menyebabkan leukemia melalui metabolit reaktif yang merusak sumsum tulang), </w:t>
      </w:r>
      <w:r>
        <w:rPr>
          <w:b/>
        </w:rPr>
        <w:t>Kromium Heksavalen [Cr(VI)]</w:t>
      </w:r>
      <w:r>
        <w:rPr/>
        <w:t xml:space="preserve"> (menyebabkan karsinoma bronkogenik paru, DNA strand breaks, dan mikronukleus pada sel limfosit pekerja electroplating/welder), serta Arsenik.</w:t>
      </w:r>
    </w:p>
    <w:p>
      <w:pPr>
        <w:pStyle w:val="ListBullet2"/>
        <w:spacing w:after="20"/>
      </w:pPr>
      <w:r>
        <w:rPr>
          <w:i/>
        </w:rPr>
        <w:t>Threshold (Non-Karsinogen / Target Organ Spesifik):</w:t>
      </w:r>
      <w:r>
        <w:rPr/>
        <w:t xml:space="preserve"> </w:t>
      </w:r>
      <w:r>
        <w:rPr>
          <w:b/>
        </w:rPr>
        <w:t>Merkuri anorganik</w:t>
      </w:r>
      <w:r>
        <w:rPr/>
        <w:t xml:space="preserve"> (nefrotoksisitas melalui pengikatan gugus tiol/sulfhidril intraseluler), </w:t>
      </w:r>
      <w:r>
        <w:rPr>
          <w:b/>
        </w:rPr>
        <w:t>Kadmium</w:t>
      </w:r>
      <w:r>
        <w:rPr/>
        <w:t xml:space="preserve"> (disfungsi tubulus proksimal ginjal dengan proteinuria LMW), dan </w:t>
      </w:r>
      <w:r>
        <w:rPr>
          <w:b/>
        </w:rPr>
        <w:t>Mangan</w:t>
      </w:r>
      <w:r>
        <w:rPr/>
        <w:t xml:space="preserve"> (gangguan ekstrapiramidal / manganisme).</w:t>
      </w:r>
    </w:p>
    <w:p>
      <w:pPr>
        <w:pStyle w:val="Heading3"/>
      </w:pPr>
      <w:r>
        <w:t>5. Hormesis dan Kurva Non-Monotonik</w:t>
      </w:r>
    </w:p>
    <w:p>
      <w:pPr>
        <w:spacing w:after="80"/>
      </w:pPr>
      <w:r>
        <w:rPr/>
        <w:t>Sebagai calon spesialis, Anda wajib memahami fenomena respons non-konvensional yang menjadi perdebatan intensif dalam toksikologi modern:</w:t>
      </w:r>
    </w:p>
    <w:p>
      <w:pPr>
        <w:pStyle w:val="ListBullet"/>
        <w:spacing w:after="20"/>
      </w:pPr>
      <w:r>
        <w:rPr>
          <w:b/>
        </w:rPr>
        <w:t>Definisi Hormesis:</w:t>
      </w:r>
    </w:p>
    <w:p>
      <w:pPr>
        <w:spacing w:after="80"/>
      </w:pPr>
      <w:r>
        <w:rPr/>
        <w:t xml:space="preserve">Fenomena dosis-respons adaptif atau bifasik di mana zat toksikan menghasilkan </w:t>
      </w:r>
      <w:r>
        <w:rPr>
          <w:b/>
        </w:rPr>
        <w:t>efek stimulatori atau menguntungkan pada dosis rendah</w:t>
      </w:r>
      <w:r>
        <w:rPr/>
        <w:t xml:space="preserve">, tetapi memicu </w:t>
      </w:r>
      <w:r>
        <w:rPr>
          <w:b/>
        </w:rPr>
        <w:t>efek inhibisi atau toksik nyata pada dosis tinggi</w:t>
      </w:r>
      <w:r>
        <w:rPr/>
        <w:t xml:space="preserve">. Kurva ini bermanifestasi dalam bentuk </w:t>
      </w:r>
      <w:r>
        <w:rPr>
          <w:b/>
        </w:rPr>
        <w:t>U-shaped</w:t>
      </w:r>
      <w:r>
        <w:rPr/>
        <w:t xml:space="preserve"> atau </w:t>
      </w:r>
      <w:r>
        <w:rPr>
          <w:b/>
        </w:rPr>
        <w:t>inverted U-shaped</w:t>
      </w:r>
      <w:r>
        <w:rPr/>
        <w:t xml:space="preserve"> (atau J-shaped).</w:t>
      </w:r>
    </w:p>
    <w:p>
      <w:pPr>
        <w:pStyle w:val="ListBullet"/>
        <w:spacing w:after="20"/>
      </w:pPr>
      <w:r>
        <w:rPr>
          <w:b/>
        </w:rPr>
        <w:t>Mekanisme Biologis:</w:t>
      </w:r>
    </w:p>
    <w:p>
      <w:pPr>
        <w:spacing w:after="80"/>
      </w:pPr>
      <w:r>
        <w:rPr/>
        <w:t xml:space="preserve">Hormesis terjadi bukan karena zat beracun itu "bermanfaat" secara intrinsik, melainkan akibat </w:t>
      </w:r>
      <w:r>
        <w:rPr>
          <w:b/>
        </w:rPr>
        <w:t>reaksi overkompensasi tubuh (</w:t>
      </w:r>
      <w:r>
        <w:rPr>
          <w:b/>
          <w:i/>
        </w:rPr>
        <w:t>overcompensatory response</w:t>
      </w:r>
      <w:r>
        <w:rPr>
          <w:b/>
        </w:rPr>
        <w:t>) terhadap sedikit gangguan homeostasis awal</w:t>
      </w:r>
      <w:r>
        <w:rPr/>
        <w:t xml:space="preserve"> (</w:t>
      </w:r>
      <w:r>
        <w:rPr>
          <w:i/>
        </w:rPr>
        <w:t>disruption of homeostasis</w:t>
      </w:r>
      <w:r>
        <w:rPr/>
        <w:t xml:space="preserve">). Pada dosis subletal/subtoksik yang sangat rendah, terjadi induksi mekanisme reparasi protektif (seperti upregulasi jalur antioksidan Nrf2, induksi protein </w:t>
      </w:r>
      <w:r>
        <w:rPr>
          <w:i/>
        </w:rPr>
        <w:t>metallothionein</w:t>
      </w:r>
      <w:r>
        <w:rPr/>
        <w:t>, peningkatan enzim detoksifikasi, dan pembersihan radikal bebas).</w:t>
      </w:r>
    </w:p>
    <w:p>
      <w:pPr>
        <w:pStyle w:val="ListBullet"/>
        <w:spacing w:after="20"/>
      </w:pPr>
      <w:r>
        <w:rPr>
          <w:b/>
        </w:rPr>
        <w:t>Karakteristik Kuantitatif Calabrese (Prinsip Kuat Hormesis):</w:t>
      </w:r>
    </w:p>
    <w:p>
      <w:pPr>
        <w:spacing w:after="40"/>
        <w:ind w:left="680" w:hanging="283"/>
      </w:pPr>
      <w:r>
        <w:rPr/>
        <w:t xml:space="preserve">1. </w:t>
      </w:r>
      <w:r>
        <w:rPr>
          <w:i/>
        </w:rPr>
        <w:t>Amplitudo Terbatas:</w:t>
      </w:r>
      <w:r>
        <w:rPr/>
        <w:t xml:space="preserve"> Besarnya stimulasi dosis rendah sangat dibatasi oleh plastisitas biologis sistem, yaitu umumnya </w:t>
      </w:r>
      <w:r>
        <w:rPr>
          <w:b/>
        </w:rPr>
        <w:t>hanya berkisar antara 30% hingga 60% di atas kelompok kontrol</w:t>
      </w:r>
      <w:r>
        <w:rPr/>
        <w:t xml:space="preserve"> (maksimal &lt; 2 kali nilai kontrol).</w:t>
      </w:r>
    </w:p>
    <w:p>
      <w:pPr>
        <w:spacing w:after="40"/>
        <w:ind w:left="680" w:hanging="283"/>
      </w:pPr>
      <w:r>
        <w:rPr/>
        <w:t xml:space="preserve">2. </w:t>
      </w:r>
      <w:r>
        <w:rPr>
          <w:i/>
        </w:rPr>
        <w:t>Rentang Dosis:</w:t>
      </w:r>
      <w:r>
        <w:rPr/>
        <w:t xml:space="preserve"> Zona stimulasi hormetik biasanya berlangsung dalam rentang sempit, umumnya </w:t>
      </w:r>
      <w:r>
        <w:rPr>
          <w:b/>
        </w:rPr>
        <w:t>5 hingga 20 kali lipat di bawah dosis ambang toksik</w:t>
      </w:r>
      <w:r>
        <w:rPr/>
        <w:t>, meskipun pada kasus heterogenitas genetik dapat lebih lebar.</w:t>
      </w:r>
    </w:p>
    <w:p>
      <w:pPr>
        <w:pStyle w:val="ListBullet"/>
        <w:spacing w:after="20"/>
      </w:pPr>
      <w:r>
        <w:rPr>
          <w:b/>
        </w:rPr>
        <w:t>Contoh Konkret dalam Toksikologi:</w:t>
      </w:r>
    </w:p>
    <w:p>
      <w:pPr>
        <w:pStyle w:val="ListBullet2"/>
        <w:spacing w:after="20"/>
      </w:pPr>
      <w:r>
        <w:rPr>
          <w:b/>
        </w:rPr>
        <w:t>Unsur Logam Esensial vs. Non-Esensial:</w:t>
      </w:r>
      <w:r>
        <w:rPr/>
        <w:t xml:space="preserve"> Logam esensial seperti </w:t>
      </w:r>
      <w:r>
        <w:rPr>
          <w:b/>
        </w:rPr>
        <w:t>Besi (Fe), Tembaga (Cu), Seng (Zn), dan Mangan (Mn)</w:t>
      </w:r>
      <w:r>
        <w:rPr/>
        <w:t xml:space="preserve"> menunjukkan kurva berbentuk U alami: defisiensi pada intake sangat rendah memicu morbiditas klinis, rentang intake moderat mempertahankan homeostasis normal (</w:t>
      </w:r>
      <w:r>
        <w:rPr>
          <w:i/>
        </w:rPr>
        <w:t>maintenance</w:t>
      </w:r>
      <w:r>
        <w:rPr/>
        <w:t>), dan pajanan okupasi berlebih memicu neurotoksisitas/kerusakan organ (contoh: manganisme pada pekerja tambang atau tukang las).</w:t>
      </w:r>
    </w:p>
    <w:p>
      <w:pPr>
        <w:pStyle w:val="ListBullet2"/>
        <w:spacing w:after="20"/>
      </w:pPr>
      <w:r>
        <w:rPr>
          <w:b/>
        </w:rPr>
        <w:t>Toksikan Lingkungan dan Logam Berat:</w:t>
      </w:r>
      <w:r>
        <w:rPr/>
        <w:t xml:space="preserve"> Timbal organik dosis sangat rendah memperlihatkan stimulasi pertumbuhan atau konduksi saraf pada hewan coba; metilmerkuri pada konsentrasi mikromolar sangat rendah terbukti meningkatkan viabilitas lini sel saraf (D407) melalui stimulasi aktivitas dehidrogenase mitokondria sebelum memicu kematian sel total pada dosis tinggi; kadmium klorida pada dosis rendah memperlihatkan stimulasi pertumbuhan koloni sel atau tanaman kedelai sebelum menimbulkan inhibisi berat.</w:t>
      </w:r>
    </w:p>
    <w:p>
      <w:pPr>
        <w:pStyle w:val="ListBullet2"/>
        <w:spacing w:after="20"/>
      </w:pPr>
      <w:r>
        <w:rPr>
          <w:b/>
        </w:rPr>
        <w:t>Konsumsi Etanol:</w:t>
      </w:r>
      <w:r>
        <w:rPr/>
        <w:t xml:space="preserve"> Dosis rendah-sedang dikaitkan dengan penurunan risiko mortalitas penyakit jantung koroner pada studi epidemiologi, sedangkan dosis tinggi kronis memicu sirosis hepatis, karsinoma, dan ketergantungan.</w:t>
      </w:r>
    </w:p>
    <w:p>
      <w:pPr>
        <w:pStyle w:val="ListBullet"/>
        <w:spacing w:after="20"/>
      </w:pPr>
      <w:r>
        <w:rPr>
          <w:b/>
        </w:rPr>
        <w:t>Tantangan Regulasi dan Asesmen Risiko:</w:t>
      </w:r>
    </w:p>
    <w:p>
      <w:pPr>
        <w:spacing w:after="80"/>
      </w:pPr>
      <w:r>
        <w:rPr/>
        <w:t>Fenomena hormesis dan non-monotonik menantang asumsi baku model ambang klasik dan LNT. Jika suatu zat memperlihatkan respons non-monotonik di bawah titik NOAEL, ekstrapolasi linear dapat salah mengestimasi risiko aktual populasi. Kendati demikian, badan regulatori seperti US-EPA dan lembaga kesehatan kerja tetap berpegang pada prinsip kehati-hatian (</w:t>
      </w:r>
      <w:r>
        <w:rPr>
          <w:i/>
        </w:rPr>
        <w:t>precautionary principle</w:t>
      </w:r>
      <w:r>
        <w:rPr/>
        <w:t>): efek stimulatori dosis rendah tidak serta-merta dianggap aman untuk pekerja di lapangan karena stimulasi tersebut bisa saja memicu efek buruk lain (misalnya peningkatan proliferasi sel kanker, hiperplasia prostat, atau peradangan subklinis).</w:t>
      </w:r>
    </w:p>
    <w:p>
      <w:r>
        <w:rPr>
          <w:b/>
          <w:sz w:val="16"/>
        </w:rPr>
        <w:t>Sumber yang dirujuk NotebookLM:</w:t>
      </w:r>
    </w:p>
    <w:p>
      <w:pPr>
        <w:spacing w:after="0"/>
        <w:ind w:left="283"/>
      </w:pPr>
      <w:r>
        <w:rPr>
          <w:i/>
          <w:color w:val="595959"/>
          <w:sz w:val="16"/>
        </w:rPr>
        <w:t>Hodgson E. A Textbook of Modern Toxicology (4th ed., Wiley, 2010)</w:t>
      </w:r>
      <w:r>
        <w:rPr>
          <w:color w:val="595959"/>
          <w:sz w:val="16"/>
        </w:rPr>
        <w:t xml:space="preserve"> — Bab 1 (Prinsip Dosis-Respons), Bab 10 (Kurva Sigmoidal, Segmen I–V, Probit, Ambang, dan Hormesis), Bab 11 (Karsinogenesis Genotoksik vs Non-Genotoksik), dan Bab 23 (Penilaian Risiko, NOAEL, LOAEL, BMD, BMDL, LNT).</w:t>
      </w:r>
    </w:p>
    <w:p>
      <w:pPr>
        <w:spacing w:after="0"/>
        <w:ind w:left="283"/>
      </w:pPr>
      <w:r>
        <w:rPr>
          <w:i/>
          <w:color w:val="595959"/>
          <w:sz w:val="16"/>
        </w:rPr>
        <w:t>Charlene McQueen. Comprehensive Toxicology (Elsevier, 2025)</w:t>
      </w:r>
      <w:r>
        <w:rPr>
          <w:color w:val="595959"/>
          <w:sz w:val="16"/>
        </w:rPr>
        <w:t xml:space="preserve"> — Bagian 1.01, 1.02, dan 1.03 (Pemodelan Dosis-Respons, Kurva Non-Monotonik, Batasan Plastisitas Hormesis Calabrese, serta Perbandingan Prediksi LNT vs Ambang).</w:t>
      </w:r>
    </w:p>
    <w:p>
      <w:pPr>
        <w:spacing w:after="0"/>
        <w:ind w:left="283"/>
      </w:pPr>
      <w:r>
        <w:rPr>
          <w:i/>
          <w:color w:val="595959"/>
          <w:sz w:val="16"/>
        </w:rPr>
        <w:t>Carey N. Pope &amp; Jing Liu. An Introduction to Interdisciplinary Toxicology (Academic Press, 2020)</w:t>
      </w:r>
      <w:r>
        <w:rPr>
          <w:color w:val="595959"/>
          <w:sz w:val="16"/>
        </w:rPr>
        <w:t xml:space="preserve"> — Bab 1 (Threshold vs Non-Threshold), Bab 8 (Karsinogen Genotoksik vs Non-Genotoksik), dan Bab 39 (Risk Assessment Paradigm, NOAEL vs BMDL).</w:t>
      </w:r>
    </w:p>
    <w:p>
      <w:pPr>
        <w:spacing w:after="0"/>
        <w:ind w:left="283"/>
      </w:pPr>
      <w:r>
        <w:rPr>
          <w:i/>
          <w:color w:val="595959"/>
          <w:sz w:val="16"/>
        </w:rPr>
        <w:t>Prof. Dr. dr. L. Meily Kurniawidjaja, dkk. Konsep Dasar Toksikologi Industri (FKM UI, 2021)</w:t>
      </w:r>
      <w:r>
        <w:rPr>
          <w:color w:val="595959"/>
          <w:sz w:val="16"/>
        </w:rPr>
        <w:t xml:space="preserve"> — Bab 2 (Hubungan Dosis-Respons, Kemiringan Slope, NOAEL/LOAEL, Perhitungan Konversi ADI ke NAB) dan Bab 7 (Ekstrapolasi Data Toksisitas Hewan ke Manusia).</w:t>
      </w:r>
    </w:p>
    <w:p>
      <w:pPr>
        <w:spacing w:after="0"/>
        <w:ind w:left="283"/>
      </w:pPr>
      <w:r>
        <w:rPr>
          <w:i/>
          <w:color w:val="595959"/>
          <w:sz w:val="16"/>
        </w:rPr>
        <w:t>Prof. Dr. dr. Muchtaruddin Mansyur, Sp.Ok. Penilaian Risiko Kimia Secara Kuantitatif</w:t>
      </w:r>
      <w:r>
        <w:rPr>
          <w:color w:val="595959"/>
          <w:sz w:val="16"/>
        </w:rPr>
        <w:t xml:space="preserve"> — Karakterisasi Risiko Non-Karsinogenik (HQ/RQ, RfD/RfC) vs Karsinogenik (Slope Factor, Non-Threshold).</w:t>
      </w:r>
    </w:p>
    <w:p>
      <w:pPr>
        <w:spacing w:after="0"/>
        <w:ind w:left="283"/>
      </w:pPr>
      <w:r>
        <w:rPr>
          <w:i/>
          <w:color w:val="595959"/>
          <w:sz w:val="16"/>
        </w:rPr>
        <w:t>Kemenkes RI. Pedoman Analisis Risiko Kesehatan Lingkungan (ARKL)</w:t>
      </w:r>
      <w:r>
        <w:rPr>
          <w:color w:val="595959"/>
          <w:sz w:val="16"/>
        </w:rPr>
        <w:t xml:space="preserve"> — Tata Cara Penentuan Intake, Nilai Referensi, dan Karakterisasi RQ vs ECR.</w:t>
      </w:r>
    </w:p>
    <w:p>
      <w:pPr>
        <w:spacing w:after="0"/>
        <w:ind w:left="283"/>
      </w:pPr>
      <w:r>
        <w:rPr>
          <w:i/>
          <w:color w:val="595959"/>
          <w:sz w:val="16"/>
        </w:rPr>
        <w:t>Human Biomonitoring Initiative (HBM4EU) / EFSA / ACGIH Documents on Cadmium &amp; Benzene</w:t>
      </w:r>
      <w:r>
        <w:rPr>
          <w:color w:val="595959"/>
          <w:sz w:val="16"/>
        </w:rPr>
        <w:t xml:space="preserve"> — Penerapan BMDL95 dan Penentuan Batas Biomonitoring.</w:t>
      </w:r>
    </w:p>
    <w:p>
      <w:pPr>
        <w:pStyle w:val="Heading2"/>
      </w:pPr>
      <w:bookmarkStart w:id="102" w:name="toc_002"/>
      <w:r>
        <w:t>1.2 LD50 dan LC50</w:t>
      </w:r>
      <w:bookmarkEnd w:id="102"/>
    </w:p>
    <w:p>
      <w:pPr>
        <w:pStyle w:val="Heading3"/>
      </w:pPr>
      <w:r>
        <w:t>1. Definisi dan Konsep Dasar</w:t>
      </w:r>
    </w:p>
    <w:p>
      <w:pPr>
        <w:pStyle w:val="Heading4"/>
      </w:pPr>
      <w:r>
        <w:t>a. Lethal Dose 50 (LD₅₀)</w:t>
      </w:r>
    </w:p>
    <w:p>
      <w:pPr>
        <w:pStyle w:val="ListBullet"/>
        <w:spacing w:after="20"/>
      </w:pPr>
      <w:r>
        <w:rPr>
          <w:b/>
        </w:rPr>
        <w:t>Definisi:</w:t>
      </w:r>
      <w:r>
        <w:rPr/>
        <w:t xml:space="preserve"> Dosis tunggal suatu bahan kimia yang diturunkan secara statistik, yang diestimasi menyebabkan kematian pada </w:t>
      </w:r>
      <w:r>
        <w:rPr>
          <w:b/>
        </w:rPr>
        <w:t>50% populasi hewan uji</w:t>
      </w:r>
      <w:r>
        <w:rPr/>
        <w:t xml:space="preserve"> di bawah kondisi eksperimental yang telah distandardisasi.</w:t>
      </w:r>
    </w:p>
    <w:p>
      <w:pPr>
        <w:pStyle w:val="ListBullet"/>
        <w:spacing w:after="20"/>
      </w:pPr>
      <w:r>
        <w:rPr>
          <w:b/>
        </w:rPr>
        <w:t>Sejarah:</w:t>
      </w:r>
      <w:r>
        <w:rPr/>
        <w:t xml:space="preserve"> Konsep kuantifikasi median dosis letal ini pertama kali diperkenalkan oleh </w:t>
      </w:r>
      <w:r>
        <w:rPr>
          <w:b/>
        </w:rPr>
        <w:t>J.W. Trevan pada tahun 1927</w:t>
      </w:r>
      <w:r>
        <w:rPr/>
        <w:t>.</w:t>
      </w:r>
    </w:p>
    <w:p>
      <w:pPr>
        <w:pStyle w:val="ListBullet"/>
        <w:spacing w:after="20"/>
      </w:pPr>
      <w:r>
        <w:rPr>
          <w:b/>
        </w:rPr>
        <w:t>Rute Administrasi:</w:t>
      </w:r>
      <w:r>
        <w:rPr/>
        <w:t xml:space="preserve"> Digunakan khusus untuk mengevaluasi pajanan melalui rute </w:t>
      </w:r>
      <w:r>
        <w:rPr>
          <w:b/>
        </w:rPr>
        <w:t>oral</w:t>
      </w:r>
      <w:r>
        <w:rPr/>
        <w:t xml:space="preserve"> dan </w:t>
      </w:r>
      <w:r>
        <w:rPr>
          <w:b/>
        </w:rPr>
        <w:t>dermal</w:t>
      </w:r>
      <w:r>
        <w:rPr/>
        <w:t xml:space="preserve"> (serta rute injeksi parenteral seperti intraperitoneal/intravena dalam konteks riset farmakologi eksperimental).</w:t>
      </w:r>
    </w:p>
    <w:p>
      <w:pPr>
        <w:pStyle w:val="Heading4"/>
      </w:pPr>
      <w:r>
        <w:t>b. Lethal Concentration 50 (LC₅₀)</w:t>
      </w:r>
    </w:p>
    <w:p>
      <w:pPr>
        <w:pStyle w:val="ListBullet"/>
        <w:spacing w:after="20"/>
      </w:pPr>
      <w:r>
        <w:rPr>
          <w:b/>
        </w:rPr>
        <w:t>Definisi:</w:t>
      </w:r>
      <w:r>
        <w:rPr/>
        <w:t xml:space="preserve"> Konsentrasi suatu zat kimia di lingkungan medium uji (khususnya </w:t>
      </w:r>
      <w:r>
        <w:rPr>
          <w:b/>
        </w:rPr>
        <w:t>udara ruang kerja</w:t>
      </w:r>
      <w:r>
        <w:rPr/>
        <w:t xml:space="preserve"> untuk toksikologi okupasi dan inhalasi, atau air untuk ekotoksikologi akuatik) yang diestimasi mematikan </w:t>
      </w:r>
      <w:r>
        <w:rPr>
          <w:b/>
        </w:rPr>
        <w:t>50% populasi organisme uji</w:t>
      </w:r>
      <w:r>
        <w:rPr/>
        <w:t xml:space="preserve"> dalam durasi pajanan tertentu.</w:t>
      </w:r>
    </w:p>
    <w:p>
      <w:pPr>
        <w:pStyle w:val="ListBullet"/>
        <w:spacing w:after="20"/>
      </w:pPr>
      <w:r>
        <w:rPr>
          <w:b/>
        </w:rPr>
        <w:t>Konteks Okupasi:</w:t>
      </w:r>
      <w:r>
        <w:rPr/>
        <w:t xml:space="preserve"> Digunakan sebagai pengganti LD₅₀ apabila rute masuk utama toksikan adalah melalui sistem pernapasan (</w:t>
      </w:r>
      <w:r>
        <w:rPr>
          <w:i/>
        </w:rPr>
        <w:t>inhalation route</w:t>
      </w:r>
      <w:r>
        <w:rPr/>
        <w:t>), seperti pada pajanan gas, uap (</w:t>
      </w:r>
      <w:r>
        <w:rPr>
          <w:i/>
        </w:rPr>
        <w:t>vapours</w:t>
      </w:r>
      <w:r>
        <w:rPr/>
        <w:t>), aerosol, debu (</w:t>
      </w:r>
      <w:r>
        <w:rPr>
          <w:i/>
        </w:rPr>
        <w:t>dusts</w:t>
      </w:r>
      <w:r>
        <w:rPr/>
        <w:t>), serat, dan kabut (</w:t>
      </w:r>
      <w:r>
        <w:rPr>
          <w:i/>
        </w:rPr>
        <w:t>mists</w:t>
      </w:r>
      <w:r>
        <w:rPr/>
        <w:t>).</w:t>
      </w:r>
    </w:p>
    <w:p>
      <w:pPr>
        <w:pStyle w:val="Heading3"/>
      </w:pPr>
      <w:r>
        <w:t>2. Satuan dan Normalisasi Matriks</w:t>
      </w:r>
    </w:p>
    <w:p>
      <w:pPr>
        <w:spacing w:after="80"/>
      </w:pPr>
      <w:r>
        <w:rPr/>
        <w:t>Satuan yang digunakan mencerminkan bagaimana dosis atau konsentrasi dinormalisasi terhadap sistem biologis maupun lingkungan kerja:</w:t>
      </w:r>
    </w:p>
    <w:p>
      <w:pPr>
        <w:pStyle w:val="ListBullet"/>
        <w:spacing w:after="20"/>
      </w:pPr>
      <w:r>
        <w:rPr>
          <w:b/>
        </w:rPr>
        <w:t>mg/kg Berat Badan (BB):</w:t>
      </w:r>
    </w:p>
    <w:p>
      <w:pPr>
        <w:spacing w:after="80"/>
      </w:pPr>
      <w:r>
        <w:rPr/>
        <w:t xml:space="preserve">Satuan baku untuk </w:t>
      </w:r>
      <w:r>
        <w:rPr>
          <w:b/>
        </w:rPr>
        <w:t>LD₅₀</w:t>
      </w:r>
      <w:r>
        <w:rPr/>
        <w:t xml:space="preserve"> (oral maupun dermal). Satuan ini menormalisasi massa toksikan murni (miligram) terhadap massa tubuh organisme penerima (kilogram berat badan) untuk memungkinkan perbandingan toksisitas antarspesies yang memiliki ukuran tubuh berbeda.</w:t>
      </w:r>
    </w:p>
    <w:p>
      <w:pPr>
        <w:pStyle w:val="ListBullet"/>
        <w:spacing w:after="20"/>
      </w:pPr>
      <w:r>
        <w:rPr>
          <w:b/>
        </w:rPr>
        <w:t>ppm atau ppmV (</w:t>
      </w:r>
      <w:r>
        <w:rPr>
          <w:b/>
          <w:i/>
        </w:rPr>
        <w:t>Parts Per Million by Volume</w:t>
      </w:r>
      <w:r>
        <w:rPr>
          <w:b/>
        </w:rPr>
        <w:t xml:space="preserve"> / BDS - Bagian Dalam Sejuta):</w:t>
      </w:r>
    </w:p>
    <w:p>
      <w:pPr>
        <w:spacing w:after="80"/>
      </w:pPr>
      <w:r>
        <w:rPr/>
        <w:t xml:space="preserve">Satuan konsentrasi volumetrik di udara yang digunakan pada </w:t>
      </w:r>
      <w:r>
        <w:rPr>
          <w:b/>
        </w:rPr>
        <w:t>LC₅₀ inhalasi untuk gas</w:t>
      </w:r>
      <w:r>
        <w:rPr/>
        <w:t>. Menunjukkan rasio volume molekul gas kontaminan per satu juta volume udara terdistribusi.</w:t>
      </w:r>
    </w:p>
    <w:p>
      <w:pPr>
        <w:pStyle w:val="ListBullet"/>
        <w:spacing w:after="20"/>
      </w:pPr>
      <w:r>
        <w:rPr>
          <w:b/>
        </w:rPr>
        <w:t>mg/l atau mg/m³:</w:t>
      </w:r>
    </w:p>
    <w:p>
      <w:pPr>
        <w:pStyle w:val="ListBullet2"/>
        <w:spacing w:after="20"/>
      </w:pPr>
      <w:r>
        <w:rPr/>
        <w:t xml:space="preserve">Dalam pedoman internasional </w:t>
      </w:r>
      <w:r>
        <w:rPr>
          <w:b/>
        </w:rPr>
        <w:t>GHS</w:t>
      </w:r>
      <w:r>
        <w:rPr/>
        <w:t xml:space="preserve">, konsentrasi udara inhalasi untuk </w:t>
      </w:r>
      <w:r>
        <w:rPr>
          <w:b/>
        </w:rPr>
        <w:t>uap (</w:t>
      </w:r>
      <w:r>
        <w:rPr>
          <w:b/>
          <w:i/>
        </w:rPr>
        <w:t>vapours</w:t>
      </w:r>
      <w:r>
        <w:rPr>
          <w:b/>
        </w:rPr>
        <w:t>)</w:t>
      </w:r>
      <w:r>
        <w:rPr/>
        <w:t xml:space="preserve">, serta </w:t>
      </w:r>
      <w:r>
        <w:rPr>
          <w:b/>
        </w:rPr>
        <w:t xml:space="preserve">partikulat (debu dan kabut / </w:t>
      </w:r>
      <w:r>
        <w:rPr>
          <w:b/>
          <w:i/>
        </w:rPr>
        <w:t>dusts and mists</w:t>
      </w:r>
      <w:r>
        <w:rPr>
          <w:b/>
        </w:rPr>
        <w:t>)</w:t>
      </w:r>
      <w:r>
        <w:rPr/>
        <w:t xml:space="preserve"> dinyatakan dalam satuan </w:t>
      </w:r>
      <w:r>
        <w:rPr>
          <w:b/>
        </w:rPr>
        <w:t>mg/l udara</w:t>
      </w:r>
      <w:r>
        <w:rPr/>
        <w:t>.</w:t>
      </w:r>
    </w:p>
    <w:p>
      <w:pPr>
        <w:pStyle w:val="ListBullet2"/>
        <w:spacing w:after="20"/>
      </w:pPr>
      <w:r>
        <w:rPr/>
        <w:t xml:space="preserve">Dalam higiene industri dan standar Nilai Ambang Batas (NAB) lingkungan kerja nasional, konsentrasi uap dan partikulat ini lazim dikonversi ke </w:t>
      </w:r>
      <w:r>
        <w:rPr>
          <w:b/>
        </w:rPr>
        <w:t>mg/m³</w:t>
      </w:r>
      <w:r>
        <w:rPr/>
        <w:t xml:space="preserve"> (di mana 1 mg/l = 1.000 mg/m³).</w:t>
      </w:r>
    </w:p>
    <w:p>
      <w:pPr>
        <w:pStyle w:val="Heading3"/>
      </w:pPr>
      <w:r>
        <w:t>3. Klasifikasi Toksisitas Akut Menurut GHS (Globally Harmonized System)</w:t>
      </w:r>
    </w:p>
    <w:p>
      <w:pPr>
        <w:spacing w:after="80"/>
      </w:pPr>
      <w:r>
        <w:rPr/>
        <w:t>Sistem Harmonisasi Global PBB (</w:t>
      </w:r>
      <w:r>
        <w:rPr>
          <w:i/>
        </w:rPr>
        <w:t>United Nations GHS</w:t>
      </w:r>
      <w:r>
        <w:rPr/>
        <w:t xml:space="preserve">) mengelompokkan bahaya toksisitas akut menjadi </w:t>
      </w:r>
      <w:r>
        <w:rPr>
          <w:b/>
        </w:rPr>
        <w:t>5 Kategori Bahaya (</w:t>
      </w:r>
      <w:r>
        <w:rPr>
          <w:b/>
          <w:i/>
        </w:rPr>
        <w:t>Hazard Categories</w:t>
      </w:r>
      <w:r>
        <w:rPr>
          <w:b/>
        </w:rPr>
        <w:t>)</w:t>
      </w:r>
      <w:r>
        <w:rPr/>
        <w:t xml:space="preserve"> berdasarkan nilai batas (</w:t>
      </w:r>
      <w:r>
        <w:rPr>
          <w:i/>
        </w:rPr>
        <w:t>numeric cut-off criteria</w:t>
      </w:r>
      <w:r>
        <w:rPr/>
        <w:t xml:space="preserve">) dari </w:t>
      </w:r>
      <w:r>
        <w:rPr>
          <w:i/>
        </w:rPr>
        <w:t>Acute Toxicity Estimates</w:t>
      </w:r>
      <w:r>
        <w:rPr/>
        <w:t xml:space="preserve"> (ATE) atau nilai riil LD₅₀/LC₅₀.</w:t>
      </w:r>
    </w:p>
    <w:p>
      <w:pPr>
        <w:ind w:left="454"/>
      </w:pPr>
      <w:r>
        <w:rPr>
          <w:b/>
          <w:i/>
        </w:rPr>
        <w:t>Catatan Ujian:</w:t>
      </w:r>
      <w:r>
        <w:rPr>
          <w:i/>
        </w:rPr>
        <w:t xml:space="preserve"> Durasi uji baku inhalasi pada GHS adalah </w:t>
      </w:r>
      <w:r>
        <w:rPr>
          <w:b/>
          <w:i/>
        </w:rPr>
        <w:t>4 jam</w:t>
      </w:r>
      <w:r>
        <w:rPr>
          <w:i/>
        </w:rPr>
        <w:t>. Jika data historis diperoleh dari uji durasi 1 jam, nilai tersebut harus dikonversi dengan membaginya dengan faktor 2 (untuk gas dan uap) atau membaginya dengan faktor 4 (untuk debu dan kabut).</w:t>
      </w:r>
    </w:p>
    <w:p>
      <w:pPr>
        <w:pStyle w:val="Heading4"/>
      </w:pPr>
      <w:r>
        <w:t>Tabel Kriteria Cut-off Toksisitas Akut GHS (Revisi Ke-8, UN 2019):</w:t>
      </w:r>
    </w:p>
    <w:tbl>
      <w:tblPr>
        <w:tblStyle w:val="TableGrid"/>
        <w:tblW w:type="auto" w:w="0"/>
        <w:tblLook w:firstColumn="1" w:firstRow="1" w:lastColumn="0" w:lastRow="0" w:noHBand="0" w:noVBand="1" w:val="04A0"/>
      </w:tblPr>
      <w:tblGrid>
        <w:gridCol w:w="1587"/>
        <w:gridCol w:w="1587"/>
        <w:gridCol w:w="1587"/>
        <w:gridCol w:w="1587"/>
        <w:gridCol w:w="1587"/>
        <w:gridCol w:w="1587"/>
      </w:tblGrid>
      <w:tr>
        <w:tc>
          <w:tcPr>
            <w:tcW w:type="dxa" w:w="1587"/>
            <w:shd w:val="clear" w:color="auto" w:fill="DCE6F1"/>
          </w:tcPr>
          <w:p>
            <w:pPr>
              <w:spacing w:after="0"/>
            </w:pPr>
            <w:r/>
            <w:r>
              <w:rPr>
                <w:b/>
                <w:sz w:val="16"/>
              </w:rPr>
              <w:t>Rute Pajanan</w:t>
            </w:r>
          </w:p>
        </w:tc>
        <w:tc>
          <w:tcPr>
            <w:tcW w:type="dxa" w:w="1587"/>
            <w:shd w:val="clear" w:color="auto" w:fill="DCE6F1"/>
          </w:tcPr>
          <w:p>
            <w:pPr>
              <w:spacing w:after="0"/>
            </w:pPr>
            <w:r/>
            <w:r>
              <w:rPr>
                <w:b/>
                <w:sz w:val="16"/>
              </w:rPr>
              <w:t>Kategori 1</w:t>
            </w:r>
          </w:p>
        </w:tc>
        <w:tc>
          <w:tcPr>
            <w:tcW w:type="dxa" w:w="1587"/>
            <w:shd w:val="clear" w:color="auto" w:fill="DCE6F1"/>
          </w:tcPr>
          <w:p>
            <w:pPr>
              <w:spacing w:after="0"/>
            </w:pPr>
            <w:r/>
            <w:r>
              <w:rPr>
                <w:b/>
                <w:sz w:val="16"/>
              </w:rPr>
              <w:t>Kategori 2</w:t>
            </w:r>
          </w:p>
        </w:tc>
        <w:tc>
          <w:tcPr>
            <w:tcW w:type="dxa" w:w="1587"/>
            <w:shd w:val="clear" w:color="auto" w:fill="DCE6F1"/>
          </w:tcPr>
          <w:p>
            <w:pPr>
              <w:spacing w:after="0"/>
            </w:pPr>
            <w:r/>
            <w:r>
              <w:rPr>
                <w:b/>
                <w:sz w:val="16"/>
              </w:rPr>
              <w:t>Kategori 3</w:t>
            </w:r>
          </w:p>
        </w:tc>
        <w:tc>
          <w:tcPr>
            <w:tcW w:type="dxa" w:w="1587"/>
            <w:shd w:val="clear" w:color="auto" w:fill="DCE6F1"/>
          </w:tcPr>
          <w:p>
            <w:pPr>
              <w:spacing w:after="0"/>
            </w:pPr>
            <w:r/>
            <w:r>
              <w:rPr>
                <w:b/>
                <w:sz w:val="16"/>
              </w:rPr>
              <w:t>Kategori 4</w:t>
            </w:r>
          </w:p>
        </w:tc>
        <w:tc>
          <w:tcPr>
            <w:tcW w:type="dxa" w:w="1587"/>
            <w:shd w:val="clear" w:color="auto" w:fill="DCE6F1"/>
          </w:tcPr>
          <w:p>
            <w:pPr>
              <w:spacing w:after="0"/>
            </w:pPr>
            <w:r/>
            <w:r>
              <w:rPr>
                <w:b/>
                <w:sz w:val="16"/>
              </w:rPr>
              <w:t>Kategori 5</w:t>
            </w:r>
          </w:p>
        </w:tc>
      </w:tr>
      <w:tr>
        <w:tc>
          <w:tcPr>
            <w:tcW w:type="dxa" w:w="1587"/>
          </w:tcPr>
          <w:p>
            <w:pPr>
              <w:spacing w:after="0"/>
            </w:pPr>
            <w:r/>
            <w:r>
              <w:rPr>
                <w:b/>
                <w:sz w:val="16"/>
              </w:rPr>
              <w:t>Oral</w:t>
            </w:r>
            <w:r>
              <w:rPr>
                <w:sz w:val="16"/>
              </w:rPr>
              <w:t xml:space="preserve"> (mg/kg BB)</w:t>
            </w:r>
          </w:p>
        </w:tc>
        <w:tc>
          <w:tcPr>
            <w:tcW w:type="dxa" w:w="1587"/>
          </w:tcPr>
          <w:p>
            <w:pPr>
              <w:spacing w:after="0"/>
            </w:pPr>
            <w:r/>
            <w:r>
              <w:rPr>
                <w:sz w:val="16"/>
              </w:rPr>
              <w:t>≤ 5</w:t>
            </w:r>
          </w:p>
        </w:tc>
        <w:tc>
          <w:tcPr>
            <w:tcW w:type="dxa" w:w="1587"/>
          </w:tcPr>
          <w:p>
            <w:pPr>
              <w:spacing w:after="0"/>
            </w:pPr>
            <w:r/>
            <w:r>
              <w:rPr>
                <w:sz w:val="16"/>
              </w:rPr>
              <w:t>&gt; 5 s.d. ≤ 50</w:t>
            </w:r>
          </w:p>
        </w:tc>
        <w:tc>
          <w:tcPr>
            <w:tcW w:type="dxa" w:w="1587"/>
          </w:tcPr>
          <w:p>
            <w:pPr>
              <w:spacing w:after="0"/>
            </w:pPr>
            <w:r/>
            <w:r>
              <w:rPr>
                <w:sz w:val="16"/>
              </w:rPr>
              <w:t>&gt; 50 s.d. ≤ 300</w:t>
            </w:r>
          </w:p>
        </w:tc>
        <w:tc>
          <w:tcPr>
            <w:tcW w:type="dxa" w:w="1587"/>
          </w:tcPr>
          <w:p>
            <w:pPr>
              <w:spacing w:after="0"/>
            </w:pPr>
            <w:r/>
            <w:r>
              <w:rPr>
                <w:sz w:val="16"/>
              </w:rPr>
              <w:t>&gt; 300 s.d. ≤ 2.000</w:t>
            </w:r>
          </w:p>
        </w:tc>
        <w:tc>
          <w:tcPr>
            <w:tcW w:type="dxa" w:w="1587"/>
          </w:tcPr>
          <w:p>
            <w:pPr>
              <w:spacing w:after="0"/>
            </w:pPr>
            <w:r/>
            <w:r>
              <w:rPr>
                <w:sz w:val="16"/>
              </w:rPr>
              <w:t>&gt; 2.000 s.d. ≤ 5.000</w:t>
            </w:r>
          </w:p>
        </w:tc>
      </w:tr>
      <w:tr>
        <w:tc>
          <w:tcPr>
            <w:tcW w:type="dxa" w:w="1587"/>
          </w:tcPr>
          <w:p>
            <w:pPr>
              <w:spacing w:after="0"/>
            </w:pPr>
            <w:r/>
            <w:r>
              <w:rPr>
                <w:b/>
                <w:sz w:val="16"/>
              </w:rPr>
              <w:t>Dermal</w:t>
            </w:r>
            <w:r>
              <w:rPr>
                <w:sz w:val="16"/>
              </w:rPr>
              <w:t xml:space="preserve"> (mg/kg BB)</w:t>
            </w:r>
          </w:p>
        </w:tc>
        <w:tc>
          <w:tcPr>
            <w:tcW w:type="dxa" w:w="1587"/>
          </w:tcPr>
          <w:p>
            <w:pPr>
              <w:spacing w:after="0"/>
            </w:pPr>
            <w:r/>
            <w:r>
              <w:rPr>
                <w:sz w:val="16"/>
              </w:rPr>
              <w:t>≤ 50</w:t>
            </w:r>
          </w:p>
        </w:tc>
        <w:tc>
          <w:tcPr>
            <w:tcW w:type="dxa" w:w="1587"/>
          </w:tcPr>
          <w:p>
            <w:pPr>
              <w:spacing w:after="0"/>
            </w:pPr>
            <w:r/>
            <w:r>
              <w:rPr>
                <w:sz w:val="16"/>
              </w:rPr>
              <w:t>&gt; 50 s.d. ≤ 200</w:t>
            </w:r>
          </w:p>
        </w:tc>
        <w:tc>
          <w:tcPr>
            <w:tcW w:type="dxa" w:w="1587"/>
          </w:tcPr>
          <w:p>
            <w:pPr>
              <w:spacing w:after="0"/>
            </w:pPr>
            <w:r/>
            <w:r>
              <w:rPr>
                <w:sz w:val="16"/>
              </w:rPr>
              <w:t>&gt; 200 s.d. ≤ 1.000</w:t>
            </w:r>
          </w:p>
        </w:tc>
        <w:tc>
          <w:tcPr>
            <w:tcW w:type="dxa" w:w="1587"/>
          </w:tcPr>
          <w:p>
            <w:pPr>
              <w:spacing w:after="0"/>
            </w:pPr>
            <w:r/>
            <w:r>
              <w:rPr>
                <w:sz w:val="16"/>
              </w:rPr>
              <w:t>&gt; 1.000 s.d. ≤ 2.000</w:t>
            </w:r>
          </w:p>
        </w:tc>
        <w:tc>
          <w:tcPr>
            <w:tcW w:type="dxa" w:w="1587"/>
          </w:tcPr>
          <w:p>
            <w:pPr>
              <w:spacing w:after="0"/>
            </w:pPr>
            <w:r/>
            <w:r>
              <w:rPr>
                <w:sz w:val="16"/>
              </w:rPr>
              <w:t>&gt; 2.000 s.d. ≤ 5.000</w:t>
            </w:r>
          </w:p>
        </w:tc>
      </w:tr>
      <w:tr>
        <w:tc>
          <w:tcPr>
            <w:tcW w:type="dxa" w:w="1587"/>
          </w:tcPr>
          <w:p>
            <w:pPr>
              <w:spacing w:after="0"/>
            </w:pPr>
            <w:r/>
            <w:r>
              <w:rPr>
                <w:b/>
                <w:sz w:val="16"/>
              </w:rPr>
              <w:t>Inhalasi: Gas</w:t>
            </w:r>
            <w:r>
              <w:rPr>
                <w:sz w:val="16"/>
              </w:rPr>
              <w:t xml:space="preserve"> (ppmV)</w:t>
            </w:r>
          </w:p>
        </w:tc>
        <w:tc>
          <w:tcPr>
            <w:tcW w:type="dxa" w:w="1587"/>
          </w:tcPr>
          <w:p>
            <w:pPr>
              <w:spacing w:after="0"/>
            </w:pPr>
            <w:r/>
            <w:r>
              <w:rPr>
                <w:sz w:val="16"/>
              </w:rPr>
              <w:t>≤ 100</w:t>
            </w:r>
          </w:p>
        </w:tc>
        <w:tc>
          <w:tcPr>
            <w:tcW w:type="dxa" w:w="1587"/>
          </w:tcPr>
          <w:p>
            <w:pPr>
              <w:spacing w:after="0"/>
            </w:pPr>
            <w:r/>
            <w:r>
              <w:rPr>
                <w:sz w:val="16"/>
              </w:rPr>
              <w:t>&gt; 100 s.d. ≤ 500</w:t>
            </w:r>
          </w:p>
        </w:tc>
        <w:tc>
          <w:tcPr>
            <w:tcW w:type="dxa" w:w="1587"/>
          </w:tcPr>
          <w:p>
            <w:pPr>
              <w:spacing w:after="0"/>
            </w:pPr>
            <w:r/>
            <w:r>
              <w:rPr>
                <w:sz w:val="16"/>
              </w:rPr>
              <w:t>&gt; 500 s.d. ≤ 2.500</w:t>
            </w:r>
          </w:p>
        </w:tc>
        <w:tc>
          <w:tcPr>
            <w:tcW w:type="dxa" w:w="1587"/>
          </w:tcPr>
          <w:p>
            <w:pPr>
              <w:spacing w:after="0"/>
            </w:pPr>
            <w:r/>
            <w:r>
              <w:rPr>
                <w:sz w:val="16"/>
              </w:rPr>
              <w:t>&gt; 2.500 s.d. ≤ 20.000</w:t>
            </w:r>
          </w:p>
        </w:tc>
        <w:tc>
          <w:tcPr>
            <w:tcW w:type="dxa" w:w="1587"/>
          </w:tcPr>
          <w:p>
            <w:pPr>
              <w:spacing w:after="0"/>
            </w:pPr>
            <w:r/>
            <w:r>
              <w:rPr>
                <w:sz w:val="16"/>
              </w:rPr>
              <w:t>Dosis setara oral/dermal (2.000–5.000 mg/kg)*</w:t>
            </w:r>
          </w:p>
        </w:tc>
      </w:tr>
      <w:tr>
        <w:tc>
          <w:tcPr>
            <w:tcW w:type="dxa" w:w="1587"/>
          </w:tcPr>
          <w:p>
            <w:pPr>
              <w:spacing w:after="0"/>
            </w:pPr>
            <w:r/>
            <w:r>
              <w:rPr>
                <w:b/>
                <w:sz w:val="16"/>
              </w:rPr>
              <w:t>Inhalasi: Uap</w:t>
            </w:r>
            <w:r>
              <w:rPr>
                <w:sz w:val="16"/>
              </w:rPr>
              <w:t xml:space="preserve"> (mg/l)</w:t>
            </w:r>
          </w:p>
        </w:tc>
        <w:tc>
          <w:tcPr>
            <w:tcW w:type="dxa" w:w="1587"/>
          </w:tcPr>
          <w:p>
            <w:pPr>
              <w:spacing w:after="0"/>
            </w:pPr>
            <w:r/>
            <w:r>
              <w:rPr>
                <w:sz w:val="16"/>
              </w:rPr>
              <w:t>≤ 0,5</w:t>
            </w:r>
          </w:p>
        </w:tc>
        <w:tc>
          <w:tcPr>
            <w:tcW w:type="dxa" w:w="1587"/>
          </w:tcPr>
          <w:p>
            <w:pPr>
              <w:spacing w:after="0"/>
            </w:pPr>
            <w:r/>
            <w:r>
              <w:rPr>
                <w:sz w:val="16"/>
              </w:rPr>
              <w:t>&gt; 0,5 s.d. ≤ 2,0</w:t>
            </w:r>
          </w:p>
        </w:tc>
        <w:tc>
          <w:tcPr>
            <w:tcW w:type="dxa" w:w="1587"/>
          </w:tcPr>
          <w:p>
            <w:pPr>
              <w:spacing w:after="0"/>
            </w:pPr>
            <w:r/>
            <w:r>
              <w:rPr>
                <w:sz w:val="16"/>
              </w:rPr>
              <w:t>&gt; 2,0 s.d. ≤ 10,0</w:t>
            </w:r>
          </w:p>
        </w:tc>
        <w:tc>
          <w:tcPr>
            <w:tcW w:type="dxa" w:w="1587"/>
          </w:tcPr>
          <w:p>
            <w:pPr>
              <w:spacing w:after="0"/>
            </w:pPr>
            <w:r/>
            <w:r>
              <w:rPr>
                <w:sz w:val="16"/>
              </w:rPr>
              <w:t>&gt; 10,0 s.d. ≤ 20,0</w:t>
            </w:r>
          </w:p>
        </w:tc>
        <w:tc>
          <w:tcPr>
            <w:tcW w:type="dxa" w:w="1587"/>
          </w:tcPr>
          <w:p>
            <w:pPr>
              <w:spacing w:after="0"/>
            </w:pPr>
            <w:r/>
            <w:r>
              <w:rPr>
                <w:sz w:val="16"/>
              </w:rPr>
              <w:t>Dosis setara oral/dermal (2.000–5.000 mg/kg)*</w:t>
            </w:r>
          </w:p>
        </w:tc>
      </w:tr>
      <w:tr>
        <w:tc>
          <w:tcPr>
            <w:tcW w:type="dxa" w:w="1587"/>
          </w:tcPr>
          <w:p>
            <w:pPr>
              <w:spacing w:after="0"/>
            </w:pPr>
            <w:r/>
            <w:r>
              <w:rPr>
                <w:b/>
                <w:sz w:val="16"/>
              </w:rPr>
              <w:t>Inhalasi: Debu &amp; Kabut</w:t>
            </w:r>
            <w:r>
              <w:rPr>
                <w:sz w:val="16"/>
              </w:rPr>
              <w:t xml:space="preserve"> (mg/l)</w:t>
            </w:r>
          </w:p>
        </w:tc>
        <w:tc>
          <w:tcPr>
            <w:tcW w:type="dxa" w:w="1587"/>
          </w:tcPr>
          <w:p>
            <w:pPr>
              <w:spacing w:after="0"/>
            </w:pPr>
            <w:r/>
            <w:r>
              <w:rPr>
                <w:sz w:val="16"/>
              </w:rPr>
              <w:t>≤ 0,05</w:t>
            </w:r>
          </w:p>
        </w:tc>
        <w:tc>
          <w:tcPr>
            <w:tcW w:type="dxa" w:w="1587"/>
          </w:tcPr>
          <w:p>
            <w:pPr>
              <w:spacing w:after="0"/>
            </w:pPr>
            <w:r/>
            <w:r>
              <w:rPr>
                <w:sz w:val="16"/>
              </w:rPr>
              <w:t>&gt; 0,05 s.d. ≤ 0,5</w:t>
            </w:r>
          </w:p>
        </w:tc>
        <w:tc>
          <w:tcPr>
            <w:tcW w:type="dxa" w:w="1587"/>
          </w:tcPr>
          <w:p>
            <w:pPr>
              <w:spacing w:after="0"/>
            </w:pPr>
            <w:r/>
            <w:r>
              <w:rPr>
                <w:sz w:val="16"/>
              </w:rPr>
              <w:t>&gt; 0,5 s.d. ≤ 1,0</w:t>
            </w:r>
          </w:p>
        </w:tc>
        <w:tc>
          <w:tcPr>
            <w:tcW w:type="dxa" w:w="1587"/>
          </w:tcPr>
          <w:p>
            <w:pPr>
              <w:spacing w:after="0"/>
            </w:pPr>
            <w:r/>
            <w:r>
              <w:rPr>
                <w:sz w:val="16"/>
              </w:rPr>
              <w:t>&gt; 1,0 s.d. ≤ 5,0</w:t>
            </w:r>
          </w:p>
        </w:tc>
        <w:tc>
          <w:tcPr>
            <w:tcW w:type="dxa" w:w="1587"/>
          </w:tcPr>
          <w:p>
            <w:pPr>
              <w:spacing w:after="0"/>
            </w:pPr>
            <w:r/>
            <w:r>
              <w:rPr>
                <w:sz w:val="16"/>
              </w:rPr>
              <w:t>Dosis setara oral/dermal (2.000–5.000 mg/kg)*</w:t>
            </w:r>
          </w:p>
        </w:tc>
      </w:tr>
    </w:tbl>
    <w:p>
      <w:pPr>
        <w:spacing w:after="40"/>
      </w:pPr>
    </w:p>
    <w:p>
      <w:pPr>
        <w:spacing w:after="80"/>
      </w:pPr>
      <w:r>
        <w:rPr>
          <w:i/>
        </w:rPr>
        <w:t>\*Pedoman inhalasi Kategori 5: Task Force OECD tidak mencantumkan batasan numerik eksplisit pada tabel inhalasi Kat. 5, melainkan menggunakan dosis yang "setara" dengan rentang 2.000–5.000 mg/kg BB rute oral/dermal, atau ditentukan oleh otoritas regulasi terkait.</w:t>
      </w:r>
    </w:p>
    <w:p>
      <w:pPr>
        <w:pStyle w:val="Heading4"/>
      </w:pPr>
      <w:r>
        <w:t>Elemen Komunikasi Bahaya (Hazard Communication Elements):</w:t>
      </w:r>
    </w:p>
    <w:p>
      <w:pPr>
        <w:pStyle w:val="ListBullet"/>
        <w:spacing w:after="20"/>
      </w:pPr>
      <w:r>
        <w:rPr>
          <w:b/>
        </w:rPr>
        <w:t>Piktogram GHS:</w:t>
      </w:r>
    </w:p>
    <w:p>
      <w:pPr>
        <w:pStyle w:val="ListBullet2"/>
        <w:spacing w:after="20"/>
      </w:pPr>
      <w:r>
        <w:rPr>
          <w:b/>
        </w:rPr>
        <w:t>Kategori 1, 2, dan 3:</w:t>
      </w:r>
      <w:r>
        <w:rPr/>
        <w:t xml:space="preserve"> Simbol </w:t>
      </w:r>
      <w:r>
        <w:rPr>
          <w:i/>
        </w:rPr>
        <w:t>Skull and Crossbones</w:t>
      </w:r>
      <w:r>
        <w:rPr/>
        <w:t xml:space="preserve"> (Tengkorak dan tulang bersilang).</w:t>
      </w:r>
    </w:p>
    <w:p>
      <w:pPr>
        <w:pStyle w:val="ListBullet2"/>
        <w:spacing w:after="20"/>
      </w:pPr>
      <w:r>
        <w:rPr>
          <w:b/>
        </w:rPr>
        <w:t>Kategori 4:</w:t>
      </w:r>
      <w:r>
        <w:rPr/>
        <w:t xml:space="preserve"> Simbol </w:t>
      </w:r>
      <w:r>
        <w:rPr>
          <w:i/>
        </w:rPr>
        <w:t>Exclamation Mark</w:t>
      </w:r>
      <w:r>
        <w:rPr/>
        <w:t xml:space="preserve"> (Tanda seru).</w:t>
      </w:r>
    </w:p>
    <w:p>
      <w:pPr>
        <w:pStyle w:val="ListBullet2"/>
        <w:spacing w:after="20"/>
      </w:pPr>
      <w:r>
        <w:rPr>
          <w:b/>
        </w:rPr>
        <w:t>Kategori 5:</w:t>
      </w:r>
      <w:r>
        <w:rPr/>
        <w:t xml:space="preserve"> </w:t>
      </w:r>
      <w:r>
        <w:rPr>
          <w:b/>
        </w:rPr>
        <w:t>Tidak menggunakan piktogram simbol</w:t>
      </w:r>
      <w:r>
        <w:rPr/>
        <w:t xml:space="preserve"> (</w:t>
      </w:r>
      <w:r>
        <w:rPr>
          <w:i/>
        </w:rPr>
        <w:t>No symbol</w:t>
      </w:r>
      <w:r>
        <w:rPr/>
        <w:t>).</w:t>
      </w:r>
    </w:p>
    <w:p>
      <w:pPr>
        <w:pStyle w:val="ListBullet"/>
        <w:spacing w:after="20"/>
      </w:pPr>
      <w:r>
        <w:rPr>
          <w:b/>
        </w:rPr>
        <w:t>Kata Sinyal (</w:t>
      </w:r>
      <w:r>
        <w:rPr>
          <w:b/>
          <w:i/>
        </w:rPr>
        <w:t>Signal Word</w:t>
      </w:r>
      <w:r>
        <w:rPr>
          <w:b/>
        </w:rPr>
        <w:t>):</w:t>
      </w:r>
    </w:p>
    <w:p>
      <w:pPr>
        <w:pStyle w:val="ListBullet2"/>
        <w:spacing w:after="20"/>
      </w:pPr>
      <w:r>
        <w:rPr>
          <w:b/>
        </w:rPr>
        <w:t>Kategori 1, 2, dan 3:</w:t>
      </w:r>
      <w:r>
        <w:rPr/>
        <w:t xml:space="preserve"> </w:t>
      </w:r>
      <w:r>
        <w:rPr>
          <w:b/>
        </w:rPr>
        <w:t>DANGER</w:t>
      </w:r>
      <w:r>
        <w:rPr/>
        <w:t xml:space="preserve"> (Bahaya).</w:t>
      </w:r>
    </w:p>
    <w:p>
      <w:pPr>
        <w:pStyle w:val="ListBullet2"/>
        <w:spacing w:after="20"/>
      </w:pPr>
      <w:r>
        <w:rPr>
          <w:b/>
        </w:rPr>
        <w:t>Kategori 4 dan 5:</w:t>
      </w:r>
      <w:r>
        <w:rPr/>
        <w:t xml:space="preserve"> </w:t>
      </w:r>
      <w:r>
        <w:rPr>
          <w:b/>
        </w:rPr>
        <w:t>WARNING</w:t>
      </w:r>
      <w:r>
        <w:rPr/>
        <w:t xml:space="preserve"> (Peringatan).</w:t>
      </w:r>
    </w:p>
    <w:p>
      <w:pPr>
        <w:pStyle w:val="ListBullet"/>
        <w:spacing w:after="20"/>
      </w:pPr>
      <w:r>
        <w:rPr>
          <w:b/>
        </w:rPr>
        <w:t>Pernyataan Bahaya (</w:t>
      </w:r>
      <w:r>
        <w:rPr>
          <w:b/>
          <w:i/>
        </w:rPr>
        <w:t>Hazard Statements</w:t>
      </w:r>
      <w:r>
        <w:rPr>
          <w:b/>
        </w:rPr>
        <w:t>):</w:t>
      </w:r>
    </w:p>
    <w:p>
      <w:pPr>
        <w:pStyle w:val="ListBullet2"/>
        <w:spacing w:after="20"/>
      </w:pPr>
      <w:r>
        <w:rPr>
          <w:i/>
        </w:rPr>
        <w:t>Kategori 1 &amp; 2:</w:t>
      </w:r>
      <w:r>
        <w:rPr/>
        <w:t xml:space="preserve"> "Fatal if swallowed" (H300), "Fatal in contact with skin" (H310), "Fatal if inhaled" (H330).</w:t>
      </w:r>
    </w:p>
    <w:p>
      <w:pPr>
        <w:pStyle w:val="ListBullet2"/>
        <w:spacing w:after="20"/>
      </w:pPr>
      <w:r>
        <w:rPr>
          <w:i/>
        </w:rPr>
        <w:t>Kategori 3:</w:t>
      </w:r>
      <w:r>
        <w:rPr/>
        <w:t xml:space="preserve"> "Toxic if swallowed" (H301), "Toxic in contact with skin" (H311), "Toxic if inhaled" (H331).</w:t>
      </w:r>
    </w:p>
    <w:p>
      <w:pPr>
        <w:pStyle w:val="ListBullet2"/>
        <w:spacing w:after="20"/>
      </w:pPr>
      <w:r>
        <w:rPr>
          <w:i/>
        </w:rPr>
        <w:t>Kategori 4:</w:t>
      </w:r>
      <w:r>
        <w:rPr/>
        <w:t xml:space="preserve"> "Harmful if swallowed" (H302), "Harmful in contact with skin" (H312), "Harmful if inhaled" (H332).</w:t>
      </w:r>
    </w:p>
    <w:p>
      <w:pPr>
        <w:pStyle w:val="ListBullet2"/>
        <w:spacing w:after="20"/>
      </w:pPr>
      <w:r>
        <w:rPr>
          <w:i/>
        </w:rPr>
        <w:t>Kategori 5:</w:t>
      </w:r>
      <w:r>
        <w:rPr/>
        <w:t xml:space="preserve"> "May be harmful if swallowed" (H303), "May be harmful in contact with skin" (H313), "May be harmful if inhaled" (H333).</w:t>
      </w:r>
    </w:p>
    <w:p>
      <w:pPr>
        <w:pStyle w:val="Heading3"/>
      </w:pPr>
      <w:r>
        <w:t>4. Keterbatasan Fundamental LD₅₀ dan LC₅₀ sebagai Ukuran Toksisitas</w:t>
      </w:r>
    </w:p>
    <w:p>
      <w:pPr>
        <w:spacing w:after="80"/>
      </w:pPr>
      <w:r>
        <w:rPr/>
        <w:t>Dalam telaah ilmiah maupun dewan penguji, Anda harus mampu mengkritisi uji LD₅₀/LC₅₀. Uji ini memiliki kelemahan mendasar jika dijadikan satu-satunya rujukan keselamatan kerja:</w:t>
      </w:r>
    </w:p>
    <w:p>
      <w:pPr>
        <w:spacing w:after="40"/>
        <w:ind w:left="340" w:hanging="283"/>
      </w:pPr>
      <w:r>
        <w:rPr/>
        <w:t xml:space="preserve">1. </w:t>
      </w:r>
      <w:r>
        <w:rPr>
          <w:b/>
        </w:rPr>
        <w:t>Hanya Mengukur Titik Akhir Letalitas (</w:t>
      </w:r>
      <w:r>
        <w:rPr>
          <w:b/>
          <w:i/>
        </w:rPr>
        <w:t>Lethality Only</w:t>
      </w:r>
      <w:r>
        <w:rPr>
          <w:b/>
        </w:rPr>
        <w:t>):</w:t>
      </w:r>
    </w:p>
    <w:p>
      <w:pPr>
        <w:spacing w:after="80"/>
      </w:pPr>
      <w:r>
        <w:rPr/>
        <w:t xml:space="preserve">Uji ini semata-mata mencatat proporsi kematian subjek uji. Uji ini </w:t>
      </w:r>
      <w:r>
        <w:rPr>
          <w:b/>
        </w:rPr>
        <w:t>tidak mengevaluasi efek toksik non-letal</w:t>
      </w:r>
      <w:r>
        <w:rPr/>
        <w:t xml:space="preserve"> yang sangat krusial bagi pekerja di tempat kerja, seperti neurotoksisitas subklinis, hepatotoksisitas, nefrotoksisitas, iritasi bronkus, maupun sensitisasi alergi paru/kulit.</w:t>
      </w:r>
    </w:p>
    <w:p>
      <w:pPr>
        <w:spacing w:after="40"/>
        <w:ind w:left="340" w:hanging="283"/>
      </w:pPr>
      <w:r>
        <w:rPr/>
        <w:t xml:space="preserve">2. </w:t>
      </w:r>
      <w:r>
        <w:rPr>
          <w:b/>
        </w:rPr>
        <w:t>Sama Sekali Mengabaikan Efek Kronik, Mutagenik, dan Karsinogenik:</w:t>
      </w:r>
    </w:p>
    <w:p>
      <w:pPr>
        <w:spacing w:after="80"/>
      </w:pPr>
      <w:r>
        <w:rPr/>
        <w:t xml:space="preserve">Data toksisitas akut tidak dapat memprediksi toksisitas jangka panjang. Suatu zat karsinogenik laten seperti </w:t>
      </w:r>
      <w:r>
        <w:rPr>
          <w:b/>
        </w:rPr>
        <w:t>Benzena</w:t>
      </w:r>
      <w:r>
        <w:rPr/>
        <w:t xml:space="preserve"> atau </w:t>
      </w:r>
      <w:r>
        <w:rPr>
          <w:b/>
        </w:rPr>
        <w:t>Kromium Heksavalen [Cr(VI)]</w:t>
      </w:r>
      <w:r>
        <w:rPr/>
        <w:t xml:space="preserve"> mungkin memiliki nilai LD₅₀ yang relatif tinggi (terkesan tidak toksik secara akut), namun pajanan dosis sangat rendah dalam durasi bertahun-tahun mampu menginduksi mutasi DNA permanen dan keganasan hematologi atau karsinoma paru.</w:t>
      </w:r>
    </w:p>
    <w:p>
      <w:pPr>
        <w:spacing w:after="40"/>
        <w:ind w:left="340" w:hanging="283"/>
      </w:pPr>
      <w:r>
        <w:rPr/>
        <w:t xml:space="preserve">3. </w:t>
      </w:r>
      <w:r>
        <w:rPr>
          <w:b/>
        </w:rPr>
        <w:t>Variabilitas Ekstrem Antar-Laboratorium (</w:t>
      </w:r>
      <w:r>
        <w:rPr>
          <w:b/>
          <w:i/>
        </w:rPr>
        <w:t>Poor Interlaboratory Reproducibility</w:t>
      </w:r>
      <w:r>
        <w:rPr>
          <w:b/>
        </w:rPr>
        <w:t>):</w:t>
      </w:r>
    </w:p>
    <w:p>
      <w:pPr>
        <w:spacing w:after="80"/>
      </w:pPr>
      <w:r>
        <w:rPr/>
        <w:t>Hasil LD₅₀ sangat dipengaruhi oleh variabel biologis dan lingkungan uji: galur (</w:t>
      </w:r>
      <w:r>
        <w:rPr>
          <w:i/>
        </w:rPr>
        <w:t>strain</w:t>
      </w:r>
      <w:r>
        <w:rPr/>
        <w:t>), spesies, umur, bobot, jenis kelamin, status gizi, isi lambung/saluran cerna, suhu kandang, siklus sirkadian, serta teknik operator. Akibatnya, nilai LD₅₀ zat yang sama dapat bervariasi lebar jika diuji di laboratorium yang berbeda.</w:t>
      </w:r>
    </w:p>
    <w:p>
      <w:pPr>
        <w:spacing w:after="40"/>
        <w:ind w:left="340" w:hanging="283"/>
      </w:pPr>
      <w:r>
        <w:rPr/>
        <w:t xml:space="preserve">4. </w:t>
      </w:r>
      <w:r>
        <w:rPr>
          <w:b/>
        </w:rPr>
        <w:t xml:space="preserve">Masalah Etika dan Kesejahteraan Hewan (Pelanggaran Prinsip </w:t>
      </w:r>
      <w:r>
        <w:rPr>
          <w:b/>
          <w:i/>
        </w:rPr>
        <w:t>3R</w:t>
      </w:r>
      <w:r>
        <w:rPr>
          <w:b/>
        </w:rPr>
        <w:t>):</w:t>
      </w:r>
    </w:p>
    <w:p>
      <w:pPr>
        <w:spacing w:after="80"/>
      </w:pPr>
      <w:r>
        <w:rPr/>
        <w:t>Uji LD₅₀ klasik rancangan Trevan menuntut penggunaan hewan coba dalam jumlah sangat besar (sedikitnya 5 ekor per jenis kelamin per kelompok dosis, minimal 3 dosis bertingkat) hingga mencapai morbiditas fatal. Komunitas toksikologi modern kini menggantinya dengan metode alternatif yang menggunakan lebih sedikit hewan coba (reduksi dan perbaikan), seperti:</w:t>
      </w:r>
    </w:p>
    <w:p>
      <w:pPr>
        <w:pStyle w:val="ListBullet2"/>
        <w:spacing w:after="20"/>
      </w:pPr>
      <w:r>
        <w:rPr>
          <w:i/>
        </w:rPr>
        <w:t>Fixed Dose Procedure</w:t>
      </w:r>
      <w:r>
        <w:rPr/>
        <w:t xml:space="preserve"> (OECD TG 420)</w:t>
      </w:r>
    </w:p>
    <w:p>
      <w:pPr>
        <w:pStyle w:val="ListBullet2"/>
        <w:spacing w:after="20"/>
      </w:pPr>
      <w:r>
        <w:rPr>
          <w:i/>
        </w:rPr>
        <w:t>Acute Toxic Class Method</w:t>
      </w:r>
      <w:r>
        <w:rPr/>
        <w:t xml:space="preserve"> (OECD TG 423)</w:t>
      </w:r>
    </w:p>
    <w:p>
      <w:pPr>
        <w:pStyle w:val="ListBullet2"/>
        <w:spacing w:after="20"/>
      </w:pPr>
      <w:r>
        <w:rPr>
          <w:i/>
        </w:rPr>
        <w:t>Up-and-Down Procedure</w:t>
      </w:r>
      <w:r>
        <w:rPr/>
        <w:t xml:space="preserve"> (OECD TG 425)</w:t>
      </w:r>
    </w:p>
    <w:p>
      <w:pPr>
        <w:spacing w:after="40"/>
        <w:ind w:left="340" w:hanging="283"/>
      </w:pPr>
      <w:r>
        <w:rPr/>
        <w:t xml:space="preserve">5. </w:t>
      </w:r>
      <w:r>
        <w:rPr>
          <w:b/>
        </w:rPr>
        <w:t>Kelemahan Ekstrapolasi Antarspesies ke Manusia (</w:t>
      </w:r>
      <w:r>
        <w:rPr>
          <w:b/>
          <w:i/>
        </w:rPr>
        <w:t>Interspecies Extrapolation</w:t>
      </w:r>
      <w:r>
        <w:rPr>
          <w:b/>
        </w:rPr>
        <w:t>):</w:t>
      </w:r>
    </w:p>
    <w:p>
      <w:pPr>
        <w:spacing w:after="80"/>
      </w:pPr>
      <w:r>
        <w:rPr/>
        <w:t>Hewan pengerat laboratorium dibiakkan secara kawin sekerabat (</w:t>
      </w:r>
      <w:r>
        <w:rPr>
          <w:i/>
        </w:rPr>
        <w:t>highly inbred</w:t>
      </w:r>
      <w:r>
        <w:rPr/>
        <w:t xml:space="preserve">) sehingga homogen secara genetik. Sebaliknya, </w:t>
      </w:r>
      <w:r>
        <w:rPr>
          <w:b/>
        </w:rPr>
        <w:t>populasi pekerja manusia bersifat *outbred</w:t>
      </w:r>
      <w:r>
        <w:rPr/>
        <w:t>* dengan keanekaragaman polimorfisme genetik yang luas (misalnya perbedaan ekspresi enzim sitokrom P450 Fase I dan glutation transferase Fase II), variasi komorbiditas, usia, dan kerentanan individu.</w:t>
      </w:r>
    </w:p>
    <w:p>
      <w:pPr>
        <w:spacing w:after="40"/>
        <w:ind w:left="340" w:hanging="283"/>
      </w:pPr>
      <w:r>
        <w:rPr/>
        <w:t xml:space="preserve">6. </w:t>
      </w:r>
      <w:r>
        <w:rPr>
          <w:b/>
        </w:rPr>
        <w:t>Mengabaikan Kemiringan (</w:t>
      </w:r>
      <w:r>
        <w:rPr>
          <w:b/>
          <w:i/>
        </w:rPr>
        <w:t>Slope</w:t>
      </w:r>
      <w:r>
        <w:rPr>
          <w:b/>
        </w:rPr>
        <w:t>) Kurva Dosis-Respons:</w:t>
      </w:r>
    </w:p>
    <w:p>
      <w:pPr>
        <w:spacing w:after="80"/>
      </w:pPr>
      <w:r>
        <w:rPr/>
        <w:t xml:space="preserve">Hanya mengamati angka median tanpa melihat kurva respons adalah kesalahan fatal. Dua zat dapat memiliki nilai LD₅₀ yang identik (misalnya 50 mg/kg), namun zat dengan </w:t>
      </w:r>
      <w:r>
        <w:rPr>
          <w:b/>
        </w:rPr>
        <w:t>kurva curam (</w:t>
      </w:r>
      <w:r>
        <w:rPr>
          <w:b/>
          <w:i/>
        </w:rPr>
        <w:t>steep slope</w:t>
      </w:r>
      <w:r>
        <w:rPr>
          <w:b/>
        </w:rPr>
        <w:t>)</w:t>
      </w:r>
      <w:r>
        <w:rPr/>
        <w:t xml:space="preserve"> memiliki batas yang sangat sempit antara dosis tanpa gejala dan dosis yang mematikan, menjadikannya jauh lebih berbahaya jika terjadi lonjakan pajanan mendadak di industri dibanding zat ber-</w:t>
      </w:r>
      <w:r>
        <w:rPr>
          <w:b/>
        </w:rPr>
        <w:t>kurva landai (</w:t>
      </w:r>
      <w:r>
        <w:rPr>
          <w:b/>
          <w:i/>
        </w:rPr>
        <w:t>flat slope</w:t>
      </w:r>
      <w:r>
        <w:rPr>
          <w:b/>
        </w:rPr>
        <w:t>)</w:t>
      </w:r>
      <w:r>
        <w:rPr/>
        <w:t>.</w:t>
      </w:r>
    </w:p>
    <w:p>
      <w:pPr>
        <w:spacing w:after="40"/>
        <w:ind w:left="340" w:hanging="283"/>
      </w:pPr>
      <w:r>
        <w:rPr/>
        <w:t xml:space="preserve">7. </w:t>
      </w:r>
      <w:r>
        <w:rPr>
          <w:b/>
        </w:rPr>
        <w:t>Tidak Menentukan Nilai Pajanan Lingkungan yang Aman:</w:t>
      </w:r>
    </w:p>
    <w:p>
      <w:pPr>
        <w:spacing w:after="80"/>
      </w:pPr>
      <w:r>
        <w:rPr/>
        <w:t>Kadar yang mematikan 50% populasi organisme sama sekali bukan acuan batas pajanan kerja yang aman (</w:t>
      </w:r>
      <w:r>
        <w:rPr>
          <w:i/>
        </w:rPr>
        <w:t>a concentration that kills 50% of exposed organisms is hardly acceptable</w:t>
      </w:r>
      <w:r>
        <w:rPr/>
        <w:t xml:space="preserve">). Dalam toksikologi okupasi, penentuan Nilai Ambang Batas (NAB) selalu diturunkan dari parameter ambang non-letal seperti </w:t>
      </w:r>
      <w:r>
        <w:rPr>
          <w:b/>
        </w:rPr>
        <w:t>NOAEL</w:t>
      </w:r>
      <w:r>
        <w:rPr/>
        <w:t xml:space="preserve">, </w:t>
      </w:r>
      <w:r>
        <w:rPr>
          <w:b/>
        </w:rPr>
        <w:t>LOAEL</w:t>
      </w:r>
      <w:r>
        <w:rPr/>
        <w:t xml:space="preserve">, atau </w:t>
      </w:r>
      <w:r>
        <w:rPr>
          <w:b/>
        </w:rPr>
        <w:t>BMDL</w:t>
      </w:r>
      <w:r>
        <w:rPr/>
        <w:t xml:space="preserve"> dengan menerapkan berbagai faktor ketidakpastian (</w:t>
      </w:r>
      <w:r>
        <w:rPr>
          <w:i/>
        </w:rPr>
        <w:t>Uncertainty Factors</w:t>
      </w:r>
      <w:r>
        <w:rPr/>
        <w:t>).</w:t>
      </w:r>
    </w:p>
    <w:p>
      <w:r>
        <w:rPr>
          <w:b/>
          <w:sz w:val="16"/>
        </w:rPr>
        <w:t>Sumber yang dirujuk NotebookLM:</w:t>
      </w:r>
    </w:p>
    <w:p>
      <w:pPr>
        <w:spacing w:after="0"/>
        <w:ind w:left="283"/>
      </w:pPr>
      <w:r>
        <w:rPr>
          <w:b/>
          <w:color w:val="595959"/>
          <w:sz w:val="16"/>
        </w:rPr>
        <w:t>United Nations (2019).</w:t>
      </w:r>
      <w:r>
        <w:rPr>
          <w:color w:val="595959"/>
          <w:sz w:val="16"/>
        </w:rPr>
        <w:t xml:space="preserve"> </w:t>
      </w:r>
      <w:r>
        <w:rPr>
          <w:i/>
          <w:color w:val="595959"/>
          <w:sz w:val="16"/>
        </w:rPr>
        <w:t>The Globally Harmonized System of Classification and Labelling of Chemicals (GHS), 8th revised edition</w:t>
      </w:r>
      <w:r>
        <w:rPr>
          <w:color w:val="595959"/>
          <w:sz w:val="16"/>
        </w:rPr>
        <w:t xml:space="preserve"> — Bab 3.1: </w:t>
      </w:r>
      <w:r>
        <w:rPr>
          <w:i/>
          <w:color w:val="595959"/>
          <w:sz w:val="16"/>
        </w:rPr>
        <w:t>Acute Toxicity</w:t>
      </w:r>
      <w:r>
        <w:rPr>
          <w:color w:val="595959"/>
          <w:sz w:val="16"/>
        </w:rPr>
        <w:t xml:space="preserve">, Tabel 3.1.1, Tabel 3.1.2, Tabel 3.1.3, dan </w:t>
      </w:r>
      <w:r>
        <w:rPr>
          <w:i/>
          <w:color w:val="595959"/>
          <w:sz w:val="16"/>
        </w:rPr>
        <w:t>Decision Logics</w:t>
      </w:r>
      <w:r>
        <w:rPr>
          <w:color w:val="595959"/>
          <w:sz w:val="16"/>
        </w:rPr>
        <w:t>.</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 (</w:t>
      </w:r>
      <w:r>
        <w:rPr>
          <w:i/>
          <w:color w:val="595959"/>
          <w:sz w:val="16"/>
        </w:rPr>
        <w:t>Introduction to Toxicology</w:t>
      </w:r>
      <w:r>
        <w:rPr>
          <w:color w:val="595959"/>
          <w:sz w:val="16"/>
        </w:rPr>
        <w:t>), Bab 10 (</w:t>
      </w:r>
      <w:r>
        <w:rPr>
          <w:i/>
          <w:color w:val="595959"/>
          <w:sz w:val="16"/>
        </w:rPr>
        <w:t>Acute Toxicity</w:t>
      </w:r>
      <w:r>
        <w:rPr>
          <w:color w:val="595959"/>
          <w:sz w:val="16"/>
        </w:rPr>
        <w:t>), Bab 20 (</w:t>
      </w:r>
      <w:r>
        <w:rPr>
          <w:i/>
          <w:color w:val="595959"/>
          <w:sz w:val="16"/>
        </w:rPr>
        <w:t>Toxicity Testing, In Vivo Acute Toxicity &amp; Criticism of LD50 Test</w:t>
      </w:r>
      <w:r>
        <w:rPr>
          <w:color w:val="595959"/>
          <w:sz w:val="16"/>
        </w:rPr>
        <w:t>), dan Bab 25 (</w:t>
      </w:r>
      <w:r>
        <w:rPr>
          <w:i/>
          <w:color w:val="595959"/>
          <w:sz w:val="16"/>
        </w:rPr>
        <w:t>Environmental Toxicology</w:t>
      </w:r>
      <w:r>
        <w:rPr>
          <w:color w:val="595959"/>
          <w:sz w:val="16"/>
        </w:rPr>
        <w:t>).</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From Molecules to Man (Academic Press)</w:t>
      </w:r>
      <w:r>
        <w:rPr>
          <w:color w:val="595959"/>
          <w:sz w:val="16"/>
        </w:rPr>
        <w:t xml:space="preserve"> — Bab 1 (</w:t>
      </w:r>
      <w:r>
        <w:rPr>
          <w:i/>
          <w:color w:val="595959"/>
          <w:sz w:val="16"/>
        </w:rPr>
        <w:t>History and Basic Concepts of Toxicology, LD50 Endpoint and Alternatives</w:t>
      </w:r>
      <w:r>
        <w:rPr>
          <w:color w:val="595959"/>
          <w:sz w:val="16"/>
        </w:rPr>
        <w:t>).</w:t>
      </w:r>
    </w:p>
    <w:p>
      <w:pPr>
        <w:spacing w:after="0"/>
        <w:ind w:left="283"/>
      </w:pPr>
      <w:r>
        <w:rPr>
          <w:b/>
          <w:color w:val="595959"/>
          <w:sz w:val="16"/>
        </w:rPr>
        <w:t>Prof. Dr. dr. L. Meily Kurniawidjaja, [suspicious link removed]., Sp.Ok. dkk. (2021).</w:t>
      </w:r>
      <w:r>
        <w:rPr>
          <w:color w:val="595959"/>
          <w:sz w:val="16"/>
        </w:rPr>
        <w:t xml:space="preserve"> </w:t>
      </w:r>
      <w:r>
        <w:rPr>
          <w:i/>
          <w:color w:val="595959"/>
          <w:sz w:val="16"/>
        </w:rPr>
        <w:t>Konsep Dasar Toksikologi Industri (FKM UI)</w:t>
      </w:r>
      <w:r>
        <w:rPr>
          <w:color w:val="595959"/>
          <w:sz w:val="16"/>
        </w:rPr>
        <w:t xml:space="preserve"> — Glosarium, Bab 2 (</w:t>
      </w:r>
      <w:r>
        <w:rPr>
          <w:i/>
          <w:color w:val="595959"/>
          <w:sz w:val="16"/>
        </w:rPr>
        <w:t>Pajanan, Dosis, Hubungan Dosis-Respons, Tabel 2.2 Kategori Toksisitas Relatif</w:t>
      </w:r>
      <w:r>
        <w:rPr>
          <w:color w:val="595959"/>
          <w:sz w:val="16"/>
        </w:rPr>
        <w:t>), dan Bab 7 (</w:t>
      </w:r>
      <w:r>
        <w:rPr>
          <w:i/>
          <w:color w:val="595959"/>
          <w:sz w:val="16"/>
        </w:rPr>
        <w:t>Metode Uji Toksisitas, Tabel 7.6</w:t>
      </w:r>
      <w:r>
        <w:rPr>
          <w:color w:val="595959"/>
          <w:sz w:val="16"/>
        </w:rPr>
        <w:t>).</w:t>
      </w:r>
    </w:p>
    <w:p>
      <w:pPr>
        <w:spacing w:after="0"/>
        <w:ind w:left="283"/>
      </w:pPr>
      <w:r>
        <w:rPr>
          <w:b/>
          <w:color w:val="595959"/>
          <w:sz w:val="16"/>
        </w:rPr>
        <w:t>Kepmennaker No. KEP.187/MEN/1999.</w:t>
      </w:r>
      <w:r>
        <w:rPr>
          <w:color w:val="595959"/>
          <w:sz w:val="16"/>
        </w:rPr>
        <w:t xml:space="preserve"> </w:t>
      </w:r>
      <w:r>
        <w:rPr>
          <w:i/>
          <w:color w:val="595959"/>
          <w:sz w:val="16"/>
        </w:rPr>
        <w:t>Pengendalian Bahan Kimia Berbahaya di Tempat Kerja</w:t>
      </w:r>
      <w:r>
        <w:rPr>
          <w:color w:val="595959"/>
          <w:sz w:val="16"/>
        </w:rPr>
        <w:t xml:space="preserve"> — Pasal 1, 9, dan 10 (Kriteria Bahan Beracun dan Sangat Beracun).</w:t>
      </w:r>
    </w:p>
    <w:p>
      <w:pPr>
        <w:spacing w:after="0"/>
        <w:ind w:left="283"/>
      </w:pPr>
      <w:r>
        <w:rPr>
          <w:b/>
          <w:color w:val="595959"/>
          <w:sz w:val="16"/>
        </w:rPr>
        <w:t>Permenaker No. 5 Tahun 2018.</w:t>
      </w:r>
      <w:r>
        <w:rPr>
          <w:color w:val="595959"/>
          <w:sz w:val="16"/>
        </w:rPr>
        <w:t xml:space="preserve"> </w:t>
      </w:r>
      <w:r>
        <w:rPr>
          <w:i/>
          <w:color w:val="595959"/>
          <w:sz w:val="16"/>
        </w:rPr>
        <w:t>Keselamatan dan Kesehatan Kerja Lingkungan Kerja</w:t>
      </w:r>
      <w:r>
        <w:rPr>
          <w:color w:val="595959"/>
          <w:sz w:val="16"/>
        </w:rPr>
        <w:t xml:space="preserve"> — Definisi dan Notasi Satuan Pajanan Udara (BDS/ppm dan mg/m³).</w:t>
      </w:r>
    </w:p>
    <w:p>
      <w:pPr>
        <w:pStyle w:val="Heading2"/>
      </w:pPr>
      <w:bookmarkStart w:id="103" w:name="toc_003"/>
      <w:r>
        <w:t>1.3 NAB/TLV</w:t>
      </w:r>
      <w:bookmarkEnd w:id="103"/>
    </w:p>
    <w:p>
      <w:pPr>
        <w:pStyle w:val="Heading3"/>
      </w:pPr>
      <w:r>
        <w:t>1. Tiga Kategori Utama Batas Pajanan Udara (Airborne Exposure Limits) Menurut ACGIH</w:t>
      </w:r>
    </w:p>
    <w:p>
      <w:pPr>
        <w:spacing w:after="80"/>
      </w:pPr>
      <w:r>
        <w:rPr/>
        <w:t>ACGIH (</w:t>
      </w:r>
      <w:r>
        <w:rPr>
          <w:i/>
        </w:rPr>
        <w:t>American Conference of Governmental Industrial Hygienists</w:t>
      </w:r>
      <w:r>
        <w:rPr/>
        <w:t>) menetapkan tiga kategori dasar TLV untuk kontaminan udara tempat kerja guna mencegah terjadinya gangguan kesehatan akibat pajanan berulang:</w:t>
      </w:r>
    </w:p>
    <w:p>
      <w:pPr>
        <w:pStyle w:val="Heading4"/>
      </w:pPr>
      <w:r>
        <w:t>a. TLV-TWA (Time-Weighted Average)</w:t>
      </w:r>
    </w:p>
    <w:p>
      <w:pPr>
        <w:pStyle w:val="ListBullet"/>
        <w:spacing w:after="20"/>
      </w:pPr>
      <w:r>
        <w:rPr>
          <w:b/>
        </w:rPr>
        <w:t>Definisi Konseptual:</w:t>
      </w:r>
      <w:r>
        <w:rPr/>
        <w:t xml:space="preserve"> Konsentrasi rata-rata tertimbang waktu untuk hari kerja standar </w:t>
      </w:r>
      <w:r>
        <w:rPr>
          <w:b/>
        </w:rPr>
        <w:t>8 jam sehari atau 40 jam seminggu</w:t>
      </w:r>
      <w:r>
        <w:rPr/>
        <w:t>, di mana hampir semua pekerja diyakini dapat terpajan secara berulang, hari demi hari, sepanjang masa kerja (</w:t>
      </w:r>
      <w:r>
        <w:rPr>
          <w:i/>
        </w:rPr>
        <w:t>working lifetime</w:t>
      </w:r>
      <w:r>
        <w:rPr/>
        <w:t>) tanpa menimbulkan efek merugikan terhadap kesehatan.</w:t>
      </w:r>
    </w:p>
    <w:p>
      <w:pPr>
        <w:pStyle w:val="ListBullet"/>
        <w:spacing w:after="20"/>
      </w:pPr>
      <w:r>
        <w:rPr>
          <w:b/>
        </w:rPr>
        <w:t>Mekanisme Perhitungan:</w:t>
      </w:r>
      <w:r>
        <w:rPr/>
        <w:t xml:space="preserve"> TWA mengizinkan fluktuasi konsentrasi jangka pendek di atas batas, dengan syarat fluktuasi tersebut dikompensasi oleh periode konsentrasi yang setara di bawah batas selama jam kerja berlangsung.</w:t>
      </w:r>
    </w:p>
    <w:p>
      <w:pPr>
        <w:pStyle w:val="ListBullet"/>
        <w:spacing w:after="20"/>
      </w:pPr>
      <w:r>
        <w:rPr>
          <w:b/>
        </w:rPr>
        <w:t>Aplikasi Faal:</w:t>
      </w:r>
      <w:r>
        <w:rPr/>
        <w:t xml:space="preserve"> Ditujukan terutama untuk melindungi pekerja dari efek toksisitas kronis atau kumulatif akibat akumulasi bahan kimia dalam tubuh.</w:t>
      </w:r>
    </w:p>
    <w:p>
      <w:pPr>
        <w:pStyle w:val="Heading4"/>
      </w:pPr>
      <w:r>
        <w:t>b. TLV-STEL (Short-Term Exposure Limit)</w:t>
      </w:r>
    </w:p>
    <w:p>
      <w:pPr>
        <w:pStyle w:val="ListBullet"/>
        <w:spacing w:after="20"/>
      </w:pPr>
      <w:r>
        <w:rPr>
          <w:b/>
        </w:rPr>
        <w:t>Definisi Konseptual:</w:t>
      </w:r>
      <w:r>
        <w:rPr/>
        <w:t xml:space="preserve"> Pajanan rata-rata tertimbang waktu selama </w:t>
      </w:r>
      <w:r>
        <w:rPr>
          <w:b/>
        </w:rPr>
        <w:t>15 menit (</w:t>
      </w:r>
      <w:r>
        <w:rPr>
          <w:b/>
          <w:i/>
        </w:rPr>
        <w:t>15-minute TWA</w:t>
      </w:r>
      <w:r>
        <w:rPr>
          <w:b/>
        </w:rPr>
        <w:t>)</w:t>
      </w:r>
      <w:r>
        <w:rPr/>
        <w:t xml:space="preserve"> yang tidak boleh dilampaui kapan pun selama hari kerja, bahkan jika rata-rata pajanan 8 jam (</w:t>
      </w:r>
      <w:r>
        <w:rPr>
          <w:i/>
        </w:rPr>
        <w:t>8-hour TWA</w:t>
      </w:r>
      <w:r>
        <w:rPr/>
        <w:t>) masih berada di bawah TLV-TWA.</w:t>
      </w:r>
    </w:p>
    <w:p>
      <w:pPr>
        <w:pStyle w:val="ListBullet"/>
        <w:spacing w:after="20"/>
      </w:pPr>
      <w:r>
        <w:rPr>
          <w:b/>
        </w:rPr>
        <w:t>Tujuan Perlindungan Klinis:</w:t>
      </w:r>
      <w:r>
        <w:rPr/>
        <w:t xml:space="preserve"> Mencegah terjadinya:</w:t>
      </w:r>
    </w:p>
    <w:p>
      <w:pPr>
        <w:spacing w:after="40"/>
        <w:ind w:left="680" w:hanging="283"/>
      </w:pPr>
      <w:r>
        <w:rPr/>
        <w:t>1. Iritasi jaringan akut (saluran napas dan mata).</w:t>
      </w:r>
    </w:p>
    <w:p>
      <w:pPr>
        <w:spacing w:after="40"/>
        <w:ind w:left="680" w:hanging="283"/>
      </w:pPr>
      <w:r>
        <w:rPr/>
        <w:t>2. Kerusakan jaringan kronis atau ireversibel.</w:t>
      </w:r>
    </w:p>
    <w:p>
      <w:pPr>
        <w:spacing w:after="40"/>
        <w:ind w:left="680" w:hanging="283"/>
      </w:pPr>
      <w:r>
        <w:rPr/>
        <w:t>3. Efek toksik yang bergantung pada laju dosis (</w:t>
      </w:r>
      <w:r>
        <w:rPr>
          <w:i/>
        </w:rPr>
        <w:t>dose-rate-dependent toxic effects</w:t>
      </w:r>
      <w:r>
        <w:rPr/>
        <w:t>).</w:t>
      </w:r>
    </w:p>
    <w:p>
      <w:pPr>
        <w:spacing w:after="40"/>
        <w:ind w:left="680" w:hanging="283"/>
      </w:pPr>
      <w:r>
        <w:rPr/>
        <w:t>4. Narkosis sistem saraf pusat derajat tertentu yang dapat memicu kecelakaan kerja, menghambat kemampuan evakuasi mandiri (</w:t>
      </w:r>
      <w:r>
        <w:rPr>
          <w:i/>
        </w:rPr>
        <w:t>self-rescue</w:t>
      </w:r>
      <w:r>
        <w:rPr/>
        <w:t>), atau menurunkan efisiensi kerja.</w:t>
      </w:r>
    </w:p>
    <w:p>
      <w:pPr>
        <w:pStyle w:val="ListBullet"/>
        <w:spacing w:after="20"/>
      </w:pPr>
      <w:r>
        <w:rPr>
          <w:b/>
        </w:rPr>
        <w:t>Aturan Pembatasan Durasi, Frekuensi, dan Interval (Wajib Dihafal Presisi):</w:t>
      </w:r>
    </w:p>
    <w:p>
      <w:pPr>
        <w:pStyle w:val="ListBullet2"/>
        <w:spacing w:after="20"/>
      </w:pPr>
      <w:r>
        <w:rPr>
          <w:b/>
        </w:rPr>
        <w:t>Batas Durasi:</w:t>
      </w:r>
      <w:r>
        <w:rPr/>
        <w:t xml:space="preserve"> Pajanan di atas TLV-TWA hingga setinggi TLV-STEL harus berlangsung </w:t>
      </w:r>
      <w:r>
        <w:rPr>
          <w:b/>
        </w:rPr>
        <w:t>kurang dari 15 menit secara terus-menerus</w:t>
      </w:r>
      <w:r>
        <w:rPr/>
        <w:t>.</w:t>
      </w:r>
    </w:p>
    <w:p>
      <w:pPr>
        <w:pStyle w:val="ListBullet2"/>
        <w:spacing w:after="20"/>
      </w:pPr>
      <w:r>
        <w:rPr>
          <w:b/>
        </w:rPr>
        <w:t>Frekuensi Maksimal:</w:t>
      </w:r>
      <w:r>
        <w:rPr/>
        <w:t xml:space="preserve"> Ekskursi konsentrasi tersebut </w:t>
      </w:r>
      <w:r>
        <w:rPr>
          <w:b/>
        </w:rPr>
        <w:t>tidak boleh terjadi lebih dari 4 kali per hari kerja</w:t>
      </w:r>
      <w:r>
        <w:rPr/>
        <w:t>.</w:t>
      </w:r>
    </w:p>
    <w:p>
      <w:pPr>
        <w:pStyle w:val="ListBullet2"/>
        <w:spacing w:after="20"/>
      </w:pPr>
      <w:r>
        <w:rPr>
          <w:b/>
        </w:rPr>
        <w:t>Interval Pemulihan (</w:t>
      </w:r>
      <w:r>
        <w:rPr>
          <w:b/>
          <w:i/>
        </w:rPr>
        <w:t>Recovery Time</w:t>
      </w:r>
      <w:r>
        <w:rPr>
          <w:b/>
        </w:rPr>
        <w:t>):</w:t>
      </w:r>
      <w:r>
        <w:rPr/>
        <w:t xml:space="preserve"> Wajib terdapat jeda waktu </w:t>
      </w:r>
      <w:r>
        <w:rPr>
          <w:b/>
        </w:rPr>
        <w:t>minimal 60 menit berturut-turut</w:t>
      </w:r>
      <w:r>
        <w:rPr/>
        <w:t xml:space="preserve"> di antara dua periode pajanan berturut-turut dalam rentang STEL tersebut.</w:t>
      </w:r>
    </w:p>
    <w:p>
      <w:pPr>
        <w:pStyle w:val="ListBullet2"/>
        <w:spacing w:after="20"/>
      </w:pPr>
      <w:r>
        <w:rPr>
          <w:b/>
        </w:rPr>
        <w:t>Syarat Mutlak:</w:t>
      </w:r>
      <w:r>
        <w:rPr/>
        <w:t xml:space="preserve"> Total rata-rata kumulatif harian tetap </w:t>
      </w:r>
      <w:r>
        <w:rPr>
          <w:b/>
        </w:rPr>
        <w:t>tidak boleh melampaui TLV-TWA 8 jam</w:t>
      </w:r>
      <w:r>
        <w:rPr/>
        <w:t>.</w:t>
      </w:r>
    </w:p>
    <w:p>
      <w:pPr>
        <w:pStyle w:val="ListBullet"/>
        <w:spacing w:after="20"/>
      </w:pPr>
      <w:r>
        <w:rPr>
          <w:b/>
        </w:rPr>
        <w:t>Aturan Pajanan Puncak (</w:t>
      </w:r>
      <w:r>
        <w:rPr>
          <w:b/>
          <w:i/>
        </w:rPr>
        <w:t>Peak Exposures / 3 by 5 Rule</w:t>
      </w:r>
      <w:r>
        <w:rPr>
          <w:b/>
        </w:rPr>
        <w:t>):</w:t>
      </w:r>
    </w:p>
    <w:p>
      <w:pPr>
        <w:spacing w:after="80"/>
      </w:pPr>
      <w:r>
        <w:rPr/>
        <w:t xml:space="preserve">Bagi zat kimia yang memiliki nilai TLV-TWA tetapi </w:t>
      </w:r>
      <w:r>
        <w:rPr>
          <w:b/>
        </w:rPr>
        <w:t>belum memiliki nilai TLV-STEL</w:t>
      </w:r>
      <w:r>
        <w:rPr/>
        <w:t>, ACGIH menetapkan batas baku (</w:t>
      </w:r>
      <w:r>
        <w:rPr>
          <w:i/>
        </w:rPr>
        <w:t>default</w:t>
      </w:r>
      <w:r>
        <w:rPr/>
        <w:t>) lonjakan konsentrasi:</w:t>
      </w:r>
    </w:p>
    <w:p>
      <w:pPr>
        <w:spacing w:after="40"/>
        <w:ind w:left="680" w:hanging="283"/>
      </w:pPr>
      <w:r>
        <w:rPr/>
        <w:t xml:space="preserve">1. Peningkatan konsentrasi sementara boleh melebihi </w:t>
      </w:r>
      <w:r>
        <w:rPr>
          <w:b/>
        </w:rPr>
        <w:t>3 kali nilai TLV-TWA</w:t>
      </w:r>
      <w:r>
        <w:rPr/>
        <w:t xml:space="preserve"> maksimal selama 15 menit per kejadian, tidak lebih dari 4 kali sehari dengan jeda minimal 1 jam.</w:t>
      </w:r>
    </w:p>
    <w:p>
      <w:pPr>
        <w:spacing w:after="40"/>
        <w:ind w:left="680" w:hanging="283"/>
      </w:pPr>
      <w:r>
        <w:rPr/>
        <w:t xml:space="preserve">2. Konsentrasi </w:t>
      </w:r>
      <w:r>
        <w:rPr>
          <w:b/>
        </w:rPr>
        <w:t>sama sekali tidak boleh melebihi 5 kali nilai TLV-TWA</w:t>
      </w:r>
      <w:r>
        <w:rPr/>
        <w:t xml:space="preserve"> pada pengukuran 15 menit TWA dalam kondisi apa pun (</w:t>
      </w:r>
      <w:r>
        <w:rPr>
          <w:i/>
        </w:rPr>
        <w:t>maximum peak factor of 5</w:t>
      </w:r>
      <w:r>
        <w:rPr/>
        <w:t>).</w:t>
      </w:r>
    </w:p>
    <w:p>
      <w:pPr>
        <w:pStyle w:val="Heading4"/>
      </w:pPr>
      <w:r>
        <w:t>c. TLV-C (Ceiling)</w:t>
      </w:r>
    </w:p>
    <w:p>
      <w:pPr>
        <w:pStyle w:val="ListBullet"/>
        <w:spacing w:after="20"/>
      </w:pPr>
      <w:r>
        <w:rPr>
          <w:b/>
        </w:rPr>
        <w:t>Definisi Konseptual:</w:t>
      </w:r>
      <w:r>
        <w:rPr/>
        <w:t xml:space="preserve"> Konsentrasi kontaminan udara yang </w:t>
      </w:r>
      <w:r>
        <w:rPr>
          <w:b/>
        </w:rPr>
        <w:t>tidak boleh dilampaui selama bagian mana pun dari jam kerja (</w:t>
      </w:r>
      <w:r>
        <w:rPr>
          <w:b/>
          <w:i/>
        </w:rPr>
        <w:t>instantaneously / momentary</w:t>
      </w:r>
      <w:r>
        <w:rPr>
          <w:b/>
        </w:rPr>
        <w:t>)</w:t>
      </w:r>
      <w:r>
        <w:rPr/>
        <w:t>.</w:t>
      </w:r>
    </w:p>
    <w:p>
      <w:pPr>
        <w:pStyle w:val="ListBullet"/>
        <w:spacing w:after="20"/>
      </w:pPr>
      <w:r>
        <w:rPr>
          <w:b/>
        </w:rPr>
        <w:t>Aplikasi Toksikologi:</w:t>
      </w:r>
      <w:r>
        <w:rPr/>
        <w:t xml:space="preserve"> Diterapkan untuk zat kimia yang bersifat </w:t>
      </w:r>
      <w:r>
        <w:rPr>
          <w:b/>
        </w:rPr>
        <w:t>bekerja sangat cepat (</w:t>
      </w:r>
      <w:r>
        <w:rPr>
          <w:b/>
          <w:i/>
        </w:rPr>
        <w:t>fast-acting</w:t>
      </w:r>
      <w:r>
        <w:rPr>
          <w:b/>
        </w:rPr>
        <w:t>)</w:t>
      </w:r>
      <w:r>
        <w:rPr/>
        <w:t>, iritan kuat terhadap membran mukosa paru (misalnya gas iritan, klorin, atau zat korosif), atau zat yang memicu intoksikasi letal dalam hitungan detik/menit.</w:t>
      </w:r>
    </w:p>
    <w:p>
      <w:pPr>
        <w:pStyle w:val="ListBullet"/>
        <w:spacing w:after="20"/>
      </w:pPr>
      <w:r>
        <w:rPr>
          <w:b/>
        </w:rPr>
        <w:t>Metodologi Pemantauan:</w:t>
      </w:r>
      <w:r>
        <w:rPr/>
        <w:t xml:space="preserve"> Tidak dinilai dengan pemantauan rata-rata 8 jam; jika alat pemantauan seketika (</w:t>
      </w:r>
      <w:r>
        <w:rPr>
          <w:i/>
        </w:rPr>
        <w:t>instantaneous direct-reading</w:t>
      </w:r>
      <w:r>
        <w:rPr/>
        <w:t>) tidak tersedia, pengambilan sampel udara dilakukan pada durasi seminimal mungkin yang mampu mendeteksi konsentrasi di atas nilai Ceiling.</w:t>
      </w:r>
    </w:p>
    <w:p>
      <w:pPr>
        <w:pStyle w:val="Heading3"/>
      </w:pPr>
      <w:r>
        <w:t>2. Notasi Kritis ACGIH (Critical Notations)</w:t>
      </w:r>
    </w:p>
    <w:p>
      <w:pPr>
        <w:spacing w:after="80"/>
      </w:pPr>
      <w:r>
        <w:rPr/>
        <w:t>Notasi pada tabel TLV berfungsi memperingatkan dokter okupasi dan higienis industri mengenai sifat toksikologis khusus yang tidak dapat dikendalikan semata-mata dengan memantau konsentrasi udara:</w:t>
      </w:r>
    </w:p>
    <w:p>
      <w:pPr>
        <w:pStyle w:val="Heading4"/>
      </w:pPr>
      <w:r>
        <w:t>a. Notasi Skin (Kulit)</w:t>
      </w:r>
    </w:p>
    <w:p>
      <w:pPr>
        <w:pStyle w:val="ListBullet"/>
        <w:spacing w:after="20"/>
      </w:pPr>
      <w:r>
        <w:rPr>
          <w:b/>
        </w:rPr>
        <w:t>Makna Fisiologis:</w:t>
      </w:r>
      <w:r>
        <w:rPr/>
        <w:t xml:space="preserve"> Menunjukkan potensi </w:t>
      </w:r>
      <w:r>
        <w:rPr>
          <w:b/>
        </w:rPr>
        <w:t>kontribusi signifikan terhadap dosis total (</w:t>
      </w:r>
      <w:r>
        <w:rPr>
          <w:b/>
          <w:i/>
        </w:rPr>
        <w:t>overall exposure</w:t>
      </w:r>
      <w:r>
        <w:rPr>
          <w:b/>
        </w:rPr>
        <w:t>) melalui rute kutaneus</w:t>
      </w:r>
      <w:r>
        <w:rPr/>
        <w:t>, termasuk membran mukosa dan mata, baik melalui kontak dengan uap, cairan, maupun padatan.</w:t>
      </w:r>
    </w:p>
    <w:p>
      <w:pPr>
        <w:pStyle w:val="ListBullet"/>
        <w:spacing w:after="20"/>
      </w:pPr>
      <w:r>
        <w:rPr>
          <w:b/>
        </w:rPr>
        <w:t>Kriteria Penugasan Notasi:</w:t>
      </w:r>
    </w:p>
    <w:p>
      <w:pPr>
        <w:spacing w:after="40"/>
        <w:ind w:left="680" w:hanging="283"/>
      </w:pPr>
      <w:r>
        <w:rPr/>
        <w:t xml:space="preserve">1. Studi toksisitas dermal hewan menunjukkan nilai </w:t>
      </w:r>
      <w:r>
        <w:rPr>
          <w:b/>
        </w:rPr>
        <w:t>LD₅₀ dermal yang relatif rendah (≤ 1.000 mg/kg BB)</w:t>
      </w:r>
      <w:r>
        <w:rPr/>
        <w:t>.</w:t>
      </w:r>
    </w:p>
    <w:p>
      <w:pPr>
        <w:spacing w:after="40"/>
        <w:ind w:left="680" w:hanging="283"/>
      </w:pPr>
      <w:r>
        <w:rPr/>
        <w:t>2. Bahan kimia memiliki koefisien partisi oktanol-air (</w:t>
      </w:r>
      <w:r>
        <w:rPr>
          <w:i/>
        </w:rPr>
        <w:t>octanol-water partition coefficient</w:t>
      </w:r>
      <w:r>
        <w:rPr/>
        <w:t xml:space="preserve">, K_(ow)) tinggi yang memudahkannya menembus stratum korneum dan memicu </w:t>
      </w:r>
      <w:r>
        <w:rPr>
          <w:b/>
        </w:rPr>
        <w:t>toksisitas sistemik</w:t>
      </w:r>
      <w:r>
        <w:rPr/>
        <w:t>.</w:t>
      </w:r>
    </w:p>
    <w:p>
      <w:pPr>
        <w:spacing w:after="40"/>
        <w:ind w:left="680" w:hanging="283"/>
      </w:pPr>
      <w:r>
        <w:rPr/>
        <w:t xml:space="preserve">3. Notasi </w:t>
      </w:r>
      <w:r>
        <w:rPr>
          <w:i/>
        </w:rPr>
        <w:t>Skin</w:t>
      </w:r>
      <w:r>
        <w:rPr/>
        <w:t xml:space="preserve"> </w:t>
      </w:r>
      <w:r>
        <w:rPr>
          <w:b/>
        </w:rPr>
        <w:t>tidak diberikan</w:t>
      </w:r>
      <w:r>
        <w:rPr/>
        <w:t xml:space="preserve"> untuk zat yang semata-mata menimbulkan iritasi lokal atau korosi pada kulit tanpa absorpsi toksik sistemik.</w:t>
      </w:r>
    </w:p>
    <w:p>
      <w:pPr>
        <w:pStyle w:val="ListBullet"/>
        <w:spacing w:after="20"/>
      </w:pPr>
      <w:r>
        <w:rPr>
          <w:b/>
        </w:rPr>
        <w:t>Implikasi Okupasi:</w:t>
      </w:r>
      <w:r>
        <w:rPr/>
        <w:t xml:space="preserve"> Pengukuran udara ruang kerja (</w:t>
      </w:r>
      <w:r>
        <w:rPr>
          <w:i/>
        </w:rPr>
        <w:t>air monitoring</w:t>
      </w:r>
      <w:r>
        <w:rPr/>
        <w:t xml:space="preserve">) saja </w:t>
      </w:r>
      <w:r>
        <w:rPr>
          <w:b/>
        </w:rPr>
        <w:t>tidak memadai</w:t>
      </w:r>
      <w:r>
        <w:rPr/>
        <w:t xml:space="preserve"> untuk menilai risiko pekerja; pekerja dapat mengalami overexposure meskipun kadar udara berada di bawah TLV. Diperlukan intervensi alat pelindung kulit (sarung tangan kedap kimia) serta penerapan </w:t>
      </w:r>
      <w:r>
        <w:rPr>
          <w:b/>
        </w:rPr>
        <w:t>pemantauan biologis (</w:t>
      </w:r>
      <w:r>
        <w:rPr>
          <w:b/>
          <w:i/>
        </w:rPr>
        <w:t>biological monitoring</w:t>
      </w:r>
      <w:r>
        <w:rPr>
          <w:b/>
        </w:rPr>
        <w:t xml:space="preserve"> / BEI)</w:t>
      </w:r>
      <w:r>
        <w:rPr/>
        <w:t>.</w:t>
      </w:r>
    </w:p>
    <w:p>
      <w:pPr>
        <w:pStyle w:val="Heading4"/>
      </w:pPr>
      <w:r>
        <w:t>b. Notasi SEN (Sensitization: DSEN &amp; RSEN)</w:t>
      </w:r>
    </w:p>
    <w:p>
      <w:pPr>
        <w:pStyle w:val="ListBullet"/>
        <w:spacing w:after="20"/>
      </w:pPr>
      <w:r>
        <w:rPr>
          <w:b/>
        </w:rPr>
        <w:t>Makna Klinis:</w:t>
      </w:r>
      <w:r>
        <w:rPr/>
        <w:t xml:space="preserve"> Mengindikasikan potensi bahan kimia untuk menimbulkan </w:t>
      </w:r>
      <w:r>
        <w:rPr>
          <w:b/>
        </w:rPr>
        <w:t>sensitisasi alergi pada sistem pernapasan (</w:t>
      </w:r>
      <w:r>
        <w:rPr>
          <w:b/>
          <w:i/>
        </w:rPr>
        <w:t>Respiratory Sensitization</w:t>
      </w:r>
      <w:r>
        <w:rPr>
          <w:b/>
        </w:rPr>
        <w:t xml:space="preserve"> / RSEN)</w:t>
      </w:r>
      <w:r>
        <w:rPr/>
        <w:t xml:space="preserve"> dan/atau </w:t>
      </w:r>
      <w:r>
        <w:rPr>
          <w:b/>
        </w:rPr>
        <w:t>kulit (</w:t>
      </w:r>
      <w:r>
        <w:rPr>
          <w:b/>
          <w:i/>
        </w:rPr>
        <w:t>Dermal Sensitization</w:t>
      </w:r>
      <w:r>
        <w:rPr>
          <w:b/>
        </w:rPr>
        <w:t xml:space="preserve"> / DSEN)</w:t>
      </w:r>
      <w:r>
        <w:rPr/>
        <w:t xml:space="preserve"> yang dikonfirmasi melalui data manusia maupun hewan uji.</w:t>
      </w:r>
    </w:p>
    <w:p>
      <w:pPr>
        <w:pStyle w:val="ListBullet"/>
        <w:spacing w:after="20"/>
      </w:pPr>
      <w:r>
        <w:rPr>
          <w:b/>
        </w:rPr>
        <w:t>Dua Kategori Spesifik:</w:t>
      </w:r>
    </w:p>
    <w:p>
      <w:pPr>
        <w:pStyle w:val="ListBullet2"/>
        <w:spacing w:after="20"/>
      </w:pPr>
      <w:r>
        <w:rPr>
          <w:b/>
        </w:rPr>
        <w:t>DSEN:</w:t>
      </w:r>
      <w:r>
        <w:rPr/>
        <w:t xml:space="preserve"> Memicu dermatitis kontak alergi (</w:t>
      </w:r>
      <w:r>
        <w:rPr>
          <w:i/>
        </w:rPr>
        <w:t>allergic contact dermatitis</w:t>
      </w:r>
      <w:r>
        <w:rPr/>
        <w:t>).</w:t>
      </w:r>
    </w:p>
    <w:p>
      <w:pPr>
        <w:pStyle w:val="ListBullet2"/>
        <w:spacing w:after="20"/>
      </w:pPr>
      <w:r>
        <w:rPr>
          <w:b/>
        </w:rPr>
        <w:t>RSEN:</w:t>
      </w:r>
      <w:r>
        <w:rPr/>
        <w:t xml:space="preserve"> Memicu asma kerja (</w:t>
      </w:r>
      <w:r>
        <w:rPr>
          <w:i/>
        </w:rPr>
        <w:t>occupational asthma</w:t>
      </w:r>
      <w:r>
        <w:rPr/>
        <w:t>), rinitis alergi, atau hipersensitivitas paru.</w:t>
      </w:r>
    </w:p>
    <w:p>
      <w:pPr>
        <w:pStyle w:val="ListBullet"/>
        <w:spacing w:after="20"/>
      </w:pPr>
      <w:r>
        <w:rPr>
          <w:b/>
        </w:rPr>
        <w:t>Prinsip Penting untuk Ujian:</w:t>
      </w:r>
    </w:p>
    <w:p>
      <w:pPr>
        <w:spacing w:after="40"/>
        <w:ind w:left="680" w:hanging="283"/>
      </w:pPr>
      <w:r>
        <w:rPr/>
        <w:t>1. Notasi ini tidak selalu berarti bahwa sensitisasi adalah efek kritis tunggal penetapan nilai TLV.</w:t>
      </w:r>
    </w:p>
    <w:p>
      <w:pPr>
        <w:spacing w:after="40"/>
        <w:ind w:left="680" w:hanging="283"/>
      </w:pPr>
      <w:r>
        <w:rPr/>
        <w:t xml:space="preserve">2. Nilai TLV yang berbasis sensitisasi dirancang untuk </w:t>
      </w:r>
      <w:r>
        <w:rPr>
          <w:b/>
        </w:rPr>
        <w:t>mencegah induksi sensitisasi baru (</w:t>
      </w:r>
      <w:r>
        <w:rPr>
          <w:b/>
          <w:i/>
        </w:rPr>
        <w:t>induction</w:t>
      </w:r>
      <w:r>
        <w:rPr>
          <w:b/>
        </w:rPr>
        <w:t>)</w:t>
      </w:r>
      <w:r>
        <w:rPr/>
        <w:t xml:space="preserve"> pada pekerja yang belum tersensitisasi.</w:t>
      </w:r>
    </w:p>
    <w:p>
      <w:pPr>
        <w:spacing w:after="40"/>
        <w:ind w:left="680" w:hanging="283"/>
      </w:pPr>
      <w:r>
        <w:rPr/>
        <w:t xml:space="preserve">3. Nilai TLV tersebut </w:t>
      </w:r>
      <w:r>
        <w:rPr>
          <w:b/>
        </w:rPr>
        <w:t>tidak dirancang untuk melindungi pekerja yang sudah terlanjur mengalami sensitisasi (</w:t>
      </w:r>
      <w:r>
        <w:rPr>
          <w:b/>
          <w:i/>
        </w:rPr>
        <w:t>already sensitized workers</w:t>
      </w:r>
      <w:r>
        <w:rPr>
          <w:b/>
        </w:rPr>
        <w:t>)</w:t>
      </w:r>
      <w:r>
        <w:rPr/>
        <w:t>, karena reaksi imunologis dapat terpicu kembali pada konsentrasi jauh di bawah TLV.</w:t>
      </w:r>
    </w:p>
    <w:p>
      <w:pPr>
        <w:pStyle w:val="Heading4"/>
      </w:pPr>
      <w:r>
        <w:t>c. Notasi Karsinogenitas Kategori A1 – A5</w:t>
      </w:r>
    </w:p>
    <w:p>
      <w:pPr>
        <w:spacing w:after="80"/>
      </w:pPr>
      <w:r>
        <w:rPr/>
        <w:t>ACGIH membagi potensi karsinogenitas bahan kimia okupasi ke dalam 5 tingkatan berdasarkan kekuatan bukti (</w:t>
      </w:r>
      <w:r>
        <w:rPr>
          <w:i/>
        </w:rPr>
        <w:t>weight of evidence</w:t>
      </w:r>
      <w:r>
        <w:rPr/>
        <w:t>) epidemiologi manusia dan bioasai hewan coba:</w:t>
      </w:r>
    </w:p>
    <w:p>
      <w:pPr>
        <w:pStyle w:val="ListBullet"/>
        <w:spacing w:after="20"/>
      </w:pPr>
      <w:r>
        <w:rPr>
          <w:b/>
        </w:rPr>
        <w:t xml:space="preserve">A1 — </w:t>
      </w:r>
      <w:r>
        <w:rPr>
          <w:b/>
          <w:i/>
        </w:rPr>
        <w:t>Confirmed Human Carcinogen</w:t>
      </w:r>
      <w:r>
        <w:rPr>
          <w:b/>
        </w:rPr>
        <w:t xml:space="preserve"> (Terbukti Karsinogen untuk Manusia):</w:t>
      </w:r>
    </w:p>
    <w:p>
      <w:pPr>
        <w:spacing w:after="80"/>
      </w:pPr>
      <w:r>
        <w:rPr/>
        <w:t>Agen terbukti karsinogenik terhadap manusia berdasarkan bukti epidemiologi yang meyakinkan. (Contoh dokumen: Asbes, Benzena, Kromium VI larut air, Senyawa Berilium).</w:t>
      </w:r>
    </w:p>
    <w:p>
      <w:pPr>
        <w:spacing w:after="80"/>
      </w:pPr>
      <w:r>
        <w:rPr>
          <w:i/>
        </w:rPr>
        <w:t>Tindakan:</w:t>
      </w:r>
      <w:r>
        <w:rPr/>
        <w:t xml:space="preserve"> Pajanan terhadap pekerja harus dieliminasi seminimal mungkin; apabila diberi notasi (L), pajanan harus dihindari sepenuhnya.</w:t>
      </w:r>
    </w:p>
    <w:p>
      <w:pPr>
        <w:pStyle w:val="ListBullet"/>
        <w:spacing w:after="20"/>
      </w:pPr>
      <w:r>
        <w:rPr>
          <w:b/>
        </w:rPr>
        <w:t xml:space="preserve">A2 — </w:t>
      </w:r>
      <w:r>
        <w:rPr>
          <w:b/>
          <w:i/>
        </w:rPr>
        <w:t>Suspected Human Carcinogen</w:t>
      </w:r>
      <w:r>
        <w:rPr>
          <w:b/>
        </w:rPr>
        <w:t xml:space="preserve"> (Diduga Karsinogen untuk Manusia):</w:t>
      </w:r>
    </w:p>
    <w:p>
      <w:pPr>
        <w:spacing w:after="80"/>
      </w:pPr>
      <w:r>
        <w:rPr/>
        <w:t>Data pada manusia memiliki kualitas baik namun terbatas (</w:t>
      </w:r>
      <w:r>
        <w:rPr>
          <w:i/>
        </w:rPr>
        <w:t>limited human evidence</w:t>
      </w:r>
      <w:r>
        <w:rPr/>
        <w:t>) atau hasilnya masih bertentangan; didukung oleh bukti karsinogenitas yang cukup (</w:t>
      </w:r>
      <w:r>
        <w:rPr>
          <w:i/>
        </w:rPr>
        <w:t>sufficient evidence</w:t>
      </w:r>
      <w:r>
        <w:rPr/>
        <w:t>) pada hewan uji dengan rute, dosis, dan mekanisme yang relevan dengan pajanan pekerja. (Contoh dokumen: Benz(a)antrasen, Benzo(a)pirena, Vinil bromida).</w:t>
      </w:r>
    </w:p>
    <w:p>
      <w:pPr>
        <w:pStyle w:val="ListBullet"/>
        <w:spacing w:after="20"/>
      </w:pPr>
      <w:r>
        <w:rPr>
          <w:b/>
        </w:rPr>
        <w:t xml:space="preserve">A3 — </w:t>
      </w:r>
      <w:r>
        <w:rPr>
          <w:b/>
          <w:i/>
        </w:rPr>
        <w:t>Confirmed Animal Carcinogen with Unknown Relevance to Humans</w:t>
      </w:r>
      <w:r>
        <w:rPr>
          <w:b/>
        </w:rPr>
        <w:t xml:space="preserve"> (Karsinogen Terbukti pada Hewan dengan Relevansi Belum Pasti pada Manusia):</w:t>
      </w:r>
    </w:p>
    <w:p>
      <w:pPr>
        <w:spacing w:after="80"/>
      </w:pPr>
      <w:r>
        <w:rPr/>
        <w:t>Agen bersifat karsinogenik pada hewan coba pada dosis relatif tinggi, rute, tipe histologi, atau mekanisme yang dianggap belum atau kurang relevan terhadap pajanan manusia di tempat kerja. Studi epidemiologi yang ada belum membuktikan peningkatan risiko kanker pada manusia. (Contoh dokumen: Hidrazin, Trikloroetilen).</w:t>
      </w:r>
    </w:p>
    <w:p>
      <w:pPr>
        <w:pStyle w:val="ListBullet"/>
        <w:spacing w:after="20"/>
      </w:pPr>
      <w:r>
        <w:rPr>
          <w:b/>
        </w:rPr>
        <w:t xml:space="preserve">A4 — </w:t>
      </w:r>
      <w:r>
        <w:rPr>
          <w:b/>
          <w:i/>
        </w:rPr>
        <w:t>Not Classifiable as a Human Carcinogen</w:t>
      </w:r>
      <w:r>
        <w:rPr>
          <w:b/>
        </w:rPr>
        <w:t xml:space="preserve"> (Tidak Dapat Diklasifikasikan sebagai Karsinogen pada Manusia):</w:t>
      </w:r>
    </w:p>
    <w:p>
      <w:pPr>
        <w:spacing w:after="80"/>
      </w:pPr>
      <w:r>
        <w:rPr/>
        <w:t xml:space="preserve">Terdapat kekhawatiran karsinogenik, namun data pada manusia tidak mencukupi, dan studi </w:t>
      </w:r>
      <w:r>
        <w:rPr>
          <w:i/>
        </w:rPr>
        <w:t>in vitro</w:t>
      </w:r>
      <w:r>
        <w:rPr/>
        <w:t xml:space="preserve"> atau hewan tidak memberikan bukti mekanisme karakteristik kunci karsinogenisitas yang memadai untuk memasukkannya ke kategori lain. (Contoh dokumen: Asetonitril, Toluen).</w:t>
      </w:r>
    </w:p>
    <w:p>
      <w:pPr>
        <w:pStyle w:val="ListBullet"/>
        <w:spacing w:after="20"/>
      </w:pPr>
      <w:r>
        <w:rPr>
          <w:b/>
        </w:rPr>
        <w:t xml:space="preserve">A5 — </w:t>
      </w:r>
      <w:r>
        <w:rPr>
          <w:b/>
          <w:i/>
        </w:rPr>
        <w:t>Not Suspected as a Human Carcinogen</w:t>
      </w:r>
      <w:r>
        <w:rPr>
          <w:b/>
        </w:rPr>
        <w:t xml:space="preserve"> (Tidak Dicurigai Karsinogen pada Manusia):</w:t>
      </w:r>
    </w:p>
    <w:p>
      <w:pPr>
        <w:spacing w:after="80"/>
      </w:pPr>
      <w:r>
        <w:rPr/>
        <w:t>Agen tidak dicurigai karsinogenik pada manusia berdasarkan studi epidemiologi yang dirancang dengan baik, masa pemantauan panjang (</w:t>
      </w:r>
      <w:r>
        <w:rPr>
          <w:i/>
        </w:rPr>
        <w:t>long follow-up</w:t>
      </w:r>
      <w:r>
        <w:rPr/>
        <w:t>), riwayat pajanan jelas, dosis cukup tinggi, dan daya statistik memadai. (Contoh dokumen: VM &amp; P Nafta).</w:t>
      </w:r>
    </w:p>
    <w:p>
      <w:pPr>
        <w:pStyle w:val="Heading3"/>
      </w:pPr>
      <w:r>
        <w:t>3. Komparasi: ACGIH TLVs vs. Permenaker No. 5 Tahun 2018</w:t>
      </w:r>
    </w:p>
    <w:p>
      <w:pPr>
        <w:spacing w:after="80"/>
      </w:pPr>
      <w:r>
        <w:rPr/>
        <w:t>Sebagai pejabat pemeriksa di Indonesia, Anda wajib menegakkan hukum nasional dengan tetap memahami rujukan standar internasional yang diadopsinya.</w:t>
      </w:r>
    </w:p>
    <w:p>
      <w:pPr>
        <w:pStyle w:val="Heading4"/>
      </w:pPr>
      <w:r>
        <w:t>a. Perbandingan Istilah dan Konsep Regulasi</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Parameter</w:t>
            </w:r>
          </w:p>
        </w:tc>
        <w:tc>
          <w:tcPr>
            <w:tcW w:type="dxa" w:w="2381"/>
            <w:shd w:val="clear" w:color="auto" w:fill="DCE6F1"/>
          </w:tcPr>
          <w:p>
            <w:pPr>
              <w:spacing w:after="0"/>
            </w:pPr>
            <w:r/>
            <w:r>
              <w:rPr>
                <w:b/>
                <w:sz w:val="16"/>
              </w:rPr>
              <w:t>Konsep ACGIH (Internasional)</w:t>
            </w:r>
          </w:p>
        </w:tc>
        <w:tc>
          <w:tcPr>
            <w:tcW w:type="dxa" w:w="2381"/>
            <w:shd w:val="clear" w:color="auto" w:fill="DCE6F1"/>
          </w:tcPr>
          <w:p>
            <w:pPr>
              <w:spacing w:after="0"/>
            </w:pPr>
            <w:r/>
            <w:r>
              <w:rPr>
                <w:b/>
                <w:sz w:val="16"/>
              </w:rPr>
              <w:t>Istilah Permenaker No. 5 Tahun 2018 (Indonesia)</w:t>
            </w:r>
          </w:p>
        </w:tc>
        <w:tc>
          <w:tcPr>
            <w:tcW w:type="dxa" w:w="2381"/>
            <w:shd w:val="clear" w:color="auto" w:fill="DCE6F1"/>
          </w:tcPr>
          <w:p>
            <w:pPr>
              <w:spacing w:after="0"/>
            </w:pPr>
            <w:r/>
            <w:r>
              <w:rPr>
                <w:b/>
                <w:sz w:val="16"/>
              </w:rPr>
              <w:t>Dasar Hukum / Ketentuan [Nomor Sumber]</w:t>
            </w:r>
          </w:p>
        </w:tc>
      </w:tr>
      <w:tr>
        <w:tc>
          <w:tcPr>
            <w:tcW w:type="dxa" w:w="2381"/>
          </w:tcPr>
          <w:p>
            <w:pPr>
              <w:spacing w:after="0"/>
            </w:pPr>
            <w:r/>
            <w:r>
              <w:rPr>
                <w:b/>
                <w:sz w:val="16"/>
              </w:rPr>
              <w:t>Pajanan Rata-rata 8 Jam</w:t>
            </w:r>
          </w:p>
        </w:tc>
        <w:tc>
          <w:tcPr>
            <w:tcW w:type="dxa" w:w="2381"/>
          </w:tcPr>
          <w:p>
            <w:pPr>
              <w:spacing w:after="0"/>
            </w:pPr>
            <w:r/>
            <w:r>
              <w:rPr>
                <w:b/>
                <w:sz w:val="16"/>
              </w:rPr>
              <w:t>TLV-TWA</w:t>
            </w:r>
            <w:r>
              <w:rPr>
                <w:sz w:val="16"/>
              </w:rPr>
              <w:t xml:space="preserve"> (</w:t>
            </w:r>
            <w:r>
              <w:rPr>
                <w:i/>
                <w:sz w:val="16"/>
              </w:rPr>
              <w:t>Threshold Limit Value – Time-Weighted Average</w:t>
            </w:r>
            <w:r>
              <w:rPr>
                <w:sz w:val="16"/>
              </w:rPr>
              <w:t>)</w:t>
            </w:r>
          </w:p>
        </w:tc>
        <w:tc>
          <w:tcPr>
            <w:tcW w:type="dxa" w:w="2381"/>
          </w:tcPr>
          <w:p>
            <w:pPr>
              <w:spacing w:after="0"/>
            </w:pPr>
            <w:r/>
            <w:r>
              <w:rPr>
                <w:b/>
                <w:sz w:val="16"/>
              </w:rPr>
              <w:t>NAB</w:t>
            </w:r>
            <w:r>
              <w:rPr>
                <w:sz w:val="16"/>
              </w:rPr>
              <w:t xml:space="preserve"> (</w:t>
            </w:r>
            <w:r>
              <w:rPr>
                <w:i/>
                <w:sz w:val="16"/>
              </w:rPr>
              <w:t>Nilai Ambang Batas</w:t>
            </w:r>
            <w:r>
              <w:rPr>
                <w:sz w:val="16"/>
              </w:rPr>
              <w:t>)</w:t>
            </w:r>
          </w:p>
        </w:tc>
        <w:tc>
          <w:tcPr>
            <w:tcW w:type="dxa" w:w="2381"/>
          </w:tcPr>
          <w:p>
            <w:pPr>
              <w:spacing w:after="0"/>
            </w:pPr>
            <w:r/>
            <w:r>
              <w:rPr>
                <w:b/>
                <w:sz w:val="16"/>
              </w:rPr>
              <w:t>Pasal 1 angka 7:</w:t>
            </w:r>
            <w:r>
              <w:rPr>
                <w:sz w:val="16"/>
              </w:rPr>
              <w:t xml:space="preserve"> Standar faktor bahaya sebagai kadar/intensitas rata-rata tertimbang waktu yang dapat diterima tenaga kerja tanpa mengakibatkan penyakit/gangguan kesehatan untuk waktu ≤ 8 jam sehari atau 40 jam seminggu.</w:t>
            </w:r>
          </w:p>
        </w:tc>
      </w:tr>
      <w:tr>
        <w:tc>
          <w:tcPr>
            <w:tcW w:type="dxa" w:w="2381"/>
          </w:tcPr>
          <w:p>
            <w:pPr>
              <w:spacing w:after="0"/>
            </w:pPr>
            <w:r/>
            <w:r>
              <w:rPr>
                <w:b/>
                <w:sz w:val="16"/>
              </w:rPr>
              <w:t>Pajanan Singkat 15 Menit</w:t>
            </w:r>
          </w:p>
        </w:tc>
        <w:tc>
          <w:tcPr>
            <w:tcW w:type="dxa" w:w="2381"/>
          </w:tcPr>
          <w:p>
            <w:pPr>
              <w:spacing w:after="0"/>
            </w:pPr>
            <w:r/>
            <w:r>
              <w:rPr>
                <w:b/>
                <w:sz w:val="16"/>
              </w:rPr>
              <w:t>TLV-STEL</w:t>
            </w:r>
            <w:r>
              <w:rPr>
                <w:sz w:val="16"/>
              </w:rPr>
              <w:t xml:space="preserve"> (</w:t>
            </w:r>
            <w:r>
              <w:rPr>
                <w:i/>
                <w:sz w:val="16"/>
              </w:rPr>
              <w:t>Short-Term Exposure Limit</w:t>
            </w:r>
            <w:r>
              <w:rPr>
                <w:sz w:val="16"/>
              </w:rPr>
              <w:t>)</w:t>
            </w:r>
          </w:p>
        </w:tc>
        <w:tc>
          <w:tcPr>
            <w:tcW w:type="dxa" w:w="2381"/>
          </w:tcPr>
          <w:p>
            <w:pPr>
              <w:spacing w:after="0"/>
            </w:pPr>
            <w:r/>
            <w:r>
              <w:rPr>
                <w:b/>
                <w:sz w:val="16"/>
              </w:rPr>
              <w:t>PSD</w:t>
            </w:r>
            <w:r>
              <w:rPr>
                <w:sz w:val="16"/>
              </w:rPr>
              <w:t xml:space="preserve"> (</w:t>
            </w:r>
            <w:r>
              <w:rPr>
                <w:i/>
                <w:sz w:val="16"/>
              </w:rPr>
              <w:t>Pajanan Singkat Diperkenankan</w:t>
            </w:r>
            <w:r>
              <w:rPr>
                <w:sz w:val="16"/>
              </w:rPr>
              <w:t>)</w:t>
            </w:r>
          </w:p>
        </w:tc>
        <w:tc>
          <w:tcPr>
            <w:tcW w:type="dxa" w:w="2381"/>
          </w:tcPr>
          <w:p>
            <w:pPr>
              <w:spacing w:after="0"/>
            </w:pPr>
            <w:r/>
            <w:r>
              <w:rPr>
                <w:b/>
                <w:sz w:val="16"/>
              </w:rPr>
              <w:t>Pasal 1 angka 8:</w:t>
            </w:r>
            <w:r>
              <w:rPr>
                <w:sz w:val="16"/>
              </w:rPr>
              <w:t xml:space="preserve"> Kadar bahan kimia di udara tempat kerja yang tidak boleh dilampaui agar tenaga kerja tidak mengalami gangguan kesehatan... durasi 15 menit, maksimal 4 kali sehari kerja.</w:t>
            </w:r>
          </w:p>
        </w:tc>
      </w:tr>
      <w:tr>
        <w:tc>
          <w:tcPr>
            <w:tcW w:type="dxa" w:w="2381"/>
          </w:tcPr>
          <w:p>
            <w:pPr>
              <w:spacing w:after="0"/>
            </w:pPr>
            <w:r/>
            <w:r>
              <w:rPr>
                <w:b/>
                <w:sz w:val="16"/>
              </w:rPr>
              <w:t>Batas Kadar Tertinggi</w:t>
            </w:r>
          </w:p>
        </w:tc>
        <w:tc>
          <w:tcPr>
            <w:tcW w:type="dxa" w:w="2381"/>
          </w:tcPr>
          <w:p>
            <w:pPr>
              <w:spacing w:after="0"/>
            </w:pPr>
            <w:r/>
            <w:r>
              <w:rPr>
                <w:b/>
                <w:sz w:val="16"/>
              </w:rPr>
              <w:t>TLV-C</w:t>
            </w:r>
            <w:r>
              <w:rPr>
                <w:sz w:val="16"/>
              </w:rPr>
              <w:t xml:space="preserve"> (</w:t>
            </w:r>
            <w:r>
              <w:rPr>
                <w:i/>
                <w:sz w:val="16"/>
              </w:rPr>
              <w:t>Ceiling</w:t>
            </w:r>
            <w:r>
              <w:rPr>
                <w:sz w:val="16"/>
              </w:rPr>
              <w:t>)</w:t>
            </w:r>
          </w:p>
        </w:tc>
        <w:tc>
          <w:tcPr>
            <w:tcW w:type="dxa" w:w="2381"/>
          </w:tcPr>
          <w:p>
            <w:pPr>
              <w:spacing w:after="0"/>
            </w:pPr>
            <w:r/>
            <w:r>
              <w:rPr>
                <w:b/>
                <w:sz w:val="16"/>
              </w:rPr>
              <w:t>KTD</w:t>
            </w:r>
            <w:r>
              <w:rPr>
                <w:sz w:val="16"/>
              </w:rPr>
              <w:t xml:space="preserve"> (</w:t>
            </w:r>
            <w:r>
              <w:rPr>
                <w:i/>
                <w:sz w:val="16"/>
              </w:rPr>
              <w:t>Kadar Tertinggi Diperkenankan</w:t>
            </w:r>
            <w:r>
              <w:rPr>
                <w:sz w:val="16"/>
              </w:rPr>
              <w:t>)</w:t>
            </w:r>
          </w:p>
        </w:tc>
        <w:tc>
          <w:tcPr>
            <w:tcW w:type="dxa" w:w="2381"/>
          </w:tcPr>
          <w:p>
            <w:pPr>
              <w:spacing w:after="0"/>
            </w:pPr>
            <w:r/>
            <w:r>
              <w:rPr>
                <w:b/>
                <w:sz w:val="16"/>
              </w:rPr>
              <w:t>Pasal 1 angka 9:</w:t>
            </w:r>
            <w:r>
              <w:rPr>
                <w:sz w:val="16"/>
              </w:rPr>
              <w:t xml:space="preserve"> Kadar bahan kimia di udara tempat kerja yang tidak boleh dilampaui meskipun dalam waktu sekejap (</w:t>
            </w:r>
            <w:r>
              <w:rPr>
                <w:i/>
                <w:sz w:val="16"/>
              </w:rPr>
              <w:t>instantaneously</w:t>
            </w:r>
            <w:r>
              <w:rPr>
                <w:sz w:val="16"/>
              </w:rPr>
              <w:t>).</w:t>
            </w:r>
          </w:p>
        </w:tc>
      </w:tr>
      <w:tr>
        <w:tc>
          <w:tcPr>
            <w:tcW w:type="dxa" w:w="2381"/>
          </w:tcPr>
          <w:p>
            <w:pPr>
              <w:spacing w:after="0"/>
            </w:pPr>
            <w:r/>
            <w:r>
              <w:rPr>
                <w:b/>
                <w:sz w:val="16"/>
              </w:rPr>
              <w:t>Pajanan Kulit</w:t>
            </w:r>
          </w:p>
        </w:tc>
        <w:tc>
          <w:tcPr>
            <w:tcW w:type="dxa" w:w="2381"/>
          </w:tcPr>
          <w:p>
            <w:pPr>
              <w:spacing w:after="0"/>
            </w:pPr>
            <w:r/>
            <w:r>
              <w:rPr>
                <w:b/>
                <w:sz w:val="16"/>
              </w:rPr>
              <w:t>Skin</w:t>
            </w:r>
            <w:r>
              <w:rPr>
                <w:sz w:val="16"/>
              </w:rPr>
              <w:t xml:space="preserve"> (</w:t>
            </w:r>
            <w:r>
              <w:rPr>
                <w:i/>
                <w:sz w:val="16"/>
              </w:rPr>
              <w:t>Cutaneous absorption</w:t>
            </w:r>
            <w:r>
              <w:rPr>
                <w:sz w:val="16"/>
              </w:rPr>
              <w:t>)</w:t>
            </w:r>
          </w:p>
        </w:tc>
        <w:tc>
          <w:tcPr>
            <w:tcW w:type="dxa" w:w="2381"/>
          </w:tcPr>
          <w:p>
            <w:pPr>
              <w:spacing w:after="0"/>
            </w:pPr>
            <w:r/>
            <w:r>
              <w:rPr>
                <w:b/>
                <w:sz w:val="16"/>
              </w:rPr>
              <w:t>Kulit</w:t>
            </w:r>
          </w:p>
        </w:tc>
        <w:tc>
          <w:tcPr>
            <w:tcW w:type="dxa" w:w="2381"/>
          </w:tcPr>
          <w:p>
            <w:pPr>
              <w:spacing w:after="0"/>
            </w:pPr>
            <w:r/>
            <w:r>
              <w:rPr>
                <w:sz w:val="16"/>
              </w:rPr>
              <w:t>Dicantumkan pada kolom Notasi; memberi peringatan adanya potensi penyerapan berbahaya melalui kulit utuh, mata, dan selaput lendir.</w:t>
            </w:r>
          </w:p>
        </w:tc>
      </w:tr>
      <w:tr>
        <w:tc>
          <w:tcPr>
            <w:tcW w:type="dxa" w:w="2381"/>
          </w:tcPr>
          <w:p>
            <w:pPr>
              <w:spacing w:after="0"/>
            </w:pPr>
            <w:r/>
            <w:r>
              <w:rPr>
                <w:b/>
                <w:sz w:val="16"/>
              </w:rPr>
              <w:t>Sensitisasi</w:t>
            </w:r>
          </w:p>
        </w:tc>
        <w:tc>
          <w:tcPr>
            <w:tcW w:type="dxa" w:w="2381"/>
          </w:tcPr>
          <w:p>
            <w:pPr>
              <w:spacing w:after="0"/>
            </w:pPr>
            <w:r/>
            <w:r>
              <w:rPr>
                <w:b/>
                <w:sz w:val="16"/>
              </w:rPr>
              <w:t>SEN (DSEN / RSEN)</w:t>
            </w:r>
          </w:p>
        </w:tc>
        <w:tc>
          <w:tcPr>
            <w:tcW w:type="dxa" w:w="2381"/>
          </w:tcPr>
          <w:p>
            <w:pPr>
              <w:spacing w:after="0"/>
            </w:pPr>
            <w:r/>
            <w:r>
              <w:rPr>
                <w:b/>
                <w:sz w:val="16"/>
              </w:rPr>
              <w:t>DSEN / RSEN / Sensitisasi</w:t>
            </w:r>
          </w:p>
        </w:tc>
        <w:tc>
          <w:tcPr>
            <w:tcW w:type="dxa" w:w="2381"/>
          </w:tcPr>
          <w:p>
            <w:pPr>
              <w:spacing w:after="0"/>
            </w:pPr>
            <w:r/>
            <w:r>
              <w:rPr>
                <w:sz w:val="16"/>
              </w:rPr>
              <w:t>Mengindikasikan potensi alergi pernapasan (</w:t>
            </w:r>
            <w:r>
              <w:rPr>
                <w:i/>
                <w:sz w:val="16"/>
              </w:rPr>
              <w:t>aspek asma</w:t>
            </w:r>
            <w:r>
              <w:rPr>
                <w:sz w:val="16"/>
              </w:rPr>
              <w:t>) atau kulit (</w:t>
            </w:r>
            <w:r>
              <w:rPr>
                <w:i/>
                <w:sz w:val="16"/>
              </w:rPr>
              <w:t>dermatitis kontak</w:t>
            </w:r>
            <w:r>
              <w:rPr>
                <w:sz w:val="16"/>
              </w:rPr>
              <w:t>).</w:t>
            </w:r>
          </w:p>
        </w:tc>
      </w:tr>
      <w:tr>
        <w:tc>
          <w:tcPr>
            <w:tcW w:type="dxa" w:w="2381"/>
          </w:tcPr>
          <w:p>
            <w:pPr>
              <w:spacing w:after="0"/>
            </w:pPr>
            <w:r/>
            <w:r>
              <w:rPr>
                <w:b/>
                <w:sz w:val="16"/>
              </w:rPr>
              <w:t>Karsinogenitas</w:t>
            </w:r>
          </w:p>
        </w:tc>
        <w:tc>
          <w:tcPr>
            <w:tcW w:type="dxa" w:w="2381"/>
          </w:tcPr>
          <w:p>
            <w:pPr>
              <w:spacing w:after="0"/>
            </w:pPr>
            <w:r/>
            <w:r>
              <w:rPr>
                <w:b/>
                <w:sz w:val="16"/>
              </w:rPr>
              <w:t>A1, A2, A3, A4, A5</w:t>
            </w:r>
          </w:p>
        </w:tc>
        <w:tc>
          <w:tcPr>
            <w:tcW w:type="dxa" w:w="2381"/>
          </w:tcPr>
          <w:p>
            <w:pPr>
              <w:spacing w:after="0"/>
            </w:pPr>
            <w:r/>
            <w:r>
              <w:rPr>
                <w:b/>
                <w:sz w:val="16"/>
              </w:rPr>
              <w:t>A-1, A-2, A-3, A-4, A-5</w:t>
            </w:r>
            <w:r>
              <w:rPr>
                <w:sz w:val="16"/>
              </w:rPr>
              <w:t xml:space="preserve">, serta tambahan notasi </w:t>
            </w:r>
            <w:r>
              <w:rPr>
                <w:b/>
                <w:sz w:val="16"/>
              </w:rPr>
              <w:t>Repr</w:t>
            </w:r>
          </w:p>
        </w:tc>
        <w:tc>
          <w:tcPr>
            <w:tcW w:type="dxa" w:w="2381"/>
          </w:tcPr>
          <w:p>
            <w:pPr>
              <w:spacing w:after="0"/>
            </w:pPr>
            <w:r/>
            <w:r>
              <w:rPr>
                <w:sz w:val="16"/>
              </w:rPr>
              <w:t xml:space="preserve">Lampiran 3 Bagian B: Definisi A-1 hingga A-5 mengadopsi struktur ACGIH; notasi </w:t>
            </w:r>
            <w:r>
              <w:rPr>
                <w:b/>
                <w:sz w:val="16"/>
              </w:rPr>
              <w:t>Repr</w:t>
            </w:r>
            <w:r>
              <w:rPr>
                <w:sz w:val="16"/>
              </w:rPr>
              <w:t xml:space="preserve"> ditambahkan untuk zat toksik terhadap reproduksi wanita (abortus, infertilitas, cacat lahir).</w:t>
            </w:r>
          </w:p>
        </w:tc>
      </w:tr>
      <w:tr>
        <w:tc>
          <w:tcPr>
            <w:tcW w:type="dxa" w:w="2381"/>
          </w:tcPr>
          <w:p>
            <w:pPr>
              <w:spacing w:after="0"/>
            </w:pPr>
            <w:r/>
            <w:r>
              <w:rPr>
                <w:b/>
                <w:sz w:val="16"/>
              </w:rPr>
              <w:t>Satuan Konsentrasi Gas/Uap</w:t>
            </w:r>
          </w:p>
        </w:tc>
        <w:tc>
          <w:tcPr>
            <w:tcW w:type="dxa" w:w="2381"/>
          </w:tcPr>
          <w:p>
            <w:pPr>
              <w:spacing w:after="0"/>
            </w:pPr>
            <w:r/>
            <w:r>
              <w:rPr>
                <w:b/>
                <w:sz w:val="16"/>
              </w:rPr>
              <w:t>ppm</w:t>
            </w:r>
            <w:r>
              <w:rPr>
                <w:sz w:val="16"/>
              </w:rPr>
              <w:t xml:space="preserve"> (</w:t>
            </w:r>
            <w:r>
              <w:rPr>
                <w:i/>
                <w:sz w:val="16"/>
              </w:rPr>
              <w:t>parts per million</w:t>
            </w:r>
            <w:r>
              <w:rPr>
                <w:sz w:val="16"/>
              </w:rPr>
              <w:t>)</w:t>
            </w:r>
          </w:p>
        </w:tc>
        <w:tc>
          <w:tcPr>
            <w:tcW w:type="dxa" w:w="2381"/>
          </w:tcPr>
          <w:p>
            <w:pPr>
              <w:spacing w:after="0"/>
            </w:pPr>
            <w:r/>
            <w:r>
              <w:rPr>
                <w:b/>
                <w:sz w:val="16"/>
              </w:rPr>
              <w:t>BDS</w:t>
            </w:r>
            <w:r>
              <w:rPr>
                <w:sz w:val="16"/>
              </w:rPr>
              <w:t xml:space="preserve"> (</w:t>
            </w:r>
            <w:r>
              <w:rPr>
                <w:i/>
                <w:sz w:val="16"/>
              </w:rPr>
              <w:t>Bagian Dalam Sejuta</w:t>
            </w:r>
            <w:r>
              <w:rPr>
                <w:sz w:val="16"/>
              </w:rPr>
              <w:t>)</w:t>
            </w:r>
          </w:p>
        </w:tc>
        <w:tc>
          <w:tcPr>
            <w:tcW w:type="dxa" w:w="2381"/>
          </w:tcPr>
          <w:p>
            <w:pPr>
              <w:spacing w:after="0"/>
            </w:pPr>
            <w:r/>
            <w:r>
              <w:rPr>
                <w:sz w:val="16"/>
              </w:rPr>
              <w:t>Rasio bagian volume uap/gas per satu juta volume udara terkontaminasi.</w:t>
            </w:r>
          </w:p>
        </w:tc>
      </w:tr>
      <w:tr>
        <w:tc>
          <w:tcPr>
            <w:tcW w:type="dxa" w:w="2381"/>
          </w:tcPr>
          <w:p>
            <w:pPr>
              <w:spacing w:after="0"/>
            </w:pPr>
            <w:r/>
            <w:r>
              <w:rPr>
                <w:b/>
                <w:sz w:val="16"/>
              </w:rPr>
              <w:t>Satuan Partikulat/Debu</w:t>
            </w:r>
          </w:p>
        </w:tc>
        <w:tc>
          <w:tcPr>
            <w:tcW w:type="dxa" w:w="2381"/>
          </w:tcPr>
          <w:p>
            <w:pPr>
              <w:spacing w:after="0"/>
            </w:pPr>
            <w:r/>
            <w:r>
              <w:rPr>
                <w:b/>
                <w:sz w:val="16"/>
              </w:rPr>
              <w:t>mg/m³</w:t>
            </w:r>
          </w:p>
        </w:tc>
        <w:tc>
          <w:tcPr>
            <w:tcW w:type="dxa" w:w="2381"/>
          </w:tcPr>
          <w:p>
            <w:pPr>
              <w:spacing w:after="0"/>
            </w:pPr>
            <w:r/>
            <w:r>
              <w:rPr>
                <w:b/>
                <w:sz w:val="16"/>
              </w:rPr>
              <w:t>mg/m³</w:t>
            </w:r>
            <w:r>
              <w:rPr>
                <w:sz w:val="16"/>
              </w:rPr>
              <w:t xml:space="preserve"> (Miligram per meter kubik)</w:t>
            </w:r>
          </w:p>
        </w:tc>
        <w:tc>
          <w:tcPr>
            <w:tcW w:type="dxa" w:w="2381"/>
          </w:tcPr>
          <w:p>
            <w:pPr>
              <w:spacing w:after="0"/>
            </w:pPr>
            <w:r/>
            <w:r>
              <w:rPr>
                <w:sz w:val="16"/>
              </w:rPr>
              <w:t>Bobot zat kimia per volume meter kubik udara.</w:t>
            </w:r>
          </w:p>
        </w:tc>
      </w:tr>
    </w:tbl>
    <w:p>
      <w:pPr>
        <w:spacing w:after="40"/>
      </w:pPr>
    </w:p>
    <w:p>
      <w:pPr>
        <w:pStyle w:val="Heading4"/>
      </w:pPr>
      <w:r>
        <w:t>b. Perbandingan Status Hukum dan Filosofi</w:t>
      </w:r>
    </w:p>
    <w:p>
      <w:pPr>
        <w:spacing w:after="40"/>
        <w:ind w:left="340" w:hanging="283"/>
      </w:pPr>
      <w:r>
        <w:rPr/>
        <w:t xml:space="preserve">1. </w:t>
      </w:r>
      <w:r>
        <w:rPr>
          <w:b/>
        </w:rPr>
        <w:t>ACGIH TLVs:</w:t>
      </w:r>
      <w:r>
        <w:rPr/>
        <w:t xml:space="preserve"> Merupakan </w:t>
      </w:r>
      <w:r>
        <w:rPr>
          <w:b/>
        </w:rPr>
        <w:t>rekomendasi profesional berbasis kesehatan murni (</w:t>
      </w:r>
      <w:r>
        <w:rPr>
          <w:b/>
          <w:i/>
        </w:rPr>
        <w:t>health-based guidelines</w:t>
      </w:r>
      <w:r>
        <w:rPr>
          <w:b/>
        </w:rPr>
        <w:t>)</w:t>
      </w:r>
      <w:r>
        <w:rPr/>
        <w:t>, bukan standar hukum yang mengikat (</w:t>
      </w:r>
      <w:r>
        <w:rPr>
          <w:i/>
        </w:rPr>
        <w:t>non-regulatory standards</w:t>
      </w:r>
      <w:r>
        <w:rPr/>
        <w:t>). ACGIH tidak mempertimbangkan kelayakan ekonomi atau teknologi rekayasa dalam menetapkan angka TLV.</w:t>
      </w:r>
    </w:p>
    <w:p>
      <w:pPr>
        <w:spacing w:after="40"/>
        <w:ind w:left="340" w:hanging="283"/>
      </w:pPr>
      <w:r>
        <w:rPr/>
        <w:t xml:space="preserve">2. </w:t>
      </w:r>
      <w:r>
        <w:rPr>
          <w:b/>
        </w:rPr>
        <w:t>Permenaker No. 5 Tahun 2018:</w:t>
      </w:r>
      <w:r>
        <w:rPr/>
        <w:t xml:space="preserve"> Merupakan </w:t>
      </w:r>
      <w:r>
        <w:rPr>
          <w:b/>
        </w:rPr>
        <w:t>hukum positif yang wajib ditaati (</w:t>
      </w:r>
      <w:r>
        <w:rPr>
          <w:b/>
          <w:i/>
        </w:rPr>
        <w:t>legally binding statutory standard</w:t>
      </w:r>
      <w:r>
        <w:rPr>
          <w:b/>
        </w:rPr>
        <w:t>)</w:t>
      </w:r>
      <w:r>
        <w:rPr/>
        <w:t xml:space="preserve"> di seluruh wilayah hukum Republik Indonesia. Pengusaha dan Pengurus </w:t>
      </w:r>
      <w:r>
        <w:rPr>
          <w:b/>
        </w:rPr>
        <w:t>wajib</w:t>
      </w:r>
      <w:r>
        <w:rPr/>
        <w:t xml:space="preserve"> melakukan pengendalian faktor kimia agar berada di bawah NAB (Pasal 3 dan Pasal 7) dan dikenakan sanksi pidana/administratif UU Ketenagakerjaan jika melanggar (Pasal 71).</w:t>
      </w:r>
    </w:p>
    <w:p>
      <w:pPr>
        <w:pStyle w:val="Heading4"/>
      </w:pPr>
      <w:r>
        <w:t>c. Komparasi Nilai Numerik di Lapangan</w:t>
      </w:r>
    </w:p>
    <w:p>
      <w:pPr>
        <w:spacing w:after="80"/>
      </w:pPr>
      <w:r>
        <w:rPr/>
        <w:t xml:space="preserve">Permenaker No. 5 Tahun 2018 sebagian besar mengadopsi angka TLV ACGIH yang berlaku pada saat regulasi tersebut dirumuskan. Namun, Anda harus waspada karena </w:t>
      </w:r>
      <w:r>
        <w:rPr>
          <w:b/>
        </w:rPr>
        <w:t>ACGIH memperbarui buku TLV-nya setiap tahun secara berkala</w:t>
      </w:r>
      <w:r>
        <w:rPr/>
        <w:t xml:space="preserve">, sedangkan </w:t>
      </w:r>
      <w:r>
        <w:rPr>
          <w:b/>
        </w:rPr>
        <w:t>Permenaker adalah peraturan perundangan yang sifatnya statis</w:t>
      </w:r>
      <w:r>
        <w:rPr/>
        <w:t xml:space="preserve"> sampai diterbitkan revisi menteri yang baru.</w:t>
      </w:r>
    </w:p>
    <w:p>
      <w:pPr>
        <w:spacing w:after="80"/>
      </w:pPr>
      <w:r>
        <w:rPr>
          <w:i/>
        </w:rPr>
        <w:t>Contoh Kasus Komparasi Nilai:</w:t>
      </w:r>
    </w:p>
    <w:p>
      <w:pPr>
        <w:pStyle w:val="ListBullet"/>
        <w:spacing w:after="20"/>
      </w:pPr>
      <w:r>
        <w:rPr>
          <w:b/>
        </w:rPr>
        <w:t>Benzena:</w:t>
      </w:r>
    </w:p>
    <w:p>
      <w:pPr>
        <w:pStyle w:val="ListBullet2"/>
        <w:spacing w:after="20"/>
      </w:pPr>
      <w:r>
        <w:rPr>
          <w:i/>
        </w:rPr>
        <w:t>Permenaker No. 5 Tahun 2018:</w:t>
      </w:r>
      <w:r>
        <w:rPr/>
        <w:t xml:space="preserve"> NAB = </w:t>
      </w:r>
      <w:r>
        <w:rPr>
          <w:b/>
        </w:rPr>
        <w:t>0,5 BDS</w:t>
      </w:r>
      <w:r>
        <w:rPr/>
        <w:t xml:space="preserve"> (1,59 mg/m³), PSD = </w:t>
      </w:r>
      <w:r>
        <w:rPr>
          <w:b/>
        </w:rPr>
        <w:t>2,5 BDS</w:t>
      </w:r>
      <w:r>
        <w:rPr/>
        <w:t xml:space="preserve">, Notasi: </w:t>
      </w:r>
      <w:r>
        <w:rPr>
          <w:b/>
        </w:rPr>
        <w:t>A1, Kulit, BEI</w:t>
      </w:r>
      <w:r>
        <w:rPr/>
        <w:t>.</w:t>
      </w:r>
    </w:p>
    <w:p>
      <w:pPr>
        <w:pStyle w:val="ListBullet2"/>
        <w:spacing w:after="20"/>
      </w:pPr>
      <w:r>
        <w:rPr>
          <w:i/>
        </w:rPr>
        <w:t>ACGIH:</w:t>
      </w:r>
      <w:r>
        <w:rPr/>
        <w:t xml:space="preserve"> Memiliki TLV-TWA historis 0,5 ppm, namun dalam perkembangannya ACGIH dan badan internasional terus memperketat batas pajanan serta biological exposure index (BEI S-PMA dan t,t-MA) seiring bukti leukemogenesis pada dosis rendah.</w:t>
      </w:r>
    </w:p>
    <w:p>
      <w:pPr>
        <w:pStyle w:val="ListBullet"/>
        <w:spacing w:after="20"/>
      </w:pPr>
      <w:r>
        <w:rPr>
          <w:b/>
        </w:rPr>
        <w:t>Asbes (Semua bentuk serat):</w:t>
      </w:r>
    </w:p>
    <w:p>
      <w:pPr>
        <w:pStyle w:val="ListBullet2"/>
        <w:spacing w:after="20"/>
      </w:pPr>
      <w:r>
        <w:rPr>
          <w:i/>
        </w:rPr>
        <w:t>Permenaker No. 5 Tahun 2018:</w:t>
      </w:r>
      <w:r>
        <w:rPr/>
        <w:t xml:space="preserve"> NAB = </w:t>
      </w:r>
      <w:r>
        <w:rPr>
          <w:b/>
        </w:rPr>
        <w:t>0,1 serat/ml</w:t>
      </w:r>
      <w:r>
        <w:rPr/>
        <w:t xml:space="preserve">; Notasi </w:t>
      </w:r>
      <w:r>
        <w:rPr>
          <w:b/>
        </w:rPr>
        <w:t>A1</w:t>
      </w:r>
      <w:r>
        <w:rPr/>
        <w:t>; untuk krosidolit (asbes biru) dilarang penggunaannya.</w:t>
      </w:r>
    </w:p>
    <w:p>
      <w:pPr>
        <w:pStyle w:val="ListBullet2"/>
        <w:spacing w:after="20"/>
      </w:pPr>
      <w:r>
        <w:rPr>
          <w:i/>
        </w:rPr>
        <w:t>ACGIH:</w:t>
      </w:r>
      <w:r>
        <w:rPr/>
        <w:t xml:space="preserve"> Sejalan menetapkan TLV-TWA 0,1 serat/cc dengan kategori karsinogen A1.</w:t>
      </w:r>
    </w:p>
    <w:p>
      <w:pPr>
        <w:pStyle w:val="ListBullet"/>
        <w:spacing w:after="20"/>
      </w:pPr>
      <w:r>
        <w:rPr>
          <w:b/>
        </w:rPr>
        <w:t>Berilium dan Senyawanya:</w:t>
      </w:r>
    </w:p>
    <w:p>
      <w:pPr>
        <w:pStyle w:val="ListBullet2"/>
        <w:spacing w:after="20"/>
      </w:pPr>
      <w:r>
        <w:rPr>
          <w:i/>
        </w:rPr>
        <w:t>Permenaker No. 5 Tahun 2018:</w:t>
      </w:r>
      <w:r>
        <w:rPr/>
        <w:t xml:space="preserve"> NAB = </w:t>
      </w:r>
      <w:r>
        <w:rPr>
          <w:b/>
        </w:rPr>
        <w:t>0,00005 mg/m³</w:t>
      </w:r>
      <w:r>
        <w:rPr/>
        <w:t xml:space="preserve">; KTD/PSD = 0,002 mg/m³; Notasi </w:t>
      </w:r>
      <w:r>
        <w:rPr>
          <w:b/>
        </w:rPr>
        <w:t>A1, Kulit, DSEN, RSEN</w:t>
      </w:r>
      <w:r>
        <w:rPr/>
        <w:t>.</w:t>
      </w:r>
    </w:p>
    <w:p>
      <w:pPr>
        <w:pStyle w:val="ListBullet2"/>
        <w:spacing w:after="20"/>
      </w:pPr>
      <w:r>
        <w:rPr>
          <w:i/>
        </w:rPr>
        <w:t>ACGIH:</w:t>
      </w:r>
      <w:r>
        <w:rPr/>
        <w:t xml:space="preserve"> Menetapkan angka proteksi ketat serupa karena risiko sensitisasi berilium (</w:t>
      </w:r>
      <w:r>
        <w:rPr>
          <w:i/>
        </w:rPr>
        <w:t>beryllium sensitization</w:t>
      </w:r>
      <w:r>
        <w:rPr/>
        <w:t>) dan penyakit paru kronis beriliosis (</w:t>
      </w:r>
      <w:r>
        <w:rPr>
          <w:i/>
        </w:rPr>
        <w:t>chronic beryllium disease</w:t>
      </w:r>
      <w:r>
        <w:rPr/>
        <w:t>).</w:t>
      </w:r>
    </w:p>
    <w:p>
      <w:r>
        <w:rPr>
          <w:b/>
          <w:sz w:val="16"/>
        </w:rPr>
        <w:t>Sumber yang dirujuk NotebookLM:</w:t>
      </w:r>
    </w:p>
    <w:p>
      <w:pPr>
        <w:spacing w:after="0"/>
        <w:ind w:left="283"/>
      </w:pPr>
      <w:r>
        <w:rPr>
          <w:b/>
          <w:color w:val="595959"/>
          <w:sz w:val="16"/>
        </w:rPr>
        <w:t>ACGIH (2026/Current Editions).</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 xml:space="preserve"> — Bagian: </w:t>
      </w:r>
      <w:r>
        <w:rPr>
          <w:i/>
          <w:color w:val="595959"/>
          <w:sz w:val="16"/>
        </w:rPr>
        <w:t>Introduction to the Chemical Substances</w:t>
      </w:r>
      <w:r>
        <w:rPr>
          <w:color w:val="595959"/>
          <w:sz w:val="16"/>
        </w:rPr>
        <w:t xml:space="preserve"> (Definisi TLV-TWA, TLV-STEL, TLV-C, Peak Exposures / 3 by 5 Rule); </w:t>
      </w:r>
      <w:r>
        <w:rPr>
          <w:i/>
          <w:color w:val="595959"/>
          <w:sz w:val="16"/>
        </w:rPr>
        <w:t>Definitions and Notations</w:t>
      </w:r>
      <w:r>
        <w:rPr>
          <w:color w:val="595959"/>
          <w:sz w:val="16"/>
        </w:rPr>
        <w:t xml:space="preserve"> (Notasi Skin, DSEN, RSEN, Karsinogenitas A1–A5); serta </w:t>
      </w:r>
      <w:r>
        <w:rPr>
          <w:i/>
          <w:color w:val="595959"/>
          <w:sz w:val="16"/>
        </w:rPr>
        <w:t>Appendices</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Bab I (Ketentuan Umum, Pasal 1 angka 7, 8, 9 mengenai NAB, PSD, KTD); Bab II &amp; III (Pasal 2, 3, 7, 20 mengenai kewajiban pengendalian); serta Lampiran 3 (Daftar Nilai Ambang Batas Faktor Kimia, Kategori Karsinogenitas A-1 s.d A-5, Repr, Singkatan BDS, Kulit, KTD).</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11 &amp; 22: </w:t>
      </w:r>
      <w:r>
        <w:rPr>
          <w:i/>
          <w:color w:val="595959"/>
          <w:sz w:val="16"/>
        </w:rPr>
        <w:t>Workplace Exposure Limits, ACGIH TLV System vs OSHA PELs, Definitions of TWA, STEL, Ceiling, and Excursion limits</w:t>
      </w:r>
      <w:r>
        <w:rPr>
          <w:color w:val="595959"/>
          <w:sz w:val="16"/>
        </w:rPr>
        <w:t>.</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dan Bab 2: </w:t>
      </w:r>
      <w:r>
        <w:rPr>
          <w:i/>
          <w:color w:val="595959"/>
          <w:sz w:val="16"/>
        </w:rPr>
        <w:t>Pengertian Nilai Ambang Batas, TLV-TWA, STEL, Ceiling, dan Klasifikasi Karsinogenitas</w:t>
      </w:r>
      <w:r>
        <w:rPr>
          <w:color w:val="595959"/>
          <w:sz w:val="16"/>
        </w:rPr>
        <w:t>.</w:t>
      </w:r>
    </w:p>
    <w:p>
      <w:pPr>
        <w:pStyle w:val="Heading2"/>
      </w:pPr>
      <w:bookmarkStart w:id="104" w:name="toc_004"/>
      <w:r>
        <w:t>1.4 TWA dan penyesuaian shift panjang</w:t>
      </w:r>
      <w:bookmarkEnd w:id="104"/>
    </w:p>
    <w:p>
      <w:pPr>
        <w:pStyle w:val="Heading3"/>
      </w:pPr>
      <w:r>
        <w:t>1. Konsep dan Perhitungan TWA (Time-Weighted Average) 8 Jam</w:t>
      </w:r>
    </w:p>
    <w:p>
      <w:pPr>
        <w:pStyle w:val="Heading4"/>
      </w:pPr>
      <w:r>
        <w:t>a. Definisi Fisiologis dan Regulasi</w:t>
      </w:r>
    </w:p>
    <w:p>
      <w:pPr>
        <w:spacing w:after="80"/>
      </w:pPr>
      <w:r>
        <w:rPr>
          <w:i/>
        </w:rPr>
        <w:t>Time-Weighted Average</w:t>
      </w:r>
      <w:r>
        <w:rPr/>
        <w:t xml:space="preserve"> (TWA) atau Nilai Ambang Batas rata-rata tertimbang waktu adalah konsentrasi rata-rata bahan kimia di udara ruang kerja yang diperhitungkan terhadap hari kerja standar </w:t>
      </w:r>
      <w:r>
        <w:rPr>
          <w:b/>
        </w:rPr>
        <w:t>8 jam sehari atau 40 jam seminggu</w:t>
      </w:r>
      <w:r>
        <w:rPr/>
        <w:t>.</w:t>
      </w:r>
    </w:p>
    <w:p>
      <w:pPr>
        <w:pStyle w:val="ListBullet"/>
        <w:spacing w:after="20"/>
      </w:pPr>
      <w:r>
        <w:rPr>
          <w:b/>
        </w:rPr>
        <w:t>Prinsip Kompensasi Biologis:</w:t>
      </w:r>
      <w:r>
        <w:rPr/>
        <w:t xml:space="preserve"> Konsep TWA mengizinkan terjadinya lonjakan konsentrasi sesaat di atas batas rata-rata (</w:t>
      </w:r>
      <w:r>
        <w:rPr>
          <w:i/>
        </w:rPr>
        <w:t>permissible excursions</w:t>
      </w:r>
      <w:r>
        <w:rPr/>
        <w:t xml:space="preserve">), asalkan periode lonjakan tersebut </w:t>
      </w:r>
      <w:r>
        <w:rPr>
          <w:b/>
        </w:rPr>
        <w:t>dikompensasi</w:t>
      </w:r>
      <w:r>
        <w:rPr/>
        <w:t xml:space="preserve"> oleh periode pajanan dengan konsentrasi yang setara di bawah batas selama total siklus 8 jam berlangsung, sehingga beban kumulatif tubuh (</w:t>
      </w:r>
      <w:r>
        <w:rPr>
          <w:i/>
        </w:rPr>
        <w:t>cumulative body burden</w:t>
      </w:r>
      <w:r>
        <w:rPr/>
        <w:t>) tetap berada di bawah ambang efek toksik.</w:t>
      </w:r>
    </w:p>
    <w:p>
      <w:pPr>
        <w:pStyle w:val="Heading4"/>
      </w:pPr>
      <w:r>
        <w:t>b. Rumus Baku TWA</w:t>
      </w:r>
    </w:p>
    <w:p>
      <w:pPr>
        <w:spacing w:after="80"/>
      </w:pPr>
      <w:r>
        <w:rPr/>
        <w:t>Jika selama 8 jam kerja terjadi beberapa tingkat pajanan yang bervariasi pada periode waktu yang berbeda, TWA dihitung menggunakan rumus integrasi diskrit:</w:t>
      </w:r>
    </w:p>
    <w:p>
      <w:pPr>
        <w:spacing w:after="60"/>
        <w:jc w:val="center"/>
      </w:pPr>
      <w:r>
        <w:rPr>
          <w:i/>
        </w:rPr>
        <w:t>TWA = (Σ_(i=1)ⁿ (C_i × T_i))/(Σ_(i=1)ⁿ T_i) = (C₁ T₁ + C₂ T₂ + C₃ T₃ + … + C_n T_n)/(T₁ + T₂ + T₃ + … + T_n)</w:t>
      </w:r>
    </w:p>
    <w:p>
      <w:pPr>
        <w:spacing w:after="80"/>
      </w:pPr>
      <w:r>
        <w:rPr/>
        <w:t>Di mana:</w:t>
      </w:r>
    </w:p>
    <w:p>
      <w:pPr>
        <w:pStyle w:val="ListBullet"/>
        <w:spacing w:after="20"/>
      </w:pPr>
      <w:r>
        <w:rPr/>
        <w:t>C_i = Konsentrasi kontaminan kimia pada interval waktu pemantauan ke-i (dalam satuan ppm atau mg/m³).</w:t>
      </w:r>
    </w:p>
    <w:p>
      <w:pPr>
        <w:pStyle w:val="ListBullet"/>
        <w:spacing w:after="20"/>
      </w:pPr>
      <w:r>
        <w:rPr/>
        <w:t>T_i = Durasi pajanan pada konsentrasi C_i (dalam satuan jam atau menit).</w:t>
      </w:r>
    </w:p>
    <w:p>
      <w:pPr>
        <w:pStyle w:val="ListBullet"/>
        <w:spacing w:after="20"/>
      </w:pPr>
      <w:r>
        <w:rPr/>
        <w:t>Σ T_i = Total durasi jam kerja pemantauan (untuk TWA harian standar = 8 jam atau 480 menit).</w:t>
      </w:r>
    </w:p>
    <w:p>
      <w:pPr>
        <w:pStyle w:val="Heading4"/>
      </w:pPr>
      <w:r>
        <w:t>c. Contoh Kasus Perhitungan TWA 8 Jam dan Substitusinya</w:t>
      </w:r>
    </w:p>
    <w:p>
      <w:pPr>
        <w:spacing w:after="80"/>
      </w:pPr>
      <w:r>
        <w:rPr>
          <w:b/>
        </w:rPr>
        <w:t>Skenario Kasus:</w:t>
      </w:r>
    </w:p>
    <w:p>
      <w:pPr>
        <w:spacing w:after="80"/>
      </w:pPr>
      <w:r>
        <w:rPr/>
        <w:t xml:space="preserve">Seorang pekerja di bagian pencucian komponen industri terpajan uap pelarut organik toluena (NAB/TLV-TWA standar menurut Permenaker No. 5/2018 = </w:t>
      </w:r>
      <w:r>
        <w:rPr>
          <w:b/>
        </w:rPr>
        <w:t>20 ppm</w:t>
      </w:r>
      <w:r>
        <w:rPr/>
        <w:t>). Pemantauan udara pribadi (</w:t>
      </w:r>
      <w:r>
        <w:rPr>
          <w:i/>
        </w:rPr>
        <w:t>personal air sampling</w:t>
      </w:r>
      <w:r>
        <w:rPr/>
        <w:t>) selama shift 8 jam menunjukkan data pajanan bertahap sebagai berikut:</w:t>
      </w:r>
    </w:p>
    <w:p>
      <w:pPr>
        <w:spacing w:after="40"/>
        <w:ind w:left="340" w:hanging="283"/>
      </w:pPr>
      <w:r>
        <w:rPr/>
        <w:t xml:space="preserve">1. </w:t>
      </w:r>
      <w:r>
        <w:rPr>
          <w:b/>
        </w:rPr>
        <w:t>Periode 1 (08.00 – 10.00 / 2 jam):</w:t>
      </w:r>
      <w:r>
        <w:rPr/>
        <w:t xml:space="preserve"> Konsentrasi tinggi saat persiapan pelarut, C₁ = 35 ppm, T₁ = 2 jam.</w:t>
      </w:r>
    </w:p>
    <w:p>
      <w:pPr>
        <w:spacing w:after="40"/>
        <w:ind w:left="340" w:hanging="283"/>
      </w:pPr>
      <w:r>
        <w:rPr/>
        <w:t xml:space="preserve">2. </w:t>
      </w:r>
      <w:r>
        <w:rPr>
          <w:b/>
        </w:rPr>
        <w:t>Periode 2 (10.00 – 13.00 / 3 jam):</w:t>
      </w:r>
      <w:r>
        <w:rPr/>
        <w:t xml:space="preserve"> Proses pencucian mekanik tertutup, C₂ = 15 ppm, T₂ = 3 jam.</w:t>
      </w:r>
    </w:p>
    <w:p>
      <w:pPr>
        <w:spacing w:after="40"/>
        <w:ind w:left="340" w:hanging="283"/>
      </w:pPr>
      <w:r>
        <w:rPr/>
        <w:t xml:space="preserve">3. </w:t>
      </w:r>
      <w:r>
        <w:rPr>
          <w:b/>
        </w:rPr>
        <w:t>Periode 3 (13.00 – 14.00 / 1 jam):</w:t>
      </w:r>
      <w:r>
        <w:rPr/>
        <w:t xml:space="preserve"> Pekerjaan inspeksi manual terbuka, C₃ = 25 ppm, T₃ = 1 jam.</w:t>
      </w:r>
    </w:p>
    <w:p>
      <w:pPr>
        <w:spacing w:after="40"/>
        <w:ind w:left="340" w:hanging="283"/>
      </w:pPr>
      <w:r>
        <w:rPr/>
        <w:t xml:space="preserve">4. </w:t>
      </w:r>
      <w:r>
        <w:rPr>
          <w:b/>
        </w:rPr>
        <w:t>Periode 4 (14.00 – 16.00 / 2 jam):</w:t>
      </w:r>
      <w:r>
        <w:rPr/>
        <w:t xml:space="preserve"> Pelaporan administrasi di ruang kontrol terpisah, C₄ = 5 ppm, T₄ = 2 jam.</w:t>
      </w:r>
    </w:p>
    <w:p>
      <w:pPr>
        <w:spacing w:after="80"/>
      </w:pPr>
      <w:r>
        <w:rPr>
          <w:b/>
        </w:rPr>
        <w:t>Langkah Substitusi dan Perhitungan:</w:t>
      </w:r>
    </w:p>
    <w:p>
      <w:pPr>
        <w:spacing w:after="60"/>
        <w:jc w:val="center"/>
      </w:pPr>
      <w:r>
        <w:rPr>
          <w:i/>
        </w:rPr>
        <w:t>TWA_(8-jam) = ((C₁ × T₁) + (C₂ × T₂) + (C₃ × T₃) + (C₄ × T₄))/(T₁ + T₂ + T₃ + T₄)</w:t>
      </w:r>
    </w:p>
    <w:p>
      <w:pPr>
        <w:spacing w:after="60"/>
        <w:jc w:val="center"/>
      </w:pPr>
      <w:r>
        <w:rPr>
          <w:i/>
        </w:rPr>
        <w:t>TWA_(8-jam) = ((35 × 2) + (15 × 3) + (25 × 1) + (5 × 2))/(2 + 3 + 1 + 2)</w:t>
      </w:r>
    </w:p>
    <w:p>
      <w:pPr>
        <w:spacing w:after="60"/>
        <w:jc w:val="center"/>
      </w:pPr>
      <w:r>
        <w:rPr>
          <w:i/>
        </w:rPr>
        <w:t>TWA_(8-jam) = (70 + 45 + 25 + 10)/(8) = (150 ppm·jam)/(8 jam) = 18,75 ppm</w:t>
      </w:r>
    </w:p>
    <w:p>
      <w:pPr>
        <w:spacing w:after="80"/>
      </w:pPr>
      <w:r>
        <w:rPr>
          <w:b/>
        </w:rPr>
        <w:t>Analisis dan Evaluasi Okupasi:</w:t>
      </w:r>
    </w:p>
    <w:p>
      <w:pPr>
        <w:spacing w:after="80"/>
      </w:pPr>
      <w:r>
        <w:rPr/>
        <w:t xml:space="preserve">Konsentrasi pajanan rata-rata tertimbang waktu pekerja adalah </w:t>
      </w:r>
      <w:r>
        <w:rPr>
          <w:b/>
        </w:rPr>
        <w:t>18,75 ppm</w:t>
      </w:r>
      <w:r>
        <w:rPr/>
        <w:t xml:space="preserve">. Karena nilai ini berada </w:t>
      </w:r>
      <w:r>
        <w:rPr>
          <w:b/>
        </w:rPr>
        <w:t>di bawah NAB (20 ppm)</w:t>
      </w:r>
      <w:r>
        <w:rPr/>
        <w:t>, secara hukum dan higienis pajanan harian tersebut memenuhi syarat (</w:t>
      </w:r>
      <w:r>
        <w:rPr>
          <w:i/>
        </w:rPr>
        <w:t>compliant</w:t>
      </w:r>
      <w:r>
        <w:rPr/>
        <w:t>), dengan catatan lonjakan awal 35 ppm selama 2 jam tidak melampaui ambang batas ekskursi (</w:t>
      </w:r>
      <w:r>
        <w:rPr>
          <w:i/>
        </w:rPr>
        <w:t>peak exposure</w:t>
      </w:r>
      <w:r>
        <w:rPr/>
        <w:t>) atau PSD/STEL zat tersebut.</w:t>
      </w:r>
    </w:p>
    <w:p>
      <w:pPr>
        <w:pStyle w:val="Heading3"/>
      </w:pPr>
      <w:r>
        <w:t>2. Dasar Fisiologis Penyesuaian NAB untuk Jadwal Kerja Tidak Lazim (Unusual Work Schedules)</w:t>
      </w:r>
    </w:p>
    <w:p>
      <w:pPr>
        <w:spacing w:after="80"/>
      </w:pPr>
      <w:r>
        <w:rPr/>
        <w:t xml:space="preserve">Standar Nilai Ambang Batas baku (seperti ACGIH TLV-TWA atau NAB Permenaker No. 5/2018) diturunkan berdasarkan asumsi siklus konvensional: </w:t>
      </w:r>
      <w:r>
        <w:rPr>
          <w:b/>
        </w:rPr>
        <w:t>8 jam kerja (pajanan) dan 16 jam istirahat (pemulihan/eliminasi biologis)</w:t>
      </w:r>
      <w:r>
        <w:rPr/>
        <w:t xml:space="preserve"> per hari, selama 5 hari berturut-turut diikuti 2 hari libur akhir pekan (istirahat ≈ 64 jam).</w:t>
      </w:r>
    </w:p>
    <w:p>
      <w:pPr>
        <w:spacing w:after="80"/>
      </w:pPr>
      <w:r>
        <w:rPr/>
        <w:t>Jika pekerja bekerja dengan shift panjang (misalnya 12 jam/hari):</w:t>
      </w:r>
    </w:p>
    <w:p>
      <w:pPr>
        <w:spacing w:after="40"/>
        <w:ind w:left="340" w:hanging="283"/>
      </w:pPr>
      <w:r>
        <w:rPr/>
        <w:t xml:space="preserve">1. </w:t>
      </w:r>
      <w:r>
        <w:rPr>
          <w:b/>
        </w:rPr>
        <w:t>Peningkatan Dosis Asupan (</w:t>
      </w:r>
      <w:r>
        <w:rPr>
          <w:b/>
          <w:i/>
        </w:rPr>
        <w:t>Increased Uptake</w:t>
      </w:r>
      <w:r>
        <w:rPr>
          <w:b/>
        </w:rPr>
        <w:t>):</w:t>
      </w:r>
      <w:r>
        <w:rPr/>
        <w:t xml:space="preserve"> Durasi pajanan meningkat sebesar 50% (dari 8 jam menjadi 12 jam).</w:t>
      </w:r>
    </w:p>
    <w:p>
      <w:pPr>
        <w:spacing w:after="40"/>
        <w:ind w:left="340" w:hanging="283"/>
      </w:pPr>
      <w:r>
        <w:rPr/>
        <w:t xml:space="preserve">2. </w:t>
      </w:r>
      <w:r>
        <w:rPr>
          <w:b/>
        </w:rPr>
        <w:t>Penurunan Waktu Eliminasi (</w:t>
      </w:r>
      <w:r>
        <w:rPr>
          <w:b/>
          <w:i/>
        </w:rPr>
        <w:t>Shortened Recovery Time</w:t>
      </w:r>
      <w:r>
        <w:rPr>
          <w:b/>
        </w:rPr>
        <w:t>):</w:t>
      </w:r>
      <w:r>
        <w:rPr/>
        <w:t xml:space="preserve"> Waktu istirahat bebas pajanan berkurang sebesar 25% (dari 16 jam terpangkas menjadi 12 jam).</w:t>
      </w:r>
    </w:p>
    <w:p>
      <w:pPr>
        <w:spacing w:after="40"/>
        <w:ind w:left="340" w:hanging="283"/>
      </w:pPr>
      <w:r>
        <w:rPr/>
        <w:t xml:space="preserve">3. </w:t>
      </w:r>
      <w:r>
        <w:rPr>
          <w:b/>
        </w:rPr>
        <w:t>Akumulasi Beban Tubuh (</w:t>
      </w:r>
      <w:r>
        <w:rPr>
          <w:b/>
          <w:i/>
        </w:rPr>
        <w:t>Body Burden Accumulation</w:t>
      </w:r>
      <w:r>
        <w:rPr>
          <w:b/>
        </w:rPr>
        <w:t>):</w:t>
      </w:r>
      <w:r>
        <w:rPr/>
        <w:t xml:space="preserve"> Toksikan dengan waktu paruh biologis (</w:t>
      </w:r>
      <w:r>
        <w:rPr>
          <w:i/>
        </w:rPr>
        <w:t>biological half-life</w:t>
      </w:r>
      <w:r>
        <w:rPr/>
        <w:t>) sedang hingga panjang tidak sempat diekskresikan tuntas sebelum shift hari berikutnya dimulai, memicu akumulasi jaringan target yang melampaui ambang batas aman (</w:t>
      </w:r>
      <w:r>
        <w:rPr>
          <w:i/>
        </w:rPr>
        <w:t>steady-state plateau</w:t>
      </w:r>
      <w:r>
        <w:rPr/>
        <w:t xml:space="preserve"> bergeser naik).</w:t>
      </w:r>
    </w:p>
    <w:p>
      <w:pPr>
        <w:ind w:left="454"/>
      </w:pPr>
      <w:r>
        <w:rPr>
          <w:b/>
          <w:i/>
        </w:rPr>
        <w:t>Aturan Baku Ujian Dewan:</w:t>
      </w:r>
    </w:p>
    <w:p>
      <w:pPr>
        <w:ind w:left="454"/>
      </w:pPr>
      <w:r>
        <w:rPr>
          <w:i/>
        </w:rPr>
        <w:t xml:space="preserve">*   Hanya </w:t>
      </w:r>
      <w:r>
        <w:rPr>
          <w:b/>
          <w:i/>
        </w:rPr>
        <w:t>TWA</w:t>
      </w:r>
      <w:r>
        <w:rPr>
          <w:i/>
        </w:rPr>
        <w:t xml:space="preserve"> yang disesuaikan (</w:t>
      </w:r>
      <w:r>
        <w:rPr>
          <w:i/>
        </w:rPr>
        <w:t>adjusted</w:t>
      </w:r>
      <w:r>
        <w:rPr>
          <w:i/>
        </w:rPr>
        <w:t>) menggunakan faktor reduksi.</w:t>
      </w:r>
    </w:p>
    <w:p>
      <w:pPr>
        <w:ind w:left="454"/>
      </w:pPr>
      <w:r>
        <w:rPr>
          <w:i/>
        </w:rPr>
        <w:t xml:space="preserve">*   </w:t>
      </w:r>
      <w:r>
        <w:rPr>
          <w:b/>
          <w:i/>
        </w:rPr>
        <w:t>TLV-STEL (PSD) dan TLV-C (KTD) TIDAK PERNAH disesuaikan</w:t>
      </w:r>
      <w:r>
        <w:rPr>
          <w:i/>
        </w:rPr>
        <w:t>, karena keduanya melindungi pekerja dari toksisitas akut seketika dan iritasi konsentrasi tinggi independen dari akumulasi kronis.</w:t>
      </w:r>
    </w:p>
    <w:p>
      <w:pPr>
        <w:ind w:left="454"/>
      </w:pPr>
      <w:r>
        <w:rPr>
          <w:i/>
        </w:rPr>
        <w:t xml:space="preserve">*   </w:t>
      </w:r>
      <w:r>
        <w:rPr>
          <w:b/>
          <w:i/>
        </w:rPr>
        <w:t>Indeks Pajanan Biologis (BEI ACGIH) juga tidak dikoreksi</w:t>
      </w:r>
      <w:r>
        <w:rPr>
          <w:i/>
        </w:rPr>
        <w:t xml:space="preserve"> secara numerik karena BEI sudah mencerminkan kadar internal tubuh.</w:t>
      </w:r>
    </w:p>
    <w:p>
      <w:pPr>
        <w:spacing w:after="80"/>
      </w:pPr>
      <w:r>
        <w:rPr/>
        <w:t xml:space="preserve">Penyesuaian dilakukan dengan menghitung </w:t>
      </w:r>
      <w:r>
        <w:rPr>
          <w:b/>
        </w:rPr>
        <w:t>Faktor Reduksi (</w:t>
      </w:r>
      <w:r>
        <w:rPr>
          <w:b/>
          <w:i/>
        </w:rPr>
        <w:t>Reduction Factor</w:t>
      </w:r>
      <w:r>
        <w:rPr>
          <w:b/>
        </w:rPr>
        <w:t xml:space="preserve"> / RF)</w:t>
      </w:r>
      <w:r>
        <w:rPr/>
        <w:t>:</w:t>
      </w:r>
    </w:p>
    <w:p>
      <w:pPr>
        <w:spacing w:after="60"/>
        <w:jc w:val="center"/>
      </w:pPr>
      <w:r>
        <w:rPr>
          <w:i/>
        </w:rPr>
        <w:t>OEL_A = OEL_(8-hour) × RF</w:t>
      </w:r>
    </w:p>
    <w:p>
      <w:pPr>
        <w:spacing w:after="80"/>
      </w:pPr>
      <w:r>
        <w:rPr/>
        <w:t>Di mana OEL_A adalah NAB yang telah disesuaikan (</w:t>
      </w:r>
      <w:r>
        <w:rPr>
          <w:i/>
        </w:rPr>
        <w:t>Adjusted OEL</w:t>
      </w:r>
      <w:r>
        <w:rPr/>
        <w:t>), dan OEL_(8-hour) adalah NAB standar 8 jam.</w:t>
      </w:r>
    </w:p>
    <w:p>
      <w:pPr>
        <w:pStyle w:val="Heading3"/>
      </w:pPr>
      <w:r>
        <w:t>3. Model Brief &amp; Scala</w:t>
      </w:r>
    </w:p>
    <w:p>
      <w:pPr>
        <w:pStyle w:val="Heading4"/>
      </w:pPr>
      <w:r>
        <w:t>a. Karakteristik Model</w:t>
      </w:r>
    </w:p>
    <w:p>
      <w:pPr>
        <w:spacing w:after="80"/>
      </w:pPr>
      <w:r>
        <w:rPr/>
        <w:t xml:space="preserve">Dikembangkan oleh Richard S. Brief dan Robert A. Scala (1975/1986). Merupakan </w:t>
      </w:r>
      <w:r>
        <w:rPr>
          <w:b/>
        </w:rPr>
        <w:t>model formula umum paling konservatif</w:t>
      </w:r>
      <w:r>
        <w:rPr/>
        <w:t xml:space="preserve"> (</w:t>
      </w:r>
      <w:r>
        <w:rPr>
          <w:i/>
        </w:rPr>
        <w:t>most stringent</w:t>
      </w:r>
      <w:r>
        <w:rPr/>
        <w:t xml:space="preserve">) karena memberikan penalti ganda: memperhitungkan </w:t>
      </w:r>
      <w:r>
        <w:rPr>
          <w:b/>
        </w:rPr>
        <w:t>penambahan jam kerja sekaligus pemotongan jam pemulihan</w:t>
      </w:r>
      <w:r>
        <w:rPr/>
        <w:t xml:space="preserve"> tanpa memerlukan data farmakokinetik atau waktu paruh zat kimia.</w:t>
      </w:r>
    </w:p>
    <w:p>
      <w:pPr>
        <w:pStyle w:val="Heading4"/>
      </w:pPr>
      <w:r>
        <w:t>b. Rumus Reduksi Harian (Daily Reduction Factor, RF_d)</w:t>
      </w:r>
    </w:p>
    <w:p>
      <w:pPr>
        <w:spacing w:after="80"/>
      </w:pPr>
      <w:r>
        <w:rPr/>
        <w:t>Diterapkan jika pekerja bekerja dengan shift diperpanjang selama kurang dari 7 hari berturut-turut:</w:t>
      </w:r>
    </w:p>
    <w:p>
      <w:pPr>
        <w:spacing w:after="60"/>
        <w:jc w:val="center"/>
      </w:pPr>
      <w:r>
        <w:rPr>
          <w:i/>
        </w:rPr>
        <w:t>RF_d = (8)/(h_d) × (24 - h_d)/(16)</w:t>
      </w:r>
    </w:p>
    <w:p>
      <w:pPr>
        <w:spacing w:after="80"/>
      </w:pPr>
      <w:r>
        <w:rPr/>
        <w:t>Di mana:</w:t>
      </w:r>
    </w:p>
    <w:p>
      <w:pPr>
        <w:pStyle w:val="ListBullet"/>
        <w:spacing w:after="20"/>
      </w:pPr>
      <w:r>
        <w:rPr/>
        <w:t>h_d = Jam kerja per shift/hari (di mana h_d &gt; 8).</w:t>
      </w:r>
    </w:p>
    <w:p>
      <w:pPr>
        <w:pStyle w:val="ListBullet"/>
        <w:spacing w:after="20"/>
      </w:pPr>
      <w:r>
        <w:rPr/>
        <w:t>8 = Jam kerja standar harian.</w:t>
      </w:r>
    </w:p>
    <w:p>
      <w:pPr>
        <w:pStyle w:val="ListBullet"/>
        <w:spacing w:after="20"/>
      </w:pPr>
      <w:r>
        <w:rPr/>
        <w:t>24 - h_d = Jam istirahat pemulihan aktual per hari.</w:t>
      </w:r>
    </w:p>
    <w:p>
      <w:pPr>
        <w:pStyle w:val="ListBullet"/>
        <w:spacing w:after="20"/>
      </w:pPr>
      <w:r>
        <w:rPr/>
        <w:t>16 = Jam istirahat pemulihan standar harian (24 - 8).</w:t>
      </w:r>
    </w:p>
    <w:p>
      <w:pPr>
        <w:pStyle w:val="Heading4"/>
      </w:pPr>
      <w:r>
        <w:t>c. Rumus Reduksi Mingguan (Weekly Reduction Factor, RF_w)</w:t>
      </w:r>
    </w:p>
    <w:p>
      <w:pPr>
        <w:spacing w:after="80"/>
      </w:pPr>
      <w:r>
        <w:rPr/>
        <w:t>Diterapkan jika total jam kerja seminggu melebihi 40 jam:</w:t>
      </w:r>
    </w:p>
    <w:p>
      <w:pPr>
        <w:spacing w:after="60"/>
        <w:jc w:val="center"/>
      </w:pPr>
      <w:r>
        <w:rPr>
          <w:i/>
        </w:rPr>
        <w:t>RF_w = (40)/(h_w) × (168 - h_w)/(128)</w:t>
      </w:r>
    </w:p>
    <w:p>
      <w:pPr>
        <w:spacing w:after="80"/>
      </w:pPr>
      <w:r>
        <w:rPr/>
        <w:t>Di mana:</w:t>
      </w:r>
    </w:p>
    <w:p>
      <w:pPr>
        <w:pStyle w:val="ListBullet"/>
        <w:spacing w:after="20"/>
      </w:pPr>
      <w:r>
        <w:rPr/>
        <w:t>h_w = Total jam kerja aktual per minggu dalam satu siklus roster (h_w &gt; 40).</w:t>
      </w:r>
    </w:p>
    <w:p>
      <w:pPr>
        <w:pStyle w:val="ListBullet"/>
        <w:spacing w:after="20"/>
      </w:pPr>
      <w:r>
        <w:rPr/>
        <w:t>40 = Jam kerja standar mingguan.</w:t>
      </w:r>
    </w:p>
    <w:p>
      <w:pPr>
        <w:pStyle w:val="ListBullet"/>
        <w:spacing w:after="20"/>
      </w:pPr>
      <w:r>
        <w:rPr/>
        <w:t>168 = Total jam dalam 1 minggu (7 × 24 jam).</w:t>
      </w:r>
    </w:p>
    <w:p>
      <w:pPr>
        <w:pStyle w:val="ListBullet"/>
        <w:spacing w:after="20"/>
      </w:pPr>
      <w:r>
        <w:rPr/>
        <w:t>128 = Total jam bebas pajanan standar mingguan (168 - 40).</w:t>
      </w:r>
    </w:p>
    <w:p>
      <w:pPr>
        <w:pStyle w:val="ListBullet"/>
        <w:spacing w:after="20"/>
      </w:pPr>
      <w:r>
        <w:rPr/>
        <w:t>168 - h_w = Total jam bebas pajanan aktual dalam seminggu.</w:t>
      </w:r>
    </w:p>
    <w:p>
      <w:pPr>
        <w:spacing w:after="80"/>
      </w:pPr>
      <w:r>
        <w:rPr>
          <w:i/>
        </w:rPr>
        <w:t>Catatan Penerapan:</w:t>
      </w:r>
      <w:r>
        <w:rPr/>
        <w:t xml:space="preserve"> Jika suatu jadwal melibatkan jam harian dan mingguan yang panjang, hitung kedua nilai RF (RF_d dan RF_w) lalu gunakan </w:t>
      </w:r>
      <w:r>
        <w:rPr>
          <w:b/>
        </w:rPr>
        <w:t>faktor reduksi yang paling kecil/konservatif</w:t>
      </w:r>
      <w:r>
        <w:rPr/>
        <w:t>.</w:t>
      </w:r>
    </w:p>
    <w:p>
      <w:pPr>
        <w:pStyle w:val="Heading4"/>
      </w:pPr>
      <w:r>
        <w:t>d. Contoh Hitung Model Brief &amp; Scala untuk Shift 12 Jam</w:t>
      </w:r>
    </w:p>
    <w:p>
      <w:pPr>
        <w:spacing w:after="80"/>
      </w:pPr>
      <w:r>
        <w:rPr>
          <w:b/>
        </w:rPr>
        <w:t>Skenario:</w:t>
      </w:r>
    </w:p>
    <w:p>
      <w:pPr>
        <w:spacing w:after="80"/>
      </w:pPr>
      <w:r>
        <w:rPr/>
        <w:t xml:space="preserve">Pekerja tambang bekerja dengan sistem shift </w:t>
      </w:r>
      <w:r>
        <w:rPr>
          <w:b/>
        </w:rPr>
        <w:t>12 jam per hari</w:t>
      </w:r>
      <w:r>
        <w:rPr/>
        <w:t xml:space="preserve"> (h_d = 12 jam). Zat kimia yang dipantau memiliki NAB 8 jam sebesar </w:t>
      </w:r>
      <w:r>
        <w:rPr>
          <w:b/>
        </w:rPr>
        <w:t>100 ppm</w:t>
      </w:r>
      <w:r>
        <w:rPr/>
        <w:t>.</w:t>
      </w:r>
    </w:p>
    <w:p>
      <w:pPr>
        <w:spacing w:after="80"/>
      </w:pPr>
      <w:r>
        <w:rPr>
          <w:b/>
        </w:rPr>
        <w:t>Perhitungan Faktor Reduksi Harian (RF_d):</w:t>
      </w:r>
    </w:p>
    <w:p>
      <w:pPr>
        <w:spacing w:after="60"/>
        <w:jc w:val="center"/>
      </w:pPr>
      <w:r>
        <w:rPr>
          <w:i/>
        </w:rPr>
        <w:t>RF_d = (8)/(12) × (24 - 12)/(16)</w:t>
      </w:r>
    </w:p>
    <w:p>
      <w:pPr>
        <w:spacing w:after="60"/>
        <w:jc w:val="center"/>
      </w:pPr>
      <w:r>
        <w:rPr>
          <w:i/>
        </w:rPr>
        <w:t>RF_d = (2)/(3) × (12)/(16) = (2)/(3) × (3)/(4) = (6)/(12) = 0,50</w:t>
      </w:r>
    </w:p>
    <w:p>
      <w:pPr>
        <w:spacing w:after="80"/>
      </w:pPr>
      <w:r>
        <w:rPr>
          <w:b/>
        </w:rPr>
        <w:t>Perhitungan NAB yang Disesuaikan (NAB_A):</w:t>
      </w:r>
    </w:p>
    <w:p>
      <w:pPr>
        <w:spacing w:after="60"/>
        <w:jc w:val="center"/>
      </w:pPr>
      <w:r>
        <w:rPr>
          <w:i/>
        </w:rPr>
        <w:t>NAB_A = NAB_(8-jam) × RF_d = 100 ppm × 0,50 = 50 ppm</w:t>
      </w:r>
    </w:p>
    <w:p>
      <w:pPr>
        <w:spacing w:after="80"/>
      </w:pPr>
      <w:r>
        <w:rPr>
          <w:i/>
        </w:rPr>
        <w:t>Artinya, untuk shift 12 jam, konsentrasi pajanan rata-rata pekerja selama 12 jam tersebut tidak boleh melebihi 50 ppm (dipotong sebesar 50%).</w:t>
      </w:r>
    </w:p>
    <w:p>
      <w:pPr>
        <w:pStyle w:val="Heading3"/>
      </w:pPr>
      <w:r>
        <w:t>4. Pendekatan OSHA (Occupational Safety and Health Administration)</w:t>
      </w:r>
    </w:p>
    <w:p>
      <w:pPr>
        <w:pStyle w:val="Heading4"/>
      </w:pPr>
      <w:r>
        <w:t>a. Karakteristik dan Filosofi Model</w:t>
      </w:r>
    </w:p>
    <w:p>
      <w:pPr>
        <w:spacing w:after="80"/>
      </w:pPr>
      <w:r>
        <w:rPr/>
        <w:t xml:space="preserve">Metode OSHA (1979) adalah model semi-empiris yang mengklasifikasikan bahan kimia ke dalam </w:t>
      </w:r>
      <w:r>
        <w:rPr>
          <w:b/>
        </w:rPr>
        <w:t>Kategori Jadwal Kerja (</w:t>
      </w:r>
      <w:r>
        <w:rPr>
          <w:b/>
          <w:i/>
        </w:rPr>
        <w:t>Work Schedule Categories</w:t>
      </w:r>
      <w:r>
        <w:rPr>
          <w:b/>
        </w:rPr>
        <w:t>)</w:t>
      </w:r>
      <w:r>
        <w:rPr/>
        <w:t xml:space="preserve"> berdasarkan efek toksikologis primer dan sifat farmakokinetiknya.</w:t>
      </w:r>
    </w:p>
    <w:p>
      <w:pPr>
        <w:spacing w:after="80"/>
      </w:pPr>
      <w:r>
        <w:rPr/>
        <w:t xml:space="preserve">Berbeda dengan Brief &amp; Scala, pendekatan OSHA </w:t>
      </w:r>
      <w:r>
        <w:rPr>
          <w:b/>
        </w:rPr>
        <w:t>hanya memperhitungkan peningkatan asupan harian atau mingguan</w:t>
      </w:r>
      <w:r>
        <w:rPr/>
        <w:t xml:space="preserve"> dan </w:t>
      </w:r>
      <w:r>
        <w:rPr>
          <w:b/>
        </w:rPr>
        <w:t>tidak memberikan penalti terhadap pemotongan waktu istirahat</w:t>
      </w:r>
      <w:r>
        <w:rPr/>
        <w:t xml:space="preserve">. Oleh karena itu, faktor reduksi OSHA </w:t>
      </w:r>
      <w:r>
        <w:rPr>
          <w:b/>
        </w:rPr>
        <w:t>kurang konservatif</w:t>
      </w:r>
      <w:r>
        <w:rPr/>
        <w:t xml:space="preserve"> (</w:t>
      </w:r>
      <w:r>
        <w:rPr>
          <w:i/>
        </w:rPr>
        <w:t>less stringent</w:t>
      </w:r>
      <w:r>
        <w:rPr/>
        <w:t>) dibanding Brief &amp; Scala.</w:t>
      </w:r>
    </w:p>
    <w:p>
      <w:pPr>
        <w:pStyle w:val="Heading4"/>
      </w:pPr>
      <w:r>
        <w:t>b. Klasifikasi Kategori OSHA dan Kriteria Penyesuaian</w:t>
      </w:r>
    </w:p>
    <w:p>
      <w:pPr>
        <w:spacing w:after="80"/>
      </w:pPr>
      <w:r>
        <w:rPr/>
        <w:t>Berdasarkan panduan teknis OSHA:</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Kategori OSHA</w:t>
            </w:r>
          </w:p>
        </w:tc>
        <w:tc>
          <w:tcPr>
            <w:tcW w:type="dxa" w:w="2381"/>
            <w:shd w:val="clear" w:color="auto" w:fill="DCE6F1"/>
          </w:tcPr>
          <w:p>
            <w:pPr>
              <w:spacing w:after="0"/>
            </w:pPr>
            <w:r/>
            <w:r>
              <w:rPr>
                <w:b/>
                <w:sz w:val="16"/>
              </w:rPr>
              <w:t>Deskripsi Efek Toksikologis</w:t>
            </w:r>
          </w:p>
        </w:tc>
        <w:tc>
          <w:tcPr>
            <w:tcW w:type="dxa" w:w="2381"/>
            <w:shd w:val="clear" w:color="auto" w:fill="DCE6F1"/>
          </w:tcPr>
          <w:p>
            <w:pPr>
              <w:spacing w:after="0"/>
            </w:pPr>
            <w:r/>
            <w:r>
              <w:rPr>
                <w:b/>
                <w:sz w:val="16"/>
              </w:rPr>
              <w:t>Tindakan Penyesuaian</w:t>
            </w:r>
          </w:p>
        </w:tc>
        <w:tc>
          <w:tcPr>
            <w:tcW w:type="dxa" w:w="2381"/>
            <w:shd w:val="clear" w:color="auto" w:fill="DCE6F1"/>
          </w:tcPr>
          <w:p>
            <w:pPr>
              <w:spacing w:after="0"/>
            </w:pPr>
            <w:r/>
            <w:r>
              <w:rPr>
                <w:b/>
                <w:sz w:val="16"/>
              </w:rPr>
              <w:t>Rumus Faktor Reduksi (RF)</w:t>
            </w:r>
          </w:p>
        </w:tc>
      </w:tr>
      <w:tr>
        <w:tc>
          <w:tcPr>
            <w:tcW w:type="dxa" w:w="2381"/>
          </w:tcPr>
          <w:p>
            <w:pPr>
              <w:spacing w:after="0"/>
            </w:pPr>
            <w:r/>
            <w:r>
              <w:rPr>
                <w:b/>
                <w:sz w:val="16"/>
              </w:rPr>
              <w:t>Kategori 1A</w:t>
            </w:r>
          </w:p>
        </w:tc>
        <w:tc>
          <w:tcPr>
            <w:tcW w:type="dxa" w:w="2381"/>
          </w:tcPr>
          <w:p>
            <w:pPr>
              <w:spacing w:after="0"/>
            </w:pPr>
            <w:r/>
            <w:r>
              <w:rPr>
                <w:sz w:val="16"/>
              </w:rPr>
              <w:t xml:space="preserve">Standar </w:t>
            </w:r>
            <w:r>
              <w:rPr>
                <w:i/>
                <w:sz w:val="16"/>
              </w:rPr>
              <w:t>Ceiling</w:t>
            </w:r>
            <w:r>
              <w:rPr>
                <w:sz w:val="16"/>
              </w:rPr>
              <w:t xml:space="preserve"> (KTD)</w:t>
            </w:r>
          </w:p>
        </w:tc>
        <w:tc>
          <w:tcPr>
            <w:tcW w:type="dxa" w:w="2381"/>
          </w:tcPr>
          <w:p>
            <w:pPr>
              <w:spacing w:after="0"/>
            </w:pPr>
            <w:r/>
            <w:r>
              <w:rPr>
                <w:b/>
                <w:sz w:val="16"/>
              </w:rPr>
              <w:t>Tidak Disesuaikan</w:t>
            </w:r>
            <w:r>
              <w:rPr>
                <w:sz w:val="16"/>
              </w:rPr>
              <w:t xml:space="preserve"> (RF = 1,00)</w:t>
            </w:r>
          </w:p>
        </w:tc>
        <w:tc>
          <w:tcPr>
            <w:tcW w:type="dxa" w:w="2381"/>
          </w:tcPr>
          <w:p>
            <w:pPr>
              <w:spacing w:after="0"/>
            </w:pPr>
            <w:r/>
            <w:r>
              <w:rPr>
                <w:sz w:val="16"/>
              </w:rPr>
              <w:t>-</w:t>
            </w:r>
          </w:p>
        </w:tc>
      </w:tr>
      <w:tr>
        <w:tc>
          <w:tcPr>
            <w:tcW w:type="dxa" w:w="2381"/>
          </w:tcPr>
          <w:p>
            <w:pPr>
              <w:spacing w:after="0"/>
            </w:pPr>
            <w:r/>
            <w:r>
              <w:rPr>
                <w:b/>
                <w:sz w:val="16"/>
              </w:rPr>
              <w:t>Kategori 1B</w:t>
            </w:r>
          </w:p>
        </w:tc>
        <w:tc>
          <w:tcPr>
            <w:tcW w:type="dxa" w:w="2381"/>
          </w:tcPr>
          <w:p>
            <w:pPr>
              <w:spacing w:after="0"/>
            </w:pPr>
            <w:r/>
            <w:r>
              <w:rPr>
                <w:sz w:val="16"/>
              </w:rPr>
              <w:t>Iritan lokal ringan / membran mukosa</w:t>
            </w:r>
          </w:p>
        </w:tc>
        <w:tc>
          <w:tcPr>
            <w:tcW w:type="dxa" w:w="2381"/>
          </w:tcPr>
          <w:p>
            <w:pPr>
              <w:spacing w:after="0"/>
            </w:pPr>
            <w:r/>
            <w:r>
              <w:rPr>
                <w:b/>
                <w:sz w:val="16"/>
              </w:rPr>
              <w:t>Tidak Disesuaikan</w:t>
            </w:r>
            <w:r>
              <w:rPr>
                <w:sz w:val="16"/>
              </w:rPr>
              <w:t xml:space="preserve"> (RF = 1,00)</w:t>
            </w:r>
          </w:p>
        </w:tc>
        <w:tc>
          <w:tcPr>
            <w:tcW w:type="dxa" w:w="2381"/>
          </w:tcPr>
          <w:p>
            <w:pPr>
              <w:spacing w:after="0"/>
            </w:pPr>
            <w:r/>
            <w:r>
              <w:rPr>
                <w:sz w:val="16"/>
              </w:rPr>
              <w:t>Efek iritasi tergantung konsentrasi seketika, bukan dosis kumulatif.</w:t>
            </w:r>
          </w:p>
        </w:tc>
      </w:tr>
      <w:tr>
        <w:tc>
          <w:tcPr>
            <w:tcW w:type="dxa" w:w="2381"/>
          </w:tcPr>
          <w:p>
            <w:pPr>
              <w:spacing w:after="0"/>
            </w:pPr>
            <w:r/>
            <w:r>
              <w:rPr>
                <w:b/>
                <w:sz w:val="16"/>
              </w:rPr>
              <w:t>Kategori 1C</w:t>
            </w:r>
          </w:p>
        </w:tc>
        <w:tc>
          <w:tcPr>
            <w:tcW w:type="dxa" w:w="2381"/>
          </w:tcPr>
          <w:p>
            <w:pPr>
              <w:spacing w:after="0"/>
            </w:pPr>
            <w:r/>
            <w:r>
              <w:rPr>
                <w:sz w:val="16"/>
              </w:rPr>
              <w:t>Keterbatasan analitis/teknologi</w:t>
            </w:r>
          </w:p>
        </w:tc>
        <w:tc>
          <w:tcPr>
            <w:tcW w:type="dxa" w:w="2381"/>
          </w:tcPr>
          <w:p>
            <w:pPr>
              <w:spacing w:after="0"/>
            </w:pPr>
            <w:r/>
            <w:r>
              <w:rPr>
                <w:b/>
                <w:sz w:val="16"/>
              </w:rPr>
              <w:t>Tidak Disesuaikan</w:t>
            </w:r>
            <w:r>
              <w:rPr>
                <w:sz w:val="16"/>
              </w:rPr>
              <w:t xml:space="preserve"> (RF = 1,00)</w:t>
            </w:r>
          </w:p>
        </w:tc>
        <w:tc>
          <w:tcPr>
            <w:tcW w:type="dxa" w:w="2381"/>
          </w:tcPr>
          <w:p>
            <w:pPr>
              <w:spacing w:after="0"/>
            </w:pPr>
            <w:r/>
            <w:r>
              <w:rPr>
                <w:sz w:val="16"/>
              </w:rPr>
              <w:t>-</w:t>
            </w:r>
          </w:p>
        </w:tc>
      </w:tr>
      <w:tr>
        <w:tc>
          <w:tcPr>
            <w:tcW w:type="dxa" w:w="2381"/>
          </w:tcPr>
          <w:p>
            <w:pPr>
              <w:spacing w:after="0"/>
            </w:pPr>
            <w:r/>
            <w:r>
              <w:rPr>
                <w:b/>
                <w:sz w:val="16"/>
              </w:rPr>
              <w:t>Kategori 2</w:t>
            </w:r>
          </w:p>
        </w:tc>
        <w:tc>
          <w:tcPr>
            <w:tcW w:type="dxa" w:w="2381"/>
          </w:tcPr>
          <w:p>
            <w:pPr>
              <w:spacing w:after="0"/>
            </w:pPr>
            <w:r/>
            <w:r>
              <w:rPr>
                <w:b/>
                <w:sz w:val="16"/>
              </w:rPr>
              <w:t>Toksikan Akut Sistemik</w:t>
            </w:r>
            <w:r>
              <w:rPr>
                <w:sz w:val="16"/>
              </w:rPr>
              <w:t xml:space="preserve"> (akumulasi dalam 1 hari kerja)</w:t>
            </w:r>
          </w:p>
        </w:tc>
        <w:tc>
          <w:tcPr>
            <w:tcW w:type="dxa" w:w="2381"/>
          </w:tcPr>
          <w:p>
            <w:pPr>
              <w:spacing w:after="0"/>
            </w:pPr>
            <w:r/>
            <w:r>
              <w:rPr>
                <w:b/>
                <w:sz w:val="16"/>
              </w:rPr>
              <w:t>Penyesuaian Harian</w:t>
            </w:r>
          </w:p>
        </w:tc>
        <w:tc>
          <w:tcPr>
            <w:tcW w:type="dxa" w:w="2381"/>
          </w:tcPr>
          <w:p>
            <w:pPr>
              <w:spacing w:after="0"/>
            </w:pPr>
            <w:r/>
            <w:r>
              <w:rPr>
                <w:sz w:val="16"/>
              </w:rPr>
              <w:t>RF_d = (8)/(h_d)</w:t>
            </w:r>
          </w:p>
        </w:tc>
      </w:tr>
      <w:tr>
        <w:tc>
          <w:tcPr>
            <w:tcW w:type="dxa" w:w="2381"/>
          </w:tcPr>
          <w:p>
            <w:pPr>
              <w:spacing w:after="0"/>
            </w:pPr>
            <w:r/>
            <w:r>
              <w:rPr>
                <w:b/>
                <w:sz w:val="16"/>
              </w:rPr>
              <w:t>Kategori 3</w:t>
            </w:r>
          </w:p>
        </w:tc>
        <w:tc>
          <w:tcPr>
            <w:tcW w:type="dxa" w:w="2381"/>
          </w:tcPr>
          <w:p>
            <w:pPr>
              <w:spacing w:after="0"/>
            </w:pPr>
            <w:r/>
            <w:r>
              <w:rPr>
                <w:b/>
                <w:sz w:val="16"/>
              </w:rPr>
              <w:t>Toksikan Kumulatif Kronis</w:t>
            </w:r>
            <w:r>
              <w:rPr>
                <w:sz w:val="16"/>
              </w:rPr>
              <w:t xml:space="preserve"> (akumulasi berhari-hari s.d bertahun-tahun, misal Pb, As, Benzena)</w:t>
            </w:r>
          </w:p>
        </w:tc>
        <w:tc>
          <w:tcPr>
            <w:tcW w:type="dxa" w:w="2381"/>
          </w:tcPr>
          <w:p>
            <w:pPr>
              <w:spacing w:after="0"/>
            </w:pPr>
            <w:r/>
            <w:r>
              <w:rPr>
                <w:b/>
                <w:sz w:val="16"/>
              </w:rPr>
              <w:t>Penyesuaian Mingguan</w:t>
            </w:r>
          </w:p>
        </w:tc>
        <w:tc>
          <w:tcPr>
            <w:tcW w:type="dxa" w:w="2381"/>
          </w:tcPr>
          <w:p>
            <w:pPr>
              <w:spacing w:after="0"/>
            </w:pPr>
            <w:r/>
            <w:r>
              <w:rPr>
                <w:sz w:val="16"/>
              </w:rPr>
              <w:t>RF_w = (40)/(h_w)</w:t>
            </w:r>
          </w:p>
        </w:tc>
      </w:tr>
      <w:tr>
        <w:tc>
          <w:tcPr>
            <w:tcW w:type="dxa" w:w="2381"/>
          </w:tcPr>
          <w:p>
            <w:pPr>
              <w:spacing w:after="0"/>
            </w:pPr>
            <w:r/>
            <w:r>
              <w:rPr>
                <w:b/>
                <w:sz w:val="16"/>
              </w:rPr>
              <w:t>Kategori 4</w:t>
            </w:r>
          </w:p>
        </w:tc>
        <w:tc>
          <w:tcPr>
            <w:tcW w:type="dxa" w:w="2381"/>
          </w:tcPr>
          <w:p>
            <w:pPr>
              <w:spacing w:after="0"/>
            </w:pPr>
            <w:r/>
            <w:r>
              <w:rPr>
                <w:b/>
                <w:sz w:val="16"/>
              </w:rPr>
              <w:t>Efek Akut sekaligus Kumulatif</w:t>
            </w:r>
            <w:r>
              <w:rPr>
                <w:sz w:val="16"/>
              </w:rPr>
              <w:t xml:space="preserve"> (misalnya Karbon Monoksida / CO)</w:t>
            </w:r>
          </w:p>
        </w:tc>
        <w:tc>
          <w:tcPr>
            <w:tcW w:type="dxa" w:w="2381"/>
          </w:tcPr>
          <w:p>
            <w:pPr>
              <w:spacing w:after="0"/>
            </w:pPr>
            <w:r/>
            <w:r>
              <w:rPr>
                <w:b/>
                <w:sz w:val="16"/>
              </w:rPr>
              <w:t>Dihitung Harian dan Mingguan</w:t>
            </w:r>
          </w:p>
        </w:tc>
        <w:tc>
          <w:tcPr>
            <w:tcW w:type="dxa" w:w="2381"/>
          </w:tcPr>
          <w:p>
            <w:pPr>
              <w:spacing w:after="0"/>
            </w:pPr>
            <w:r/>
            <w:r>
              <w:rPr>
                <w:sz w:val="16"/>
              </w:rPr>
              <w:t xml:space="preserve">Ambil </w:t>
            </w:r>
            <w:r>
              <w:rPr>
                <w:b/>
                <w:sz w:val="16"/>
              </w:rPr>
              <w:t>nilai RF terendah / paling konservatif</w:t>
            </w:r>
            <w:r>
              <w:rPr>
                <w:sz w:val="16"/>
              </w:rPr>
              <w:t xml:space="preserve"> antara RF_d dan RF_w.</w:t>
            </w:r>
          </w:p>
        </w:tc>
      </w:tr>
    </w:tbl>
    <w:p>
      <w:pPr>
        <w:spacing w:after="40"/>
      </w:pPr>
    </w:p>
    <w:p>
      <w:pPr>
        <w:pStyle w:val="Heading4"/>
      </w:pPr>
      <w:r>
        <w:t>c. Contoh Hitung Pendekatan OSHA untuk Shift 12 Jam</w:t>
      </w:r>
    </w:p>
    <w:p>
      <w:pPr>
        <w:spacing w:after="80"/>
      </w:pPr>
      <w:r>
        <w:rPr/>
        <w:t xml:space="preserve">Misalkan seorang pekerja menjalani jadwal 4 hari kerja berturut-turut dengan shift 12 jam, kemudian 3 hari libur (Total jam per minggu, h_w = 4 × 12 jam = 48 jam/minggu; jam per hari, h_d = 12 jam). Zat kimia memiliki NAB 8 jam = </w:t>
      </w:r>
      <w:r>
        <w:rPr>
          <w:b/>
        </w:rPr>
        <w:t>100 ppm</w:t>
      </w:r>
      <w:r>
        <w:rPr/>
        <w:t>.</w:t>
      </w:r>
    </w:p>
    <w:p>
      <w:pPr>
        <w:spacing w:after="80"/>
      </w:pPr>
      <w:r>
        <w:rPr>
          <w:b/>
        </w:rPr>
        <w:t>Kasus A: Zat Tergolong Kategori 2 (Toksikan Akut Sistemik)</w:t>
      </w:r>
    </w:p>
    <w:p>
      <w:pPr>
        <w:spacing w:after="80"/>
      </w:pPr>
      <w:r>
        <w:rPr/>
        <w:t>Gunakan penyesuaian harian:</w:t>
      </w:r>
    </w:p>
    <w:p>
      <w:pPr>
        <w:spacing w:after="60"/>
        <w:jc w:val="center"/>
      </w:pPr>
      <w:r>
        <w:rPr>
          <w:i/>
        </w:rPr>
        <w:t>RF_d = (8)/(h_d) = (8)/(12) = 0,67</w:t>
      </w:r>
    </w:p>
    <w:p>
      <w:pPr>
        <w:spacing w:after="60"/>
        <w:jc w:val="center"/>
      </w:pPr>
      <w:r>
        <w:rPr>
          <w:i/>
        </w:rPr>
        <w:t>NAB_A = 100 ppm × 0,67 = 66,7 ppm</w:t>
      </w:r>
    </w:p>
    <w:p>
      <w:pPr>
        <w:spacing w:after="80"/>
      </w:pPr>
      <w:r>
        <w:rPr>
          <w:b/>
        </w:rPr>
        <w:t>Kasus B: Zat Tergolong Kategori 3 (Toksikan Kumulatif, misal Timbal atau Benzena)</w:t>
      </w:r>
    </w:p>
    <w:p>
      <w:pPr>
        <w:spacing w:after="80"/>
      </w:pPr>
      <w:r>
        <w:rPr/>
        <w:t>Gunakan penyesuaian mingguan:</w:t>
      </w:r>
    </w:p>
    <w:p>
      <w:pPr>
        <w:spacing w:after="60"/>
        <w:jc w:val="center"/>
      </w:pPr>
      <w:r>
        <w:rPr>
          <w:i/>
        </w:rPr>
        <w:t>RF_w = (40)/(h_w) = (40)/(48) = 0,83</w:t>
      </w:r>
    </w:p>
    <w:p>
      <w:pPr>
        <w:spacing w:after="60"/>
        <w:jc w:val="center"/>
      </w:pPr>
      <w:r>
        <w:rPr>
          <w:i/>
        </w:rPr>
        <w:t>NAB_A = 100 ppm × 0,83 = 83,3 ppm</w:t>
      </w:r>
    </w:p>
    <w:p>
      <w:pPr>
        <w:spacing w:after="80"/>
      </w:pPr>
      <w:r>
        <w:rPr>
          <w:b/>
        </w:rPr>
        <w:t>Kasus C: Zat Tergolong Kategori 1B (Iritan, misalnya Amonia / NH₃)</w:t>
      </w:r>
    </w:p>
    <w:p>
      <w:pPr>
        <w:spacing w:after="80"/>
      </w:pPr>
      <w:r>
        <w:rPr/>
        <w:t>Tidak dilakukan penyesuaian:</w:t>
      </w:r>
    </w:p>
    <w:p>
      <w:pPr>
        <w:spacing w:after="60"/>
        <w:jc w:val="center"/>
      </w:pPr>
      <w:r>
        <w:rPr>
          <w:i/>
        </w:rPr>
        <w:t>RF = 1,00 ⇒ NAB_A = 100 ppm</w:t>
      </w:r>
    </w:p>
    <w:p>
      <w:pPr>
        <w:pStyle w:val="Heading3"/>
      </w:pPr>
      <w:r>
        <w:t>5. Sintesis Evaluasi Komparatif (Brief &amp; Scala vs. OSHA)</w:t>
      </w:r>
    </w:p>
    <w:p>
      <w:pPr>
        <w:spacing w:after="80"/>
      </w:pPr>
      <w:r>
        <w:rPr/>
        <w:t>Perhatikan perbandingan hasil untuk shift 12 jam pada zat yang sama (NAB 8 jam = 100 ppm):</w:t>
      </w:r>
    </w:p>
    <w:p>
      <w:pPr>
        <w:pStyle w:val="ListBullet"/>
        <w:spacing w:after="20"/>
      </w:pPr>
      <w:r>
        <w:rPr>
          <w:b/>
        </w:rPr>
        <w:t>Brief &amp; Scala:</w:t>
      </w:r>
      <w:r>
        <w:rPr/>
        <w:t xml:space="preserve"> NAB_A = 50 ppm (RF = 0,50).</w:t>
      </w:r>
    </w:p>
    <w:p>
      <w:pPr>
        <w:pStyle w:val="ListBullet"/>
        <w:spacing w:after="20"/>
      </w:pPr>
      <w:r>
        <w:rPr>
          <w:b/>
        </w:rPr>
        <w:t>OSHA Kategori 2:</w:t>
      </w:r>
      <w:r>
        <w:rPr/>
        <w:t xml:space="preserve"> NAB_A = 66,7 ppm (RF = 0,67).</w:t>
      </w:r>
    </w:p>
    <w:p>
      <w:pPr>
        <w:pStyle w:val="ListBullet"/>
        <w:spacing w:after="20"/>
      </w:pPr>
      <w:r>
        <w:rPr>
          <w:b/>
        </w:rPr>
        <w:t>OSHA Kategori 3:</w:t>
      </w:r>
      <w:r>
        <w:rPr/>
        <w:t xml:space="preserve"> NAB_A = 83,3 ppm (RF = 0,83).</w:t>
      </w:r>
    </w:p>
    <w:p>
      <w:pPr>
        <w:spacing w:after="80"/>
      </w:pPr>
      <w:r>
        <w:rPr/>
        <w:t>Brief &amp; Scala selalu menghasilkan batas pajanan yang paling ketat karena mengoreksi hilangnya waktu regenerasi seluler dan pembersihan metabolik tubuh. Pendekatan OSHA lebih realistis secara fisiologis jika sifat toksik zat diketahui pasti, namun Brief &amp; Scala adalah pilihan paling aman (</w:t>
      </w:r>
      <w:r>
        <w:rPr>
          <w:i/>
        </w:rPr>
        <w:t>pragmatic precautionary approach</w:t>
      </w:r>
      <w:r>
        <w:rPr/>
        <w:t>) apabila waktu paruh dan farmakokinetik zat belum terkarakterisasi secara lengkap di industri.</w:t>
      </w:r>
    </w:p>
    <w:p>
      <w:r>
        <w:rPr>
          <w:b/>
          <w:sz w:val="16"/>
        </w:rPr>
        <w:t>Sumber yang dirujuk NotebookLM:</w:t>
      </w:r>
    </w:p>
    <w:p>
      <w:pPr>
        <w:spacing w:after="0"/>
        <w:ind w:left="283"/>
      </w:pPr>
      <w:r>
        <w:rPr>
          <w:b/>
          <w:color w:val="595959"/>
          <w:sz w:val="16"/>
        </w:rPr>
        <w:t>Safety Science (Engelbrecht et al., 2024).</w:t>
      </w:r>
      <w:r>
        <w:rPr>
          <w:color w:val="595959"/>
          <w:sz w:val="16"/>
        </w:rPr>
        <w:t xml:space="preserve"> </w:t>
      </w:r>
      <w:r>
        <w:rPr>
          <w:i/>
          <w:color w:val="595959"/>
          <w:sz w:val="16"/>
        </w:rPr>
        <w:t>Beyond the Clock: Revisiting Occupational Exposure Limits (OELs) for unusual work schedules in the South African Mining Industry</w:t>
      </w:r>
      <w:r>
        <w:rPr>
          <w:color w:val="595959"/>
          <w:sz w:val="16"/>
        </w:rPr>
        <w:t xml:space="preserve"> — Bab 1–3, Persamaan A2 &amp; A3 (Brief &amp; Scala), Persamaan A5 &amp; A6 (OSHA), Tabel 1, 3, 4, 5, 7, serta Gambar 2, 3, dan 4.</w:t>
      </w:r>
    </w:p>
    <w:p>
      <w:pPr>
        <w:spacing w:after="0"/>
        <w:ind w:left="283"/>
      </w:pPr>
      <w:r>
        <w:rPr>
          <w:b/>
          <w:color w:val="595959"/>
          <w:sz w:val="16"/>
        </w:rPr>
        <w:t>Queensland Government / Simtars.</w:t>
      </w:r>
      <w:r>
        <w:rPr>
          <w:color w:val="595959"/>
          <w:sz w:val="16"/>
        </w:rPr>
        <w:t xml:space="preserve"> </w:t>
      </w:r>
      <w:r>
        <w:rPr>
          <w:i/>
          <w:color w:val="595959"/>
          <w:sz w:val="16"/>
        </w:rPr>
        <w:t>Adjustment of occupational exposure limits for unusual work schedules</w:t>
      </w:r>
      <w:r>
        <w:rPr>
          <w:color w:val="595959"/>
          <w:sz w:val="16"/>
        </w:rPr>
        <w:t xml:space="preserve"> — Persamaan 1 &amp; 2 (Brief &amp; Scala harian/mingguan), Kategori Kerja OSHA 1A s.d 4 (Tabel 1 dan 2).</w:t>
      </w:r>
    </w:p>
    <w:p>
      <w:pPr>
        <w:spacing w:after="0"/>
        <w:ind w:left="283"/>
      </w:pPr>
      <w:r>
        <w:rPr>
          <w:b/>
          <w:color w:val="595959"/>
          <w:sz w:val="16"/>
        </w:rPr>
        <w:t>ACGIH (2026/Current Editions).</w:t>
      </w:r>
      <w:r>
        <w:rPr>
          <w:color w:val="595959"/>
          <w:sz w:val="16"/>
        </w:rPr>
        <w:t xml:space="preserve"> </w:t>
      </w:r>
      <w:r>
        <w:rPr>
          <w:i/>
          <w:color w:val="595959"/>
          <w:sz w:val="16"/>
        </w:rPr>
        <w:t>TLVs® and BEIs® Introduction to the Chemical Substances</w:t>
      </w:r>
      <w:r>
        <w:rPr>
          <w:color w:val="595959"/>
          <w:sz w:val="16"/>
        </w:rPr>
        <w:t xml:space="preserve"> — Subbab </w:t>
      </w:r>
      <w:r>
        <w:rPr>
          <w:i/>
          <w:color w:val="595959"/>
          <w:sz w:val="16"/>
        </w:rPr>
        <w:t>Unusual Work Schedules</w:t>
      </w:r>
      <w:r>
        <w:rPr>
          <w:color w:val="595959"/>
          <w:sz w:val="16"/>
        </w:rPr>
        <w:t>, Batasan Brief &amp; Scala, dan Ketentuan Tidak Ada Koreksi pada BEI.</w:t>
      </w:r>
    </w:p>
    <w:p>
      <w:pPr>
        <w:spacing w:after="0"/>
        <w:ind w:left="283"/>
      </w:pPr>
      <w:r>
        <w:rPr>
          <w:b/>
          <w:color w:val="595959"/>
          <w:sz w:val="16"/>
        </w:rPr>
        <w:t>Hodgson, E. (2010).</w:t>
      </w:r>
      <w:r>
        <w:rPr>
          <w:color w:val="595959"/>
          <w:sz w:val="16"/>
        </w:rPr>
        <w:t xml:space="preserve"> </w:t>
      </w:r>
      <w:r>
        <w:rPr>
          <w:i/>
          <w:color w:val="595959"/>
          <w:sz w:val="16"/>
        </w:rPr>
        <w:t>A Textbook of Modern Toxicology (4th ed.)</w:t>
      </w:r>
      <w:r>
        <w:rPr>
          <w:color w:val="595959"/>
          <w:sz w:val="16"/>
        </w:rPr>
        <w:t xml:space="preserve"> — Bab 11 &amp; 22 (</w:t>
      </w:r>
      <w:r>
        <w:rPr>
          <w:i/>
          <w:color w:val="595959"/>
          <w:sz w:val="16"/>
        </w:rPr>
        <w:t>Threshold Limit Values, TWA 8-hour definitions, and Excursion limits</w:t>
      </w:r>
      <w:r>
        <w:rPr>
          <w:color w:val="595959"/>
          <w:sz w:val="16"/>
        </w:rPr>
        <w:t>).</w:t>
      </w:r>
    </w:p>
    <w:p>
      <w:pPr>
        <w:spacing w:after="0"/>
        <w:ind w:left="283"/>
      </w:pPr>
      <w:r>
        <w:rPr>
          <w:b/>
          <w:color w:val="595959"/>
          <w:sz w:val="16"/>
        </w:rPr>
        <w:t>Buku Toksikologi Industri (FKM UI, 2021).</w:t>
      </w:r>
      <w:r>
        <w:rPr>
          <w:color w:val="595959"/>
          <w:sz w:val="16"/>
        </w:rPr>
        <w:t xml:space="preserve"> </w:t>
      </w:r>
      <w:r>
        <w:rPr>
          <w:i/>
          <w:color w:val="595959"/>
          <w:sz w:val="16"/>
        </w:rPr>
        <w:t>Konsep Dasar Toksikologi Industri</w:t>
      </w:r>
      <w:r>
        <w:rPr>
          <w:color w:val="595959"/>
          <w:sz w:val="16"/>
        </w:rPr>
        <w:t xml:space="preserve"> — Bab 2: </w:t>
      </w:r>
      <w:r>
        <w:rPr>
          <w:i/>
          <w:color w:val="595959"/>
          <w:sz w:val="16"/>
        </w:rPr>
        <w:t>Pajanan, Dosis, TLV-TWA 8 jam, dan Ekstrapolasi Waktu Kerja</w:t>
      </w:r>
      <w:r>
        <w:rPr>
          <w:color w:val="595959"/>
          <w:sz w:val="16"/>
        </w:rPr>
        <w:t>.</w:t>
      </w:r>
    </w:p>
    <w:p>
      <w:pPr>
        <w:spacing w:after="0"/>
        <w:ind w:left="283"/>
      </w:pPr>
      <w:r>
        <w:rPr>
          <w:b/>
          <w:color w:val="595959"/>
          <w:sz w:val="16"/>
        </w:rPr>
        <w:t>Permenaker RI No. 5 Tahun 2018.</w:t>
      </w:r>
      <w:r>
        <w:rPr>
          <w:color w:val="595959"/>
          <w:sz w:val="16"/>
        </w:rPr>
        <w:t xml:space="preserve"> </w:t>
      </w:r>
      <w:r>
        <w:rPr>
          <w:i/>
          <w:color w:val="595959"/>
          <w:sz w:val="16"/>
        </w:rPr>
        <w:t>Keselamatan dan Kesehatan Kerja Lingkungan Kerja</w:t>
      </w:r>
      <w:r>
        <w:rPr>
          <w:color w:val="595959"/>
          <w:sz w:val="16"/>
        </w:rPr>
        <w:t xml:space="preserve"> — Pasal 1 angka 7 (Definisi NAB Rata-Rata Tertimbang Waktu 8 Jam).</w:t>
      </w:r>
    </w:p>
    <w:p>
      <w:pPr>
        <w:pStyle w:val="Heading2"/>
      </w:pPr>
      <w:bookmarkStart w:id="105" w:name="toc_005"/>
      <w:r>
        <w:t>1.5 Campuran: rumus unity (aditif)</w:t>
      </w:r>
      <w:bookmarkEnd w:id="105"/>
    </w:p>
    <w:p>
      <w:pPr>
        <w:pStyle w:val="Heading3"/>
      </w:pPr>
      <w:r>
        <w:t>1. Prinsip Dasar dan Rumus Unity / Efek Aditif (Additive Mixture Formula)</w:t>
      </w:r>
    </w:p>
    <w:p>
      <w:pPr>
        <w:pStyle w:val="Heading4"/>
      </w:pPr>
      <w:r>
        <w:t>a. Landasan Toksikologi dan Fisiologi</w:t>
      </w:r>
    </w:p>
    <w:p>
      <w:pPr>
        <w:spacing w:after="80"/>
      </w:pPr>
      <w:r>
        <w:rPr/>
        <w:t xml:space="preserve">Ketika dua atau lebih bahan kimia berbahaya berada bersamaan di udara tempat kerja dan memiliki </w:t>
      </w:r>
      <w:r>
        <w:rPr>
          <w:b/>
        </w:rPr>
        <w:t>efek toksikologis yang serupa pada organ atau sistem target yang sama (</w:t>
      </w:r>
      <w:r>
        <w:rPr>
          <w:b/>
          <w:i/>
        </w:rPr>
        <w:t>similar toxicological effect on the same target organ or system</w:t>
      </w:r>
      <w:r>
        <w:rPr>
          <w:b/>
        </w:rPr>
        <w:t>)</w:t>
      </w:r>
      <w:r>
        <w:rPr/>
        <w:t>, efek gabungannya harus diprioritaskan dibandingkan evaluasi konsentrasi masing-masing secara individual.</w:t>
      </w:r>
    </w:p>
    <w:p>
      <w:pPr>
        <w:spacing w:after="80"/>
      </w:pPr>
      <w:r>
        <w:rPr/>
        <w:t xml:space="preserve">Dalam ketiadaan data ilmiah yang membuktikan interaksi lain, badan regulasi dan otoritas higiene industri (baik ACGIH maupun Kementerian Ketenagakerjaan RI) secara baku menetapkan asumsi bahwa </w:t>
      </w:r>
      <w:r>
        <w:rPr>
          <w:b/>
        </w:rPr>
        <w:t>efek toksik zat-zat tersebut bersifat saling menambah (</w:t>
      </w:r>
      <w:r>
        <w:rPr>
          <w:b/>
          <w:i/>
        </w:rPr>
        <w:t>additive</w:t>
      </w:r>
      <w:r>
        <w:rPr>
          <w:b/>
        </w:rPr>
        <w:t>)</w:t>
      </w:r>
      <w:r>
        <w:rPr/>
        <w:t>.</w:t>
      </w:r>
    </w:p>
    <w:p>
      <w:pPr>
        <w:spacing w:after="80"/>
      </w:pPr>
      <w:r>
        <w:rPr/>
        <w:t xml:space="preserve">Untuk mengetahui organ target dan efek kritis suatu zat, dokter okupasi merujuk pada kolom </w:t>
      </w:r>
      <w:r>
        <w:rPr>
          <w:b/>
        </w:rPr>
        <w:t>TLV Basis</w:t>
      </w:r>
      <w:r>
        <w:rPr/>
        <w:t xml:space="preserve"> dalam dokumentasi ACGIH atau kolom keterangan efek pada tabel NAB nasional, yang menjadi panduan apakah komponen campuran harus dievaluasi secara aditif atau independen.</w:t>
      </w:r>
    </w:p>
    <w:p>
      <w:pPr>
        <w:pStyle w:val="Heading4"/>
      </w:pPr>
      <w:r>
        <w:t>b. Rumus Unity / Indeks Pajanan Campuran (Hazard Index)</w:t>
      </w:r>
    </w:p>
    <w:p>
      <w:pPr>
        <w:spacing w:after="80"/>
      </w:pPr>
      <w:r>
        <w:rPr/>
        <w:t xml:space="preserve">Kesesuaian lingkungan kerja terhadap pajanan campuran aditif dievaluasi menggunakan </w:t>
      </w:r>
      <w:r>
        <w:rPr>
          <w:b/>
        </w:rPr>
        <w:t>aturan satu (</w:t>
      </w:r>
      <w:r>
        <w:rPr>
          <w:b/>
          <w:i/>
        </w:rPr>
        <w:t>rule of unity</w:t>
      </w:r>
      <w:r>
        <w:rPr>
          <w:b/>
        </w:rPr>
        <w:t>)</w:t>
      </w:r>
      <w:r>
        <w:rPr/>
        <w:t>:</w:t>
      </w:r>
    </w:p>
    <w:p>
      <w:pPr>
        <w:spacing w:after="60"/>
        <w:jc w:val="center"/>
      </w:pPr>
      <w:r>
        <w:rPr>
          <w:i/>
        </w:rPr>
        <w:t>Σ_(i=1)ⁿ (C_i)/(T_i) = (C₁)/(T₁) + (C₂)/(T₂) + (C₃)/(T₃) + … + (C_n)/(T_n) ≤ 1</w:t>
      </w:r>
    </w:p>
    <w:p>
      <w:pPr>
        <w:spacing w:after="80"/>
      </w:pPr>
      <w:r>
        <w:rPr/>
        <w:t>Di mana:</w:t>
      </w:r>
    </w:p>
    <w:p>
      <w:pPr>
        <w:pStyle w:val="ListBullet"/>
        <w:spacing w:after="20"/>
      </w:pPr>
      <w:r>
        <w:rPr/>
        <w:t>C_i = Konsentrasi terukur dari zat kimia ke-i di udara tempat kerja (hasil pemantauan higiene industri).</w:t>
      </w:r>
    </w:p>
    <w:p>
      <w:pPr>
        <w:pStyle w:val="ListBullet"/>
        <w:spacing w:after="20"/>
      </w:pPr>
      <w:r>
        <w:rPr/>
        <w:t>T_i atau NAB_i = Batas pajanan yang berlaku untuk zat kimia ke-i (TLV-TWA menurut ACGIH atau NAB menurut Permenaker No. 5/2018).</w:t>
      </w:r>
    </w:p>
    <w:p>
      <w:pPr>
        <w:spacing w:after="80"/>
      </w:pPr>
      <w:r>
        <w:rPr>
          <w:b/>
        </w:rPr>
        <w:t>Kaidah Evaluasi Nilai Ambang Batas:</w:t>
      </w:r>
    </w:p>
    <w:p>
      <w:pPr>
        <w:pStyle w:val="ListBullet"/>
        <w:spacing w:after="20"/>
      </w:pPr>
      <w:r>
        <w:rPr/>
        <w:t xml:space="preserve">Jika hasil penjumlahan fraksi </w:t>
      </w:r>
      <w:r>
        <w:rPr>
          <w:b/>
        </w:rPr>
        <w:t>≤ 1</w:t>
      </w:r>
      <w:r>
        <w:rPr/>
        <w:t xml:space="preserve">, maka pajanan campuran </w:t>
      </w:r>
      <w:r>
        <w:rPr>
          <w:b/>
        </w:rPr>
        <w:t>belum melampaui batas yang diperkenankan</w:t>
      </w:r>
      <w:r>
        <w:rPr/>
        <w:t>.</w:t>
      </w:r>
    </w:p>
    <w:p>
      <w:pPr>
        <w:pStyle w:val="ListBullet"/>
        <w:spacing w:after="20"/>
      </w:pPr>
      <w:r>
        <w:rPr/>
        <w:t xml:space="preserve">Jika hasil penjumlahan fraksi </w:t>
      </w:r>
      <w:r>
        <w:rPr>
          <w:b/>
        </w:rPr>
        <w:t>&gt; 1</w:t>
      </w:r>
      <w:r>
        <w:rPr/>
        <w:t xml:space="preserve">, maka </w:t>
      </w:r>
      <w:r>
        <w:rPr>
          <w:b/>
        </w:rPr>
        <w:t>Nilai Ambang Batas Campuran dianggap telah dilampaui (</w:t>
      </w:r>
      <w:r>
        <w:rPr>
          <w:b/>
          <w:i/>
        </w:rPr>
        <w:t>overexposure</w:t>
      </w:r>
      <w:r>
        <w:rPr>
          <w:b/>
        </w:rPr>
        <w:t>)</w:t>
      </w:r>
      <w:r>
        <w:rPr/>
        <w:t>, meskipun seluruh konsentrasi individual (C_i) berada di bawah nilai T_i masing-masing.</w:t>
      </w:r>
    </w:p>
    <w:p>
      <w:pPr>
        <w:pStyle w:val="Heading4"/>
      </w:pPr>
      <w:r>
        <w:t>c. Persyaratan Konsistensi Basis Waktu (Time Interval Consistency)</w:t>
      </w:r>
    </w:p>
    <w:p>
      <w:pPr>
        <w:spacing w:after="80"/>
      </w:pPr>
      <w:r>
        <w:rPr/>
        <w:t>Rumus aditif ini menuntut konsistensi basis parameter pajanan:</w:t>
      </w:r>
    </w:p>
    <w:p>
      <w:pPr>
        <w:spacing w:after="40"/>
        <w:ind w:left="340" w:hanging="283"/>
      </w:pPr>
      <w:r>
        <w:rPr/>
        <w:t xml:space="preserve">1. Pajanan harian penuh 8 jam harus menjumlahkan rasio terhadap </w:t>
      </w:r>
      <w:r>
        <w:rPr>
          <w:b/>
        </w:rPr>
        <w:t>TLV-TWA</w:t>
      </w:r>
      <w:r>
        <w:rPr/>
        <w:t>.</w:t>
      </w:r>
    </w:p>
    <w:p>
      <w:pPr>
        <w:spacing w:after="40"/>
        <w:ind w:left="340" w:hanging="283"/>
      </w:pPr>
      <w:r>
        <w:rPr/>
        <w:t xml:space="preserve">2. Pajanan singkat 15 menit harus menjumlahkan rasio terhadap </w:t>
      </w:r>
      <w:r>
        <w:rPr>
          <w:b/>
        </w:rPr>
        <w:t>TLV-STEL (PSD)</w:t>
      </w:r>
      <w:r>
        <w:rPr/>
        <w:t>.</w:t>
      </w:r>
    </w:p>
    <w:p>
      <w:pPr>
        <w:spacing w:after="40"/>
        <w:ind w:left="340" w:hanging="283"/>
      </w:pPr>
      <w:r>
        <w:rPr/>
        <w:t xml:space="preserve">3. Pajanan seketika harus menjumlahkan rasio terhadap </w:t>
      </w:r>
      <w:r>
        <w:rPr>
          <w:b/>
        </w:rPr>
        <w:t>TLV-C (KTD)</w:t>
      </w:r>
      <w:r>
        <w:rPr/>
        <w:t>.</w:t>
      </w:r>
    </w:p>
    <w:p>
      <w:pPr>
        <w:spacing w:after="40"/>
        <w:ind w:left="340" w:hanging="283"/>
      </w:pPr>
      <w:r>
        <w:rPr/>
        <w:t xml:space="preserve">4. </w:t>
      </w:r>
      <w:r>
        <w:rPr>
          <w:i/>
        </w:rPr>
        <w:t>Kasus Khusus ACGIH:</w:t>
      </w:r>
      <w:r>
        <w:rPr/>
        <w:t xml:space="preserve"> Jika suatu zat dengan nilai STEL bercampur dengan zat yang hanya memiliki TWA tanpa STEL, konsentrasi jangka pendek zat kedua dibandingkan dengan batas lonjakan maksimum (</w:t>
      </w:r>
      <w:r>
        <w:rPr>
          <w:i/>
        </w:rPr>
        <w:t>maximum peak exposure</w:t>
      </w:r>
      <w:r>
        <w:rPr/>
        <w:t xml:space="preserve">), yaitu </w:t>
      </w:r>
      <w:r>
        <w:rPr>
          <w:b/>
        </w:rPr>
        <w:t>5 kali nilai TLV-TWA</w:t>
      </w:r>
      <w:r>
        <w:rPr/>
        <w:t>, dengan rumus modifikasi:</w:t>
      </w:r>
    </w:p>
    <w:p>
      <w:pPr>
        <w:spacing w:after="60"/>
        <w:jc w:val="center"/>
      </w:pPr>
      <w:r>
        <w:rPr>
          <w:i/>
        </w:rPr>
        <w:t>(C₁)/(T_(1STEL)) + (C₂)/(5 × T_(2TWA)) ≤ 1</w:t>
      </w:r>
    </w:p>
    <w:p>
      <w:pPr>
        <w:pStyle w:val="Heading3"/>
      </w:pPr>
      <w:r>
        <w:t>2. Kapan Rumus Ini Berlaku dan Kapan Tidak Berlaku</w:t>
      </w:r>
    </w:p>
    <w:p>
      <w:pPr>
        <w:spacing w:after="80"/>
      </w:pPr>
      <w:r>
        <w:rPr/>
        <w:t>Pemahaman interaksi farmakodinamik dan kinetik antartoksikan menentukan kapan rumus aditif boleh digunakan dan kapan harus ditinggalkan:</w:t>
      </w:r>
    </w:p>
    <w:p>
      <w:pPr>
        <w:spacing w:after="120"/>
        <w:ind w:left="170"/>
      </w:pPr>
      <w:r>
        <w:rPr>
          <w:rFonts w:ascii="Consolas" w:hAnsi="Consolas" w:eastAsia="Consolas"/>
          <w:sz w:val="13"/>
        </w:rPr>
        <w:t xml:space="preserve">                                  [ INTERAKSI TOKSIKAN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EFEK ADITIF ]                 [ EFEK NON-INTERAKTIF ]             [ EFEK INTERAKTIF ]</w:t>
      </w:r>
      <w:r>
        <w:br/>
      </w:r>
      <w:r>
        <w:rPr>
          <w:rFonts w:ascii="Consolas" w:hAnsi="Consolas" w:eastAsia="Consolas"/>
          <w:sz w:val="13"/>
        </w:rPr>
        <w:t xml:space="preserve">    (1 + 1 = 2)                         (Independen)                            │</w:t>
      </w:r>
      <w:r>
        <w:br/>
      </w:r>
      <w:r>
        <w:rPr>
          <w:rFonts w:ascii="Consolas" w:hAnsi="Consolas" w:eastAsia="Consolas"/>
          <w:sz w:val="13"/>
        </w:rPr>
        <w:t xml:space="preserve">         │                                   │                 ┌────────────────┴────────────────┐</w:t>
      </w:r>
      <w:r>
        <w:br/>
      </w:r>
      <w:r>
        <w:rPr>
          <w:rFonts w:ascii="Consolas" w:hAnsi="Consolas" w:eastAsia="Consolas"/>
          <w:sz w:val="13"/>
        </w:rPr>
        <w:t xml:space="preserve">  Organ target sama,                 Organ target beda,        ▼                                 ▼</w:t>
      </w:r>
      <w:r>
        <w:br/>
      </w:r>
      <w:r>
        <w:rPr>
          <w:rFonts w:ascii="Consolas" w:hAnsi="Consolas" w:eastAsia="Consolas"/>
          <w:sz w:val="13"/>
        </w:rPr>
        <w:t xml:space="preserve"> mekanisme toksik sejalan           evaluasi terpisah     [ SINERGIS ]                     [ ANTAGONIS ]</w:t>
      </w:r>
      <w:r>
        <w:br/>
      </w:r>
      <w:r>
        <w:rPr>
          <w:rFonts w:ascii="Consolas" w:hAnsi="Consolas" w:eastAsia="Consolas"/>
          <w:sz w:val="13"/>
        </w:rPr>
        <w:t xml:space="preserve">         │                                   │            (1 + 1 &gt; 2)                      (1 + 1 &lt; 2)</w:t>
      </w:r>
      <w:r>
        <w:br/>
      </w:r>
      <w:r>
        <w:rPr>
          <w:rFonts w:ascii="Consolas" w:hAnsi="Consolas" w:eastAsia="Consolas"/>
          <w:sz w:val="13"/>
        </w:rPr>
        <w:t xml:space="preserve">  Gunakan Rumus Unity:               Rasio masing-masing       │                                 │</w:t>
      </w:r>
      <w:r>
        <w:br/>
      </w:r>
      <w:r>
        <w:rPr>
          <w:rFonts w:ascii="Consolas" w:hAnsi="Consolas" w:eastAsia="Consolas"/>
          <w:sz w:val="13"/>
        </w:rPr>
        <w:t xml:space="preserve">   Σ (Ci / Ti) ≤ 1                     Ci / Ti ≤ 1             ├─ Sinergisme Murni        Kompetisi reseptor,</w:t>
      </w:r>
      <w:r>
        <w:br/>
      </w:r>
      <w:r>
        <w:rPr>
          <w:rFonts w:ascii="Consolas" w:hAnsi="Consolas" w:eastAsia="Consolas"/>
          <w:sz w:val="13"/>
        </w:rPr>
        <w:t xml:space="preserve">                                                               └─ Potensiasi (0 + 1 &gt; 1)  induksi detoksifikasi</w:t>
      </w:r>
    </w:p>
    <w:p>
      <w:pPr>
        <w:pStyle w:val="Heading4"/>
      </w:pPr>
      <w:r>
        <w:t>a. Kapan Rumus Unity Berlaku Mutlak</w:t>
      </w:r>
    </w:p>
    <w:p>
      <w:pPr>
        <w:spacing w:after="80"/>
      </w:pPr>
      <w:r>
        <w:rPr/>
        <w:t>Rumus aditif berlaku ketika:</w:t>
      </w:r>
    </w:p>
    <w:p>
      <w:pPr>
        <w:spacing w:after="40"/>
        <w:ind w:left="340" w:hanging="283"/>
      </w:pPr>
      <w:r>
        <w:rPr/>
        <w:t xml:space="preserve">1. Zat-zat kimia terhirup secara </w:t>
      </w:r>
      <w:r>
        <w:rPr>
          <w:b/>
        </w:rPr>
        <w:t>bersamaan (</w:t>
      </w:r>
      <w:r>
        <w:rPr>
          <w:b/>
          <w:i/>
        </w:rPr>
        <w:t>simultaneous</w:t>
      </w:r>
      <w:r>
        <w:rPr>
          <w:b/>
        </w:rPr>
        <w:t>)</w:t>
      </w:r>
      <w:r>
        <w:rPr/>
        <w:t xml:space="preserve"> atau berturutan dalam satu shift kerja yang sama.</w:t>
      </w:r>
    </w:p>
    <w:p>
      <w:pPr>
        <w:spacing w:after="40"/>
        <w:ind w:left="340" w:hanging="283"/>
      </w:pPr>
      <w:r>
        <w:rPr/>
        <w:t xml:space="preserve">2. Bahan-bahan kimia tersebut memiliki </w:t>
      </w:r>
      <w:r>
        <w:rPr>
          <w:b/>
        </w:rPr>
        <w:t>organ atau sistem target biologis yang sama</w:t>
      </w:r>
      <w:r>
        <w:rPr/>
        <w:t xml:space="preserve"> (misalnya campuran beberapa uap pelarut organik yang sama-sama menekan Sistem Saraf Pusat atau mengiritasi saluran pernapasan atas).</w:t>
      </w:r>
    </w:p>
    <w:p>
      <w:pPr>
        <w:spacing w:after="40"/>
        <w:ind w:left="340" w:hanging="283"/>
      </w:pPr>
      <w:r>
        <w:rPr/>
        <w:t>3. Mekanisme toksisitasnya sejalan dan tidak saling mengubah farmakokinetik absorpsi, biotransformasi, maupun eliminasi. Contoh klasik: pajanan simultan dua jenis insektisida organofosfat yang sama-sama menghambat enzim asetilkolinesterase.</w:t>
      </w:r>
    </w:p>
    <w:p>
      <w:pPr>
        <w:pStyle w:val="Heading4"/>
      </w:pPr>
      <w:r>
        <w:t>b. Kapan Rumus Unity TIDAK Berlaku (Pengecualian dan Alternatif Evaluasi)</w:t>
      </w:r>
    </w:p>
    <w:p>
      <w:pPr>
        <w:spacing w:after="40"/>
        <w:ind w:left="340" w:hanging="283"/>
      </w:pPr>
      <w:r>
        <w:rPr/>
        <w:t xml:space="preserve">1. </w:t>
      </w:r>
      <w:r>
        <w:rPr>
          <w:b/>
        </w:rPr>
        <w:t>Efek Independen (</w:t>
      </w:r>
      <w:r>
        <w:rPr>
          <w:b/>
          <w:i/>
        </w:rPr>
        <w:t>Independent Effects</w:t>
      </w:r>
      <w:r>
        <w:rPr>
          <w:b/>
        </w:rPr>
        <w:t xml:space="preserve"> / Berefek Sendiri-Sendiri):</w:t>
      </w:r>
    </w:p>
    <w:p>
      <w:pPr>
        <w:pStyle w:val="ListBullet2"/>
        <w:spacing w:after="20"/>
      </w:pPr>
      <w:r>
        <w:rPr>
          <w:i/>
        </w:rPr>
        <w:t>Kondisi:</w:t>
      </w:r>
      <w:r>
        <w:rPr/>
        <w:t xml:space="preserve"> Terjadi apabila komponen kimia dalam campuran memiliki </w:t>
      </w:r>
      <w:r>
        <w:rPr>
          <w:b/>
        </w:rPr>
        <w:t>organ target yang berbeda atau manifestasi toksik yang sama sekali tidak berkaitan</w:t>
      </w:r>
      <w:r>
        <w:rPr/>
        <w:t>.</w:t>
      </w:r>
    </w:p>
    <w:p>
      <w:pPr>
        <w:pStyle w:val="ListBullet2"/>
        <w:spacing w:after="20"/>
      </w:pPr>
      <w:r>
        <w:rPr>
          <w:i/>
        </w:rPr>
        <w:t>Kaidah Evaluasi:</w:t>
      </w:r>
      <w:r>
        <w:rPr/>
        <w:t xml:space="preserve"> Rumus penjumlahan </w:t>
      </w:r>
      <w:r>
        <w:rPr>
          <w:b/>
        </w:rPr>
        <w:t>tidak boleh digabungkan</w:t>
      </w:r>
      <w:r>
        <w:rPr/>
        <w:t>. Masing-masing zat dievaluasi secara terpisah terhadap batas pajanannya sendiri:</w:t>
      </w:r>
    </w:p>
    <w:p>
      <w:pPr>
        <w:spacing w:after="60"/>
        <w:jc w:val="center"/>
      </w:pPr>
      <w:r>
        <w:rPr>
          <w:i/>
        </w:rPr>
        <w:t>(C₁)/(T₁) ≤ 1; (C₂)/(T₂) ≤ 1; (C₃)/(T₃) ≤ 1</w:t>
      </w:r>
    </w:p>
    <w:p>
      <w:pPr>
        <w:spacing w:after="80"/>
      </w:pPr>
      <w:r>
        <w:rPr/>
        <w:t xml:space="preserve">NAB campuran hanya dianggap dilampaui jika </w:t>
      </w:r>
      <w:r>
        <w:rPr>
          <w:b/>
        </w:rPr>
        <w:t>salah satu zat secara mandiri memiliki rasio &gt; 1</w:t>
      </w:r>
      <w:r>
        <w:rPr/>
        <w:t>.</w:t>
      </w:r>
    </w:p>
    <w:p>
      <w:pPr>
        <w:pStyle w:val="ListBullet2"/>
        <w:spacing w:after="20"/>
      </w:pPr>
      <w:r>
        <w:rPr>
          <w:i/>
        </w:rPr>
        <w:t>Contoh Dokumen:</w:t>
      </w:r>
      <w:r>
        <w:rPr/>
        <w:t xml:space="preserve"> Udara kerja mengandung uap </w:t>
      </w:r>
      <w:r>
        <w:rPr>
          <w:b/>
        </w:rPr>
        <w:t>Timbal (Pb)</w:t>
      </w:r>
      <w:r>
        <w:rPr/>
        <w:t xml:space="preserve"> yang menyerang sistem hematologi/saraf dan </w:t>
      </w:r>
      <w:r>
        <w:rPr>
          <w:b/>
        </w:rPr>
        <w:t>Asam Sulfat (H₂SO₄)</w:t>
      </w:r>
      <w:r>
        <w:rPr/>
        <w:t xml:space="preserve"> yang merupakan iritan saluran napas; keduanya dinilai secara independen.</w:t>
      </w:r>
    </w:p>
    <w:p>
      <w:pPr>
        <w:spacing w:after="40"/>
        <w:ind w:left="340" w:hanging="283"/>
      </w:pPr>
      <w:r>
        <w:rPr/>
        <w:t xml:space="preserve">2. </w:t>
      </w:r>
      <w:r>
        <w:rPr>
          <w:b/>
        </w:rPr>
        <w:t>Efek Sinergis (</w:t>
      </w:r>
      <w:r>
        <w:rPr>
          <w:b/>
          <w:i/>
        </w:rPr>
        <w:t>Synergistic Effects</w:t>
      </w:r>
      <w:r>
        <w:rPr>
          <w:b/>
        </w:rPr>
        <w:t>):</w:t>
      </w:r>
    </w:p>
    <w:p>
      <w:pPr>
        <w:pStyle w:val="ListBullet2"/>
        <w:spacing w:after="20"/>
      </w:pPr>
      <w:r>
        <w:rPr>
          <w:i/>
        </w:rPr>
        <w:t>Kondisi:</w:t>
      </w:r>
      <w:r>
        <w:rPr/>
        <w:t xml:space="preserve"> Situasi di mana kombinasi dua zat kimia menghasilkan </w:t>
      </w:r>
      <w:r>
        <w:rPr>
          <w:b/>
        </w:rPr>
        <w:t>efek toksik gabungan yang jauh lebih besar daripada penjumlahan matematis efek masing-masing</w:t>
      </w:r>
      <w:r>
        <w:rPr/>
        <w:t xml:space="preserve"> (1 + 1 &gt; 2).</w:t>
      </w:r>
    </w:p>
    <w:p>
      <w:pPr>
        <w:pStyle w:val="ListBullet2"/>
        <w:spacing w:after="20"/>
      </w:pPr>
      <w:r>
        <w:rPr>
          <w:i/>
        </w:rPr>
        <w:t>Kelemahan Rumus Aditif:</w:t>
      </w:r>
      <w:r>
        <w:rPr/>
        <w:t xml:space="preserve"> Rumus unity </w:t>
      </w:r>
      <w:r>
        <w:rPr>
          <w:b/>
        </w:rPr>
        <w:t>tidak memadai (</w:t>
      </w:r>
      <w:r>
        <w:rPr>
          <w:b/>
          <w:i/>
        </w:rPr>
        <w:t>underestimates risk</w:t>
      </w:r>
      <w:r>
        <w:rPr>
          <w:b/>
        </w:rPr>
        <w:t>)</w:t>
      </w:r>
      <w:r>
        <w:rPr/>
        <w:t xml:space="preserve"> dan gagal melindungi pekerja karena interaksi supramultiplikatif merusak batas keselamatan.</w:t>
      </w:r>
    </w:p>
    <w:p>
      <w:pPr>
        <w:pStyle w:val="ListBullet2"/>
        <w:spacing w:after="20"/>
      </w:pPr>
      <w:r>
        <w:rPr>
          <w:i/>
        </w:rPr>
        <w:t>Pendekatan:</w:t>
      </w:r>
      <w:r>
        <w:rPr/>
        <w:t xml:space="preserve"> ACGIH menyarankan penggunaan rumus modifikasi dengan memasukkan </w:t>
      </w:r>
      <w:r>
        <w:rPr>
          <w:i/>
        </w:rPr>
        <w:t>synergy factor</w:t>
      </w:r>
      <w:r>
        <w:rPr/>
        <w:t xml:space="preserve"> atau pembatasan konsentrasi jauh di bawah NAB standar.</w:t>
      </w:r>
    </w:p>
    <w:p>
      <w:pPr>
        <w:pStyle w:val="ListBullet2"/>
        <w:spacing w:after="20"/>
      </w:pPr>
      <w:r>
        <w:rPr>
          <w:i/>
        </w:rPr>
        <w:t>Contoh Dokumen:</w:t>
      </w:r>
      <w:r>
        <w:rPr/>
        <w:t xml:space="preserve"> Pajanan simultan </w:t>
      </w:r>
      <w:r>
        <w:rPr>
          <w:b/>
        </w:rPr>
        <w:t>Karbon Tetraklorida (CCl₄) dan Etanol</w:t>
      </w:r>
      <w:r>
        <w:rPr/>
        <w:t>. Keduanya bersifat hepatotoksik, namun jika berada bersamaan dalam tubuh, derajat nekrosis hati meningkat berlipat ganda. Contoh lain: pajanan pelarut ototoksik (seperti toluena) dengan kebisingan industri di atas 85 dBA memicu kerusakan pendengaran yang sinergistik.</w:t>
      </w:r>
    </w:p>
    <w:p>
      <w:pPr>
        <w:spacing w:after="40"/>
        <w:ind w:left="340" w:hanging="283"/>
      </w:pPr>
      <w:r>
        <w:rPr/>
        <w:t xml:space="preserve">3. </w:t>
      </w:r>
      <w:r>
        <w:rPr>
          <w:b/>
        </w:rPr>
        <w:t>Efek Potensiasi (</w:t>
      </w:r>
      <w:r>
        <w:rPr>
          <w:b/>
          <w:i/>
        </w:rPr>
        <w:t>Potentiation</w:t>
      </w:r>
      <w:r>
        <w:rPr>
          <w:b/>
        </w:rPr>
        <w:t>):</w:t>
      </w:r>
    </w:p>
    <w:p>
      <w:pPr>
        <w:pStyle w:val="ListBullet2"/>
        <w:spacing w:after="20"/>
      </w:pPr>
      <w:r>
        <w:rPr>
          <w:i/>
        </w:rPr>
        <w:t>Kondisi:</w:t>
      </w:r>
      <w:r>
        <w:rPr/>
        <w:t xml:space="preserve"> Terjadi ketika suatu zat yang </w:t>
      </w:r>
      <w:r>
        <w:rPr>
          <w:b/>
        </w:rPr>
        <w:t>tidak memiliki sifat toksik intrinsik pada organ tertentu (efek = 0)</w:t>
      </w:r>
      <w:r>
        <w:rPr/>
        <w:t xml:space="preserve"> mampu melipatgandakan efek toksik dari zat kimia lain (0 + 1 &gt; 1).</w:t>
      </w:r>
    </w:p>
    <w:p>
      <w:pPr>
        <w:pStyle w:val="ListBullet2"/>
        <w:spacing w:after="20"/>
      </w:pPr>
      <w:r>
        <w:rPr>
          <w:i/>
        </w:rPr>
        <w:t>Kelemahan Rumus Aditif:</w:t>
      </w:r>
      <w:r>
        <w:rPr/>
        <w:t xml:space="preserve"> Rumus aditif akan menghasilkan angka nol untuk zat non-toksik tersebut (C₂/T₂ tidak terdefinisi atau diabaikan), sehingga mengabaikan potensi bahaya fatal.</w:t>
      </w:r>
    </w:p>
    <w:p>
      <w:pPr>
        <w:pStyle w:val="ListBullet2"/>
        <w:spacing w:after="20"/>
      </w:pPr>
      <w:r>
        <w:rPr>
          <w:i/>
        </w:rPr>
        <w:t>Contoh Dokumen:</w:t>
      </w:r>
      <w:r>
        <w:rPr/>
        <w:t xml:space="preserve"> </w:t>
      </w:r>
      <w:r>
        <w:rPr>
          <w:b/>
        </w:rPr>
        <w:t>Isopropanol dan CCl₄</w:t>
      </w:r>
      <w:r>
        <w:rPr/>
        <w:t xml:space="preserve">. Isopropanol sendiri bukan zat hepatotoksik, namun jika masuk bersama CCl₄, metabolit isopropanol memperparah toksisitas hati CCl₄ secara masif. Contoh klasik lain di lapangan kerja adalah kontaminan </w:t>
      </w:r>
      <w:r>
        <w:rPr>
          <w:b/>
        </w:rPr>
        <w:t>isomalation</w:t>
      </w:r>
      <w:r>
        <w:rPr/>
        <w:t xml:space="preserve"> yang tidak toksik sendiri tetapi menghambat enzim karboksilesterase yang seharusnya mendetoksifikasi malation, memicu keracunan massal pekerja penyemprot.</w:t>
      </w:r>
    </w:p>
    <w:p>
      <w:pPr>
        <w:spacing w:after="40"/>
        <w:ind w:left="340" w:hanging="283"/>
      </w:pPr>
      <w:r>
        <w:rPr/>
        <w:t xml:space="preserve">4. </w:t>
      </w:r>
      <w:r>
        <w:rPr>
          <w:b/>
        </w:rPr>
        <w:t>Efek Antagonis (</w:t>
      </w:r>
      <w:r>
        <w:rPr>
          <w:b/>
          <w:i/>
        </w:rPr>
        <w:t>Antagonistic Effects</w:t>
      </w:r>
      <w:r>
        <w:rPr>
          <w:b/>
        </w:rPr>
        <w:t xml:space="preserve"> / Inhibisi):</w:t>
      </w:r>
    </w:p>
    <w:p>
      <w:pPr>
        <w:pStyle w:val="ListBullet2"/>
        <w:spacing w:after="20"/>
      </w:pPr>
      <w:r>
        <w:rPr>
          <w:i/>
        </w:rPr>
        <w:t>Kondisi:</w:t>
      </w:r>
      <w:r>
        <w:rPr/>
        <w:t xml:space="preserve"> Interaksi di mana pajanan bersamaan menghasilkan </w:t>
      </w:r>
      <w:r>
        <w:rPr>
          <w:b/>
        </w:rPr>
        <w:t>toksisitas yang lebih rendah daripada penjumlahan masing-masing</w:t>
      </w:r>
      <w:r>
        <w:rPr/>
        <w:t xml:space="preserve"> (1 + 1 &lt; 2). Hal ini dapat terjadi melalui kompetisi reseptor, inaktivasi kimiawi langsung, efek fisiologis yang berlawanan, atau induksi enzim biotransformasi detoksifikasi (misalnya induksi CYP oleh fenobarbital).</w:t>
      </w:r>
    </w:p>
    <w:p>
      <w:pPr>
        <w:pStyle w:val="ListBullet2"/>
        <w:spacing w:after="20"/>
      </w:pPr>
      <w:r>
        <w:rPr>
          <w:i/>
        </w:rPr>
        <w:t>Kaidah Evaluasi:</w:t>
      </w:r>
      <w:r>
        <w:rPr/>
        <w:t xml:space="preserve"> Batas pajanan campuran umumnya hanya terlampaui jika salah satu zat melebihi nilai ambang batasnya sendiri (C_i/T_i &gt; 1).</w:t>
      </w:r>
    </w:p>
    <w:p>
      <w:pPr>
        <w:spacing w:after="40"/>
        <w:ind w:left="340" w:hanging="283"/>
      </w:pPr>
      <w:r>
        <w:rPr/>
        <w:t xml:space="preserve">5. </w:t>
      </w:r>
      <w:r>
        <w:rPr>
          <w:b/>
        </w:rPr>
        <w:t>Campuran Sangat Kompleks (</w:t>
      </w:r>
      <w:r>
        <w:rPr>
          <w:b/>
          <w:i/>
        </w:rPr>
        <w:t>Complex Petroleum Mixtures</w:t>
      </w:r>
      <w:r>
        <w:rPr>
          <w:b/>
        </w:rPr>
        <w:t>):</w:t>
      </w:r>
    </w:p>
    <w:p>
      <w:pPr>
        <w:pStyle w:val="ListBullet2"/>
        <w:spacing w:after="20"/>
      </w:pPr>
      <w:r>
        <w:rPr/>
        <w:t>Rumus aditif sederhana tidak dapat diterapkan pada campuran kompleks yang tersusun atas ratusan senyawa hidrokarbon yang komposisinya terus berubah-ubah (seperti uap bensin/gasolin, emisi gas buang diesel, atau abu terbang).</w:t>
      </w:r>
    </w:p>
    <w:p>
      <w:pPr>
        <w:pStyle w:val="ListBullet2"/>
        <w:spacing w:after="20"/>
      </w:pPr>
      <w:r>
        <w:rPr/>
        <w:t xml:space="preserve">ACGIH menerapkan pendekatan khusus, yaitu </w:t>
      </w:r>
      <w:r>
        <w:rPr>
          <w:b/>
        </w:rPr>
        <w:t>Reciprocal Calculation Procedure (RCP)</w:t>
      </w:r>
      <w:r>
        <w:rPr/>
        <w:t xml:space="preserve"> dengan </w:t>
      </w:r>
      <w:r>
        <w:rPr>
          <w:i/>
        </w:rPr>
        <w:t>Group Guidance Values</w:t>
      </w:r>
      <w:r>
        <w:rPr/>
        <w:t xml:space="preserve"> (GGVs).</w:t>
      </w:r>
    </w:p>
    <w:p>
      <w:pPr>
        <w:spacing w:after="40"/>
        <w:ind w:left="340" w:hanging="283"/>
      </w:pPr>
      <w:r>
        <w:rPr/>
        <w:t xml:space="preserve">6. </w:t>
      </w:r>
      <w:r>
        <w:rPr>
          <w:b/>
        </w:rPr>
        <w:t>Karsinogen Terbukti pada Manusia (A1, A2, A3):</w:t>
      </w:r>
    </w:p>
    <w:p>
      <w:pPr>
        <w:pStyle w:val="ListBullet2"/>
        <w:spacing w:after="20"/>
      </w:pPr>
      <w:r>
        <w:rPr/>
        <w:t>Bahan karsinogenik kategori A1–A3 tidak boleh semata-mata dikendalikan dengan rumus unity aditif; pajanan harus ditekan serendah mungkin (</w:t>
      </w:r>
      <w:r>
        <w:rPr>
          <w:i/>
        </w:rPr>
        <w:t>As Low As Reasonably Achievable</w:t>
      </w:r>
      <w:r>
        <w:rPr/>
        <w:t xml:space="preserve"> / ALARA) terlepas dari hasil perhitungan campuran.</w:t>
      </w:r>
    </w:p>
    <w:p>
      <w:pPr>
        <w:pStyle w:val="Heading3"/>
      </w:pPr>
      <w:r>
        <w:t>3. Contoh Hitung dan Interpretasi Okupasi (Studi Kasus Solven Industri)</w:t>
      </w:r>
    </w:p>
    <w:p>
      <w:pPr>
        <w:spacing w:after="80"/>
      </w:pPr>
      <w:r>
        <w:rPr/>
        <w:t xml:space="preserve">Guna menguji kesiapan Anda, berikut adalah aplikasi kuantitatif yang mengintegrasikan standar </w:t>
      </w:r>
      <w:r>
        <w:rPr>
          <w:b/>
        </w:rPr>
        <w:t>Permenaker No. 5 Tahun 2018 (Lampiran 3 C)</w:t>
      </w:r>
      <w:r>
        <w:rPr/>
        <w:t xml:space="preserve"> dan </w:t>
      </w:r>
      <w:r>
        <w:rPr>
          <w:b/>
        </w:rPr>
        <w:t>ACGIH Appendix E</w:t>
      </w:r>
      <w:r>
        <w:rPr/>
        <w:t>:</w:t>
      </w:r>
    </w:p>
    <w:p>
      <w:pPr>
        <w:pStyle w:val="Heading4"/>
      </w:pPr>
      <w:r>
        <w:t>Skenario Kasus:</w:t>
      </w:r>
    </w:p>
    <w:p>
      <w:pPr>
        <w:spacing w:after="80"/>
      </w:pPr>
      <w:r>
        <w:rPr/>
        <w:t xml:space="preserve">Di area </w:t>
      </w:r>
      <w:r>
        <w:rPr>
          <w:i/>
        </w:rPr>
        <w:t>finishing</w:t>
      </w:r>
      <w:r>
        <w:rPr/>
        <w:t xml:space="preserve"> dan pembersihan suku cadang, dilakukan pemantauan udara lingkungan kerja terhadap uap 3 jenis pelarut organik yang terdeteksi bersamaan:</w:t>
      </w:r>
    </w:p>
    <w:p>
      <w:pPr>
        <w:spacing w:after="40"/>
        <w:ind w:left="340" w:hanging="283"/>
      </w:pPr>
      <w:r>
        <w:rPr/>
        <w:t xml:space="preserve">1. </w:t>
      </w:r>
      <w:r>
        <w:rPr>
          <w:b/>
        </w:rPr>
        <w:t>Aseton:</w:t>
      </w:r>
      <w:r>
        <w:rPr/>
        <w:t xml:space="preserve"> Konsentrasi terukur (C₁) = </w:t>
      </w:r>
      <w:r>
        <w:rPr>
          <w:b/>
        </w:rPr>
        <w:t>400 bds</w:t>
      </w:r>
      <w:r>
        <w:rPr/>
        <w:t xml:space="preserve"> (NAB Permenaker = </w:t>
      </w:r>
      <w:r>
        <w:rPr>
          <w:b/>
        </w:rPr>
        <w:t>750 bds</w:t>
      </w:r>
      <w:r>
        <w:rPr/>
        <w:t>; TLV ACGIH historis/sejalan).</w:t>
      </w:r>
    </w:p>
    <w:p>
      <w:pPr>
        <w:spacing w:after="40"/>
        <w:ind w:left="340" w:hanging="283"/>
      </w:pPr>
      <w:r>
        <w:rPr/>
        <w:t xml:space="preserve">2. </w:t>
      </w:r>
      <w:r>
        <w:rPr>
          <w:b/>
        </w:rPr>
        <w:t>Butil Asetat Sekunder:</w:t>
      </w:r>
      <w:r>
        <w:rPr/>
        <w:t xml:space="preserve"> Konsentrasi terukur (C₂) = </w:t>
      </w:r>
      <w:r>
        <w:rPr>
          <w:b/>
        </w:rPr>
        <w:t>150 bds</w:t>
      </w:r>
      <w:r>
        <w:rPr/>
        <w:t xml:space="preserve"> (NAB Permenaker = </w:t>
      </w:r>
      <w:r>
        <w:rPr>
          <w:b/>
        </w:rPr>
        <w:t>200 bds</w:t>
      </w:r>
      <w:r>
        <w:rPr/>
        <w:t>).</w:t>
      </w:r>
    </w:p>
    <w:p>
      <w:pPr>
        <w:spacing w:after="40"/>
        <w:ind w:left="340" w:hanging="283"/>
      </w:pPr>
      <w:r>
        <w:rPr/>
        <w:t xml:space="preserve">3. </w:t>
      </w:r>
      <w:r>
        <w:rPr>
          <w:b/>
        </w:rPr>
        <w:t>Metil Etil Keton (MEK):</w:t>
      </w:r>
      <w:r>
        <w:rPr/>
        <w:t xml:space="preserve"> Konsentrasi terukur (C₃) = </w:t>
      </w:r>
      <w:r>
        <w:rPr>
          <w:b/>
        </w:rPr>
        <w:t>100 bds</w:t>
      </w:r>
      <w:r>
        <w:rPr/>
        <w:t xml:space="preserve"> (NAB Permenaker = </w:t>
      </w:r>
      <w:r>
        <w:rPr>
          <w:b/>
        </w:rPr>
        <w:t>200 bds</w:t>
      </w:r>
      <w:r>
        <w:rPr/>
        <w:t>).</w:t>
      </w:r>
    </w:p>
    <w:p>
      <w:pPr>
        <w:pStyle w:val="Heading4"/>
      </w:pPr>
      <w:r>
        <w:t>Langkah 1: Verifikasi Organ Target dan Efek Toksikologis</w:t>
      </w:r>
    </w:p>
    <w:p>
      <w:pPr>
        <w:spacing w:after="80"/>
      </w:pPr>
      <w:r>
        <w:rPr/>
        <w:t>Berdasarkan tinjauan dokumentasi toksikologis dan tabel NAB (TLV Basis / Keterangan):</w:t>
      </w:r>
    </w:p>
    <w:p>
      <w:pPr>
        <w:pStyle w:val="ListBullet"/>
        <w:spacing w:after="20"/>
      </w:pPr>
      <w:r>
        <w:rPr/>
        <w:t xml:space="preserve">Aseton: Efek kritis berupa </w:t>
      </w:r>
      <w:r>
        <w:rPr>
          <w:b/>
        </w:rPr>
        <w:t>iritasi membran mukosa saluran napas atas dan penekanan Sistem Saraf Pusat (SSP)</w:t>
      </w:r>
      <w:r>
        <w:rPr/>
        <w:t>.</w:t>
      </w:r>
    </w:p>
    <w:p>
      <w:pPr>
        <w:pStyle w:val="ListBullet"/>
        <w:spacing w:after="20"/>
      </w:pPr>
      <w:r>
        <w:rPr/>
        <w:t xml:space="preserve">Butil asetat sekunder: Efek kritis berupa </w:t>
      </w:r>
      <w:r>
        <w:rPr>
          <w:b/>
        </w:rPr>
        <w:t>iritasi membran mukosa saluran napas atas dan efek narkosis SSP</w:t>
      </w:r>
      <w:r>
        <w:rPr/>
        <w:t>.</w:t>
      </w:r>
    </w:p>
    <w:p>
      <w:pPr>
        <w:pStyle w:val="ListBullet"/>
        <w:spacing w:after="20"/>
      </w:pPr>
      <w:r>
        <w:rPr/>
        <w:t xml:space="preserve">Metil etil keton: Efek kritis berupa </w:t>
      </w:r>
      <w:r>
        <w:rPr>
          <w:b/>
        </w:rPr>
        <w:t>iritasi saluran napas atas dan gangguan SSP/sakit kepala</w:t>
      </w:r>
      <w:r>
        <w:rPr/>
        <w:t>.</w:t>
      </w:r>
    </w:p>
    <w:p>
      <w:pPr>
        <w:spacing w:after="80"/>
      </w:pPr>
      <w:r>
        <w:rPr>
          <w:i/>
        </w:rPr>
        <w:t>Kesimpulan Medis:</w:t>
      </w:r>
      <w:r>
        <w:rPr/>
        <w:t xml:space="preserve"> Ketiga zat menyerang </w:t>
      </w:r>
      <w:r>
        <w:rPr>
          <w:b/>
        </w:rPr>
        <w:t>organ dan sistem target yang sama (SSP dan saluran pernapasan)</w:t>
      </w:r>
      <w:r>
        <w:rPr/>
        <w:t xml:space="preserve">, sehingga </w:t>
      </w:r>
      <w:r>
        <w:rPr>
          <w:b/>
        </w:rPr>
        <w:t>rumus aditif (unity formula) wajib diberlakukan</w:t>
      </w:r>
      <w:r>
        <w:rPr/>
        <w:t>.</w:t>
      </w:r>
    </w:p>
    <w:p>
      <w:pPr>
        <w:pStyle w:val="Heading4"/>
      </w:pPr>
      <w:r>
        <w:t>Langkah 2: Substitusi Matematis ke Rumus Unity</w:t>
      </w:r>
    </w:p>
    <w:p>
      <w:pPr>
        <w:spacing w:after="60"/>
        <w:jc w:val="center"/>
      </w:pPr>
      <w:r>
        <w:rPr>
          <w:i/>
        </w:rPr>
        <w:t>Indeks Campuran = (C_(Aseton))/(NAB_(Aseton)) + (C_(Butil asetat))/(NAB_(Butil asetat)) + (C_(MEK))/(NAB_(MEK))</w:t>
      </w:r>
    </w:p>
    <w:p>
      <w:pPr>
        <w:spacing w:after="60"/>
        <w:jc w:val="center"/>
      </w:pPr>
      <w:r>
        <w:rPr>
          <w:i/>
        </w:rPr>
        <w:t>Indeks Campuran = (400)/(750) + (150)/(200) + (100)/(200)</w:t>
      </w:r>
    </w:p>
    <w:p>
      <w:pPr>
        <w:spacing w:after="60"/>
        <w:jc w:val="center"/>
      </w:pPr>
      <w:r>
        <w:rPr>
          <w:i/>
        </w:rPr>
        <w:t>Indeks Campuran = 0,533 + 0,750 + 0,500 = 1,783</w:t>
      </w:r>
    </w:p>
    <w:p>
      <w:pPr>
        <w:pStyle w:val="Heading4"/>
      </w:pPr>
      <w:r>
        <w:t>Langkah 3: Interpretasi Klinis, Higienis, dan Yuridis Okupasi</w:t>
      </w:r>
    </w:p>
    <w:p>
      <w:pPr>
        <w:spacing w:after="40"/>
        <w:ind w:left="340" w:hanging="283"/>
      </w:pPr>
      <w:r>
        <w:rPr/>
        <w:t xml:space="preserve">1. </w:t>
      </w:r>
      <w:r>
        <w:rPr>
          <w:b/>
        </w:rPr>
        <w:t>Evaluasi Terhadap Standar Ambang:</w:t>
      </w:r>
    </w:p>
    <w:p>
      <w:pPr>
        <w:pStyle w:val="ListBullet2"/>
        <w:spacing w:after="20"/>
      </w:pPr>
      <w:r>
        <w:rPr/>
        <w:t>Jika dinilai secara parsial per zat kimia, semua zat tampak "aman":</w:t>
      </w:r>
    </w:p>
    <w:p>
      <w:pPr>
        <w:pStyle w:val="ListBullet3"/>
        <w:spacing w:after="20"/>
      </w:pPr>
      <w:r>
        <w:rPr/>
        <w:t>Rasio Aseton = 400 / 750 = 0,533 (&lt; 1).</w:t>
      </w:r>
    </w:p>
    <w:p>
      <w:pPr>
        <w:pStyle w:val="ListBullet3"/>
        <w:spacing w:after="20"/>
      </w:pPr>
      <w:r>
        <w:rPr/>
        <w:t>Rasio Butil Asetat = 150 / 200 = 0,750 (&lt; 1).</w:t>
      </w:r>
    </w:p>
    <w:p>
      <w:pPr>
        <w:pStyle w:val="ListBullet3"/>
        <w:spacing w:after="20"/>
      </w:pPr>
      <w:r>
        <w:rPr/>
        <w:t>Rasio MEK = 100 / 200 = 0,500 (&lt; 1).</w:t>
      </w:r>
    </w:p>
    <w:p>
      <w:pPr>
        <w:pStyle w:val="ListBullet2"/>
        <w:spacing w:after="20"/>
      </w:pPr>
      <w:r>
        <w:rPr/>
        <w:t xml:space="preserve">Namun, nilai penjumlahan kumulatifnya adalah </w:t>
      </w:r>
      <w:r>
        <w:rPr>
          <w:b/>
        </w:rPr>
        <w:t>1,783</w:t>
      </w:r>
      <w:r>
        <w:rPr/>
        <w:t xml:space="preserve">, yang secara signifikan </w:t>
      </w:r>
      <w:r>
        <w:rPr>
          <w:b/>
        </w:rPr>
        <w:t>melebihi angka 1 (Unity)</w:t>
      </w:r>
      <w:r>
        <w:rPr/>
        <w:t>.</w:t>
      </w:r>
    </w:p>
    <w:p>
      <w:pPr>
        <w:spacing w:after="40"/>
        <w:ind w:left="340" w:hanging="283"/>
      </w:pPr>
      <w:r>
        <w:rPr/>
        <w:t xml:space="preserve">2. </w:t>
      </w:r>
      <w:r>
        <w:rPr>
          <w:b/>
        </w:rPr>
        <w:t>Kesimpulan Menurut ACGIH:</w:t>
      </w:r>
    </w:p>
    <w:p>
      <w:pPr>
        <w:spacing w:after="80"/>
      </w:pPr>
      <w:r>
        <w:rPr/>
        <w:t xml:space="preserve">Lingkungan kerja berada dalam kondisi </w:t>
      </w:r>
      <w:r>
        <w:rPr>
          <w:i/>
        </w:rPr>
        <w:t>overexposure</w:t>
      </w:r>
      <w:r>
        <w:rPr/>
        <w:t>; batas pajanan campuran telah terlampaui dan pekerja berisiko tinggi mengalami depresi SSP subklinis (penurunan konsentrasi, pusing, perlambatan waktu reaksi yang meningkatkan risiko kecelakaan kerja) serta iritasi saluran pernapasan.</w:t>
      </w:r>
    </w:p>
    <w:p>
      <w:pPr>
        <w:spacing w:after="40"/>
        <w:ind w:left="340" w:hanging="283"/>
      </w:pPr>
      <w:r>
        <w:rPr/>
        <w:t xml:space="preserve">3. </w:t>
      </w:r>
      <w:r>
        <w:rPr>
          <w:b/>
        </w:rPr>
        <w:t>Kesimpulan Menurut Permenaker No. 5 Tahun 2018:</w:t>
      </w:r>
    </w:p>
    <w:p>
      <w:pPr>
        <w:spacing w:after="80"/>
      </w:pPr>
      <w:r>
        <w:rPr/>
        <w:t xml:space="preserve">Berdasarkan Lampiran 3 Huruf C, karena total perbandingan melebihi 1, maka </w:t>
      </w:r>
      <w:r>
        <w:rPr>
          <w:b/>
        </w:rPr>
        <w:t>Nilai Ambang Batas Campuran dinyatakan DILAMPAUI</w:t>
      </w:r>
      <w:r>
        <w:rPr/>
        <w:t>. Kondisi ini merupakan pelanggaran terhadap Pasal 5 ayat (2) dan Pasal 7 ayat (1), sehingga Pengusaha/Pengurus wajib melakukan hierarki pengendalian teknik (perbaikan ventilasi pembuangan lokal/</w:t>
      </w:r>
      <w:r>
        <w:rPr>
          <w:i/>
        </w:rPr>
        <w:t>local exhaust ventilation</w:t>
      </w:r>
      <w:r>
        <w:rPr/>
        <w:t>) dan administratif agar indeks turun ke ≤ 1.</w:t>
      </w:r>
    </w:p>
    <w:p>
      <w:r>
        <w:rPr>
          <w:b/>
          <w:sz w:val="16"/>
        </w:rPr>
        <w:t>Sumber yang dirujuk NotebookLM:</w:t>
      </w:r>
    </w:p>
    <w:p>
      <w:pPr>
        <w:spacing w:after="0"/>
        <w:ind w:left="283"/>
      </w:pPr>
      <w:r>
        <w:rPr>
          <w:b/>
          <w:color w:val="595959"/>
          <w:sz w:val="16"/>
        </w:rPr>
        <w:t>Permenaker RI No. 5 Tahun 2018.</w:t>
      </w:r>
      <w:r>
        <w:rPr>
          <w:color w:val="595959"/>
          <w:sz w:val="16"/>
        </w:rPr>
        <w:t xml:space="preserve"> </w:t>
      </w:r>
      <w:r>
        <w:rPr>
          <w:i/>
          <w:color w:val="595959"/>
          <w:sz w:val="16"/>
        </w:rPr>
        <w:t>Keselamatan dan Kesehatan Kerja Lingkungan Kerja</w:t>
      </w:r>
      <w:r>
        <w:rPr>
          <w:color w:val="595959"/>
          <w:sz w:val="16"/>
        </w:rPr>
        <w:t xml:space="preserve"> — Lampiran 3: Bagian C (</w:t>
      </w:r>
      <w:r>
        <w:rPr>
          <w:i/>
          <w:color w:val="595959"/>
          <w:sz w:val="16"/>
        </w:rPr>
        <w:t>NAB Campuran, Rumus Efek Saling Menambah / Aditif, Rumus Berefek Sendiri-Sendiri / Independen, Contoh Perhitungan 1a dan 1c</w:t>
      </w:r>
      <w:r>
        <w:rPr>
          <w:color w:val="595959"/>
          <w:sz w:val="16"/>
        </w:rPr>
        <w:t>) serta Bagian B &amp; Kolom Keterangan.</w:t>
      </w:r>
    </w:p>
    <w:p>
      <w:pPr>
        <w:spacing w:after="0"/>
        <w:ind w:left="283"/>
      </w:pPr>
      <w:r>
        <w:rPr>
          <w:b/>
          <w:color w:val="595959"/>
          <w:sz w:val="16"/>
        </w:rPr>
        <w:t>ACGIH (2026/Current Editions).</w:t>
      </w:r>
      <w:r>
        <w:rPr>
          <w:color w:val="595959"/>
          <w:sz w:val="16"/>
        </w:rPr>
        <w:t xml:space="preserve"> </w:t>
      </w:r>
      <w:r>
        <w:rPr>
          <w:i/>
          <w:color w:val="595959"/>
          <w:sz w:val="16"/>
        </w:rPr>
        <w:t>TLVs® and BEIs®: Threshold Limit Values for Chemical Substances and Physical Agents</w:t>
      </w:r>
      <w:r>
        <w:rPr>
          <w:color w:val="595959"/>
          <w:sz w:val="16"/>
        </w:rPr>
        <w:t xml:space="preserve"> — </w:t>
      </w:r>
      <w:r>
        <w:rPr>
          <w:i/>
          <w:color w:val="595959"/>
          <w:sz w:val="16"/>
        </w:rPr>
        <w:t>Definitions and Notations</w:t>
      </w:r>
      <w:r>
        <w:rPr>
          <w:color w:val="595959"/>
          <w:sz w:val="16"/>
        </w:rPr>
        <w:t xml:space="preserve"> (TLV Basis); </w:t>
      </w:r>
      <w:r>
        <w:rPr>
          <w:i/>
          <w:color w:val="595959"/>
          <w:sz w:val="16"/>
        </w:rPr>
        <w:t>Appendix E: Threshold Limit Values for Mixtures</w:t>
      </w:r>
      <w:r>
        <w:rPr>
          <w:color w:val="595959"/>
          <w:sz w:val="16"/>
        </w:rPr>
        <w:t xml:space="preserve"> (Prinsip Additivity, Synergy, Antagonism, Formula Unity, Table E-1, Table E-2 Contoh Pelarut, Batasan Karsinogen dan RCP).</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8 &amp; Glosarium: Definisi Synergism, Potentiation, Antagonism, dan Induksi Enzim Biotransformasi.</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From Molecules to Man (Academic Press)</w:t>
      </w:r>
      <w:r>
        <w:rPr>
          <w:color w:val="595959"/>
          <w:sz w:val="16"/>
        </w:rPr>
        <w:t xml:space="preserve"> — Bab 1: </w:t>
      </w:r>
      <w:r>
        <w:rPr>
          <w:i/>
          <w:color w:val="595959"/>
          <w:sz w:val="16"/>
        </w:rPr>
        <w:t>Types of Chemical Interactions (Additivity, Antagonism, Synergism, Potentiation; Gambar 1.4; Kasus Isomalation-Malathion)</w:t>
      </w:r>
      <w:r>
        <w:rPr>
          <w:color w:val="595959"/>
          <w:sz w:val="16"/>
        </w:rPr>
        <w:t>.</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&amp; Bab 2: </w:t>
      </w:r>
      <w:r>
        <w:rPr>
          <w:i/>
          <w:color w:val="595959"/>
          <w:sz w:val="16"/>
        </w:rPr>
        <w:t>Interaksi Antartoksikan (Aditif, Sinergis CCl4 + Etanol, Potensiasi Isopropanol + CCl4)</w:t>
      </w:r>
      <w:r>
        <w:rPr>
          <w:color w:val="595959"/>
          <w:sz w:val="16"/>
        </w:rPr>
        <w:t>.</w:t>
      </w:r>
    </w:p>
    <w:p>
      <w:pPr>
        <w:pStyle w:val="Heading2"/>
      </w:pPr>
      <w:bookmarkStart w:id="106" w:name="toc_006"/>
      <w:r>
        <w:t>1.6 Biomarker</w:t>
      </w:r>
      <w:bookmarkEnd w:id="106"/>
    </w:p>
    <w:p>
      <w:pPr>
        <w:pStyle w:val="Heading3"/>
      </w:pPr>
      <w:r>
        <w:t>1. Klasifikasi Biomarker dalam Biomonitoring Okupasi</w:t>
      </w:r>
    </w:p>
    <w:p>
      <w:pPr>
        <w:spacing w:after="80"/>
      </w:pPr>
      <w:r>
        <w:rPr/>
        <w:t xml:space="preserve">Berdasarkan konsensus </w:t>
      </w:r>
      <w:r>
        <w:rPr>
          <w:i/>
        </w:rPr>
        <w:t>International Programme on Chemical Safety</w:t>
      </w:r>
      <w:r>
        <w:rPr/>
        <w:t xml:space="preserve"> (IPCS) dan </w:t>
      </w:r>
      <w:r>
        <w:rPr>
          <w:i/>
        </w:rPr>
        <w:t>National Research Council</w:t>
      </w:r>
      <w:r>
        <w:rPr/>
        <w:t xml:space="preserve"> (NRC), biomarker didefinisikan sebagai parameter terukur yang mencerminkan interaksi antara sistem biologis dengan potensi bahaya kimiawi, fisika, atau biologi. Dalam surveilans kedokteran okupasi, biomarker dibagi menjadi </w:t>
      </w:r>
      <w:r>
        <w:rPr>
          <w:b/>
        </w:rPr>
        <w:t>tiga kelompok fundamental</w:t>
      </w:r>
      <w:r>
        <w:rPr/>
        <w:t>:</w:t>
      </w:r>
    </w:p>
    <w:p>
      <w:pPr>
        <w:spacing w:after="120"/>
        <w:ind w:left="170"/>
      </w:pPr>
      <w:r>
        <w:rPr>
          <w:rFonts w:ascii="Consolas" w:hAnsi="Consolas" w:eastAsia="Consolas"/>
          <w:sz w:val="13"/>
        </w:rPr>
        <w:t xml:space="preserve">                                [ KONTINUUM BIOMARKER OKUPASI ]</w:t>
      </w:r>
      <w:r>
        <w:br/>
      </w:r>
      <w:r>
        <w:rPr>
          <w:rFonts w:ascii="Consolas" w:hAnsi="Consolas" w:eastAsia="Consolas"/>
          <w:sz w:val="13"/>
        </w:rPr>
      </w:r>
      <w:r>
        <w:br/>
      </w:r>
      <w:r>
        <w:rPr>
          <w:rFonts w:ascii="Consolas" w:hAnsi="Consolas" w:eastAsia="Consolas"/>
          <w:sz w:val="13"/>
        </w:rPr>
        <w:t xml:space="preserve">       Pajanan Eksternal ──► Dosis Internal ──► Dosis Efektif ──► Efek Dini/Subklinis ──► Penyakit Klinis</w:t>
      </w:r>
      <w:r>
        <w:br/>
      </w:r>
      <w:r>
        <w:rPr>
          <w:rFonts w:ascii="Consolas" w:hAnsi="Consolas" w:eastAsia="Consolas"/>
          <w:sz w:val="13"/>
        </w:rPr>
        <w:t xml:space="preserve">               │                    │                                   │                       │</w:t>
      </w:r>
      <w:r>
        <w:br/>
      </w:r>
      <w:r>
        <w:rPr>
          <w:rFonts w:ascii="Consolas" w:hAnsi="Consolas" w:eastAsia="Consolas"/>
          <w:sz w:val="13"/>
        </w:rPr>
        <w:t xml:space="preserve">               ▼                    ▼                                   ▼                       ▼</w:t>
      </w:r>
      <w:r>
        <w:br/>
      </w:r>
      <w:r>
        <w:rPr>
          <w:rFonts w:ascii="Consolas" w:hAnsi="Consolas" w:eastAsia="Consolas"/>
          <w:sz w:val="13"/>
        </w:rPr>
        <w:t xml:space="preserve">      [Higiene Industri]   [BIOMARKER EKSPOSUR]                 [BIOMARKER EFEK]       [Diagnosis Medis]</w:t>
      </w:r>
      <w:r>
        <w:br/>
      </w:r>
      <w:r>
        <w:rPr>
          <w:rFonts w:ascii="Consolas" w:hAnsi="Consolas" w:eastAsia="Consolas"/>
          <w:sz w:val="13"/>
        </w:rPr>
        <w:t xml:space="preserve">      (Ambient Sampling)   • Pb Darah (Pb-B)                    • ALAD &amp; ZPP (Pb)      • Saturnismus</w:t>
      </w:r>
      <w:r>
        <w:br/>
      </w:r>
      <w:r>
        <w:rPr>
          <w:rFonts w:ascii="Consolas" w:hAnsi="Consolas" w:eastAsia="Consolas"/>
          <w:sz w:val="13"/>
        </w:rPr>
        <w:t xml:space="preserve">                           • U-S-PMA (Benzena)                  • β2M &amp; NAG (Cd)       • Nefropati Cd</w:t>
      </w:r>
      <w:r>
        <w:br/>
      </w:r>
      <w:r>
        <w:rPr>
          <w:rFonts w:ascii="Consolas" w:hAnsi="Consolas" w:eastAsia="Consolas"/>
          <w:sz w:val="13"/>
        </w:rPr>
        <w:t xml:space="preserve">                           • U-Cd &amp; B-Cd                        • 8-OHdG &amp; MN (Cr VI)  • Leukemia / Kanker</w:t>
      </w:r>
      <w:r>
        <w:br/>
      </w:r>
      <w:r>
        <w:rPr>
          <w:rFonts w:ascii="Consolas" w:hAnsi="Consolas" w:eastAsia="Consolas"/>
          <w:sz w:val="13"/>
        </w:rPr>
        <w:t xml:space="preserve">                                    ▲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[BIOMARKER KERENTANAN]</w:t>
      </w:r>
      <w:r>
        <w:br/>
      </w:r>
      <w:r>
        <w:rPr>
          <w:rFonts w:ascii="Consolas" w:hAnsi="Consolas" w:eastAsia="Consolas"/>
          <w:sz w:val="13"/>
        </w:rPr>
        <w:t xml:space="preserve">                                        (Susceptibility Biomarkers)</w:t>
      </w:r>
      <w:r>
        <w:br/>
      </w:r>
      <w:r>
        <w:rPr>
          <w:rFonts w:ascii="Consolas" w:hAnsi="Consolas" w:eastAsia="Consolas"/>
          <w:sz w:val="13"/>
        </w:rPr>
        <w:t xml:space="preserve">                                        • Polimorfisme ALAD1/ALAD2</w:t>
      </w:r>
      <w:r>
        <w:br/>
      </w:r>
      <w:r>
        <w:rPr>
          <w:rFonts w:ascii="Consolas" w:hAnsi="Consolas" w:eastAsia="Consolas"/>
          <w:sz w:val="13"/>
        </w:rPr>
        <w:t xml:space="preserve">                                        • Gen GSTT1 / GSTM1 Null</w:t>
      </w:r>
      <w:r>
        <w:br/>
      </w:r>
      <w:r>
        <w:rPr>
          <w:rFonts w:ascii="Consolas" w:hAnsi="Consolas" w:eastAsia="Consolas"/>
          <w:sz w:val="13"/>
        </w:rPr>
        <w:t xml:space="preserve">                                        • Alel HLA-DPB1*0201 (Glu69)</w:t>
      </w:r>
    </w:p>
    <w:p>
      <w:pPr>
        <w:pStyle w:val="Heading4"/>
      </w:pPr>
      <w:r>
        <w:t>a. Biomarker Pajanan (Biomarkers of Exposure)</w:t>
      </w:r>
    </w:p>
    <w:p>
      <w:pPr>
        <w:pStyle w:val="ListBullet"/>
        <w:spacing w:after="20"/>
      </w:pPr>
      <w:r>
        <w:rPr>
          <w:b/>
        </w:rPr>
        <w:t>Definisi:</w:t>
      </w:r>
      <w:r>
        <w:rPr/>
        <w:t xml:space="preserve"> Pengukuran zat kimia induk (</w:t>
      </w:r>
      <w:r>
        <w:rPr>
          <w:i/>
        </w:rPr>
        <w:t>parent xenobiotic</w:t>
      </w:r>
      <w:r>
        <w:rPr/>
        <w:t xml:space="preserve">), metabolit spesifiknya, atau produk interaksi antara toksikan reaktif dengan makromolekul target (seperti aduk hemoglobin atau aduk albumin) dalam cairan atau jaringan biologis tubuh (darah, urin, feses, saliva, rambut, atau udara ekspirasi). Biomarker ini merefleksikan </w:t>
      </w:r>
      <w:r>
        <w:rPr>
          <w:b/>
        </w:rPr>
        <w:t>dosis internal (</w:t>
      </w:r>
      <w:r>
        <w:rPr>
          <w:b/>
          <w:i/>
        </w:rPr>
        <w:t>internal dose</w:t>
      </w:r>
      <w:r>
        <w:rPr>
          <w:b/>
        </w:rPr>
        <w:t>)</w:t>
      </w:r>
      <w:r>
        <w:rPr/>
        <w:t xml:space="preserve"> atau dosis efektif biologis (</w:t>
      </w:r>
      <w:r>
        <w:rPr>
          <w:i/>
        </w:rPr>
        <w:t>biologically effective dose</w:t>
      </w:r>
      <w:r>
        <w:rPr/>
        <w:t>).</w:t>
      </w:r>
    </w:p>
    <w:p>
      <w:pPr>
        <w:pStyle w:val="ListBullet"/>
        <w:spacing w:after="20"/>
      </w:pPr>
      <w:r>
        <w:rPr>
          <w:b/>
        </w:rPr>
        <w:t>Contoh Logam Berat:</w:t>
      </w:r>
    </w:p>
    <w:p>
      <w:pPr>
        <w:spacing w:after="40"/>
        <w:ind w:left="680" w:hanging="283"/>
      </w:pPr>
      <w:r>
        <w:rPr/>
        <w:t xml:space="preserve">1. </w:t>
      </w:r>
      <w:r>
        <w:rPr>
          <w:b/>
        </w:rPr>
        <w:t>Timbal (Pb):</w:t>
      </w:r>
      <w:r>
        <w:rPr/>
        <w:t xml:space="preserve"> </w:t>
      </w:r>
      <w:r>
        <w:rPr>
          <w:b/>
        </w:rPr>
        <w:t>Kadar Timbal Darah (</w:t>
      </w:r>
      <w:r>
        <w:rPr>
          <w:b/>
          <w:i/>
        </w:rPr>
        <w:t>Blood Lead Level</w:t>
      </w:r>
      <w:r>
        <w:rPr>
          <w:b/>
        </w:rPr>
        <w:t xml:space="preserve"> / Pb-B)</w:t>
      </w:r>
      <w:r>
        <w:rPr/>
        <w:t xml:space="preserve"> merupakan baku emas pajanan saat ini (</w:t>
      </w:r>
      <w:r>
        <w:rPr>
          <w:i/>
        </w:rPr>
        <w:t>recent exposure</w:t>
      </w:r>
      <w:r>
        <w:rPr/>
        <w:t xml:space="preserve">). Matriks lain mencakup Pb urin (terutama </w:t>
      </w:r>
      <w:r>
        <w:rPr>
          <w:i/>
        </w:rPr>
        <w:t>chelatable lead</w:t>
      </w:r>
      <w:r>
        <w:rPr/>
        <w:t xml:space="preserve"> pasca-provokasi kelasi) dan kadar timbal tulang melalui fluoresensi sinar-X (</w:t>
      </w:r>
      <w:r>
        <w:rPr>
          <w:i/>
        </w:rPr>
        <w:t>K-XRF</w:t>
      </w:r>
      <w:r>
        <w:rPr/>
        <w:t>) untuk beban tubuh kumulatif bertahun-tahun.</w:t>
      </w:r>
    </w:p>
    <w:p>
      <w:pPr>
        <w:spacing w:after="40"/>
        <w:ind w:left="680" w:hanging="283"/>
      </w:pPr>
      <w:r>
        <w:rPr/>
        <w:t xml:space="preserve">2. </w:t>
      </w:r>
      <w:r>
        <w:rPr>
          <w:b/>
        </w:rPr>
        <w:t>Kadmium (Cd):</w:t>
      </w:r>
      <w:r>
        <w:rPr/>
        <w:t xml:space="preserve"> </w:t>
      </w:r>
      <w:r>
        <w:rPr>
          <w:b/>
        </w:rPr>
        <w:t>Kadmium Darah (B-Cd)</w:t>
      </w:r>
      <w:r>
        <w:rPr/>
        <w:t xml:space="preserve"> sebagai indikator pajanan akut beberapa bulan terakhir, serta </w:t>
      </w:r>
      <w:r>
        <w:rPr>
          <w:b/>
        </w:rPr>
        <w:t>Kadmium Urin (U-Cd)</w:t>
      </w:r>
      <w:r>
        <w:rPr/>
        <w:t xml:space="preserve"> sebagai refleksi akumulasi beban tubuh total pada korteks ginjal selama bertahun-tahun (memiliki waktu paruh 10–30 tahun).</w:t>
      </w:r>
    </w:p>
    <w:p>
      <w:pPr>
        <w:spacing w:after="40"/>
        <w:ind w:left="680" w:hanging="283"/>
      </w:pPr>
      <w:r>
        <w:rPr/>
        <w:t xml:space="preserve">3. </w:t>
      </w:r>
      <w:r>
        <w:rPr>
          <w:b/>
        </w:rPr>
        <w:t>Kromium Heksavalen [Cr(VI)]:</w:t>
      </w:r>
      <w:r>
        <w:rPr/>
        <w:t xml:space="preserve"> </w:t>
      </w:r>
      <w:r>
        <w:rPr>
          <w:b/>
        </w:rPr>
        <w:t>Total Kromium Urin (Cr-U)</w:t>
      </w:r>
      <w:r>
        <w:rPr/>
        <w:t xml:space="preserve"> akhir shift pada akhir minggu kerja, Cr dalam sel darah merah (RBC), serta Cr dalam kondensat udara ekspirasi (</w:t>
      </w:r>
      <w:r>
        <w:rPr>
          <w:i/>
        </w:rPr>
        <w:t>Exhaled Breath Condensate</w:t>
      </w:r>
      <w:r>
        <w:rPr/>
        <w:t xml:space="preserve"> / EBC).</w:t>
      </w:r>
    </w:p>
    <w:p>
      <w:pPr>
        <w:pStyle w:val="ListBullet"/>
        <w:spacing w:after="20"/>
      </w:pPr>
      <w:r>
        <w:rPr>
          <w:b/>
        </w:rPr>
        <w:t>Contoh Pelarut Organik:</w:t>
      </w:r>
    </w:p>
    <w:p>
      <w:pPr>
        <w:spacing w:after="40"/>
        <w:ind w:left="680" w:hanging="283"/>
      </w:pPr>
      <w:r>
        <w:rPr/>
        <w:t xml:space="preserve">1. </w:t>
      </w:r>
      <w:r>
        <w:rPr>
          <w:b/>
        </w:rPr>
        <w:t>Benzena:</w:t>
      </w:r>
      <w:r>
        <w:rPr/>
        <w:t xml:space="preserve"> </w:t>
      </w:r>
      <w:r>
        <w:rPr>
          <w:b/>
        </w:rPr>
        <w:t>Asam S-fenilmerkapturat urin (</w:t>
      </w:r>
      <w:r>
        <w:rPr>
          <w:b/>
          <w:i/>
        </w:rPr>
        <w:t>S-phenylmercapturic acid</w:t>
      </w:r>
      <w:r>
        <w:rPr>
          <w:b/>
        </w:rPr>
        <w:t xml:space="preserve"> / U-S-PMA)</w:t>
      </w:r>
      <w:r>
        <w:rPr/>
        <w:t xml:space="preserve"> dan </w:t>
      </w:r>
      <w:r>
        <w:rPr>
          <w:b/>
        </w:rPr>
        <w:t>asam trans,trans-mukonat urin (</w:t>
      </w:r>
      <w:r>
        <w:rPr>
          <w:b/>
          <w:i/>
        </w:rPr>
        <w:t>trans,trans-muconic acid</w:t>
      </w:r>
      <w:r>
        <w:rPr>
          <w:b/>
        </w:rPr>
        <w:t xml:space="preserve"> / U-t,t-MA)</w:t>
      </w:r>
      <w:r>
        <w:rPr/>
        <w:t xml:space="preserve"> yang dikoleksi pada akhir shift kerja, serta benzena utuh dalam urin atau udara ekspirasi.</w:t>
      </w:r>
    </w:p>
    <w:p>
      <w:pPr>
        <w:spacing w:after="40"/>
        <w:ind w:left="680" w:hanging="283"/>
      </w:pPr>
      <w:r>
        <w:rPr/>
        <w:t xml:space="preserve">2. </w:t>
      </w:r>
      <w:r>
        <w:rPr>
          <w:b/>
        </w:rPr>
        <w:t>Toluena:</w:t>
      </w:r>
      <w:r>
        <w:rPr/>
        <w:t xml:space="preserve"> </w:t>
      </w:r>
      <w:r>
        <w:rPr>
          <w:b/>
        </w:rPr>
        <w:t>Asam hipurat urin (</w:t>
      </w:r>
      <w:r>
        <w:rPr>
          <w:b/>
          <w:i/>
        </w:rPr>
        <w:t>hippuric acid</w:t>
      </w:r>
      <w:r>
        <w:rPr>
          <w:b/>
        </w:rPr>
        <w:t>)</w:t>
      </w:r>
      <w:r>
        <w:rPr/>
        <w:t xml:space="preserve"> dan </w:t>
      </w:r>
      <w:r>
        <w:rPr>
          <w:b/>
        </w:rPr>
        <w:t>o-kresol urin</w:t>
      </w:r>
      <w:r>
        <w:rPr/>
        <w:t xml:space="preserve"> pada akhir shift kerja, atau toluena dalam darah sebelum shift terakhir minggu kerja.</w:t>
      </w:r>
    </w:p>
    <w:p>
      <w:pPr>
        <w:pStyle w:val="Heading4"/>
      </w:pPr>
      <w:r>
        <w:t>b. Biomarker Efek (Biomarkers of Effect)</w:t>
      </w:r>
    </w:p>
    <w:p>
      <w:pPr>
        <w:pStyle w:val="ListBullet"/>
        <w:spacing w:after="20"/>
      </w:pPr>
      <w:r>
        <w:rPr>
          <w:b/>
        </w:rPr>
        <w:t>Definisi:</w:t>
      </w:r>
      <w:r>
        <w:rPr/>
        <w:t xml:space="preserve"> Perubahan biokimiawi, fisiologis, sitogenetik, atau fungsional yang terukur di dalam tubuh pekerja yang berhubungan dengan gangguan kesehatan atau perkembangan penyakit okupasi. Biomarker efek penting untuk mengidentifikasi </w:t>
      </w:r>
      <w:r>
        <w:rPr>
          <w:b/>
        </w:rPr>
        <w:t>lesi praklinis reversibel (</w:t>
      </w:r>
      <w:r>
        <w:rPr>
          <w:b/>
          <w:i/>
        </w:rPr>
        <w:t>early subclinical reversible changes</w:t>
      </w:r>
      <w:r>
        <w:rPr>
          <w:b/>
        </w:rPr>
        <w:t>)</w:t>
      </w:r>
      <w:r>
        <w:rPr/>
        <w:t xml:space="preserve"> sebelum timbul disfungsi organ yang permanen.</w:t>
      </w:r>
    </w:p>
    <w:p>
      <w:pPr>
        <w:pStyle w:val="ListBullet"/>
        <w:spacing w:after="20"/>
      </w:pPr>
      <w:r>
        <w:rPr>
          <w:b/>
        </w:rPr>
        <w:t>Contoh Logam Berat:</w:t>
      </w:r>
    </w:p>
    <w:p>
      <w:pPr>
        <w:spacing w:after="40"/>
        <w:ind w:left="680" w:hanging="283"/>
      </w:pPr>
      <w:r>
        <w:rPr/>
        <w:t xml:space="preserve">1. </w:t>
      </w:r>
      <w:r>
        <w:rPr>
          <w:b/>
        </w:rPr>
        <w:t>Timbal (Pb):</w:t>
      </w:r>
    </w:p>
    <w:p>
      <w:pPr>
        <w:pStyle w:val="ListBullet3"/>
        <w:spacing w:after="20"/>
      </w:pPr>
      <w:r>
        <w:rPr/>
        <w:t xml:space="preserve">Penurunan aktivitas enzim eritrosit </w:t>
      </w:r>
      <w:r>
        <w:rPr>
          <w:b/>
          <w:i/>
        </w:rPr>
        <w:t>delta-aminolevulinic acid dehydratase</w:t>
      </w:r>
      <w:r>
        <w:rPr>
          <w:b/>
        </w:rPr>
        <w:t xml:space="preserve"> (ALAD)</w:t>
      </w:r>
      <w:r>
        <w:rPr/>
        <w:t xml:space="preserve"> akibat pengikatan langsung timbal pada gugus sulfhidril.</w:t>
      </w:r>
    </w:p>
    <w:p>
      <w:pPr>
        <w:pStyle w:val="ListBullet3"/>
        <w:spacing w:after="20"/>
      </w:pPr>
      <w:r>
        <w:rPr/>
        <w:t xml:space="preserve">Peningkatan konsentrasi prekursor heme: </w:t>
      </w:r>
      <w:r>
        <w:rPr>
          <w:b/>
        </w:rPr>
        <w:t>Asam delta-aminolevulinat plasma dan urin (ALA-P / ALA-U)</w:t>
      </w:r>
      <w:r>
        <w:rPr/>
        <w:t>.</w:t>
      </w:r>
    </w:p>
    <w:p>
      <w:pPr>
        <w:pStyle w:val="ListBullet3"/>
        <w:spacing w:after="20"/>
      </w:pPr>
      <w:r>
        <w:rPr/>
        <w:t xml:space="preserve">Akumulasi </w:t>
      </w:r>
      <w:r>
        <w:rPr>
          <w:b/>
          <w:i/>
        </w:rPr>
        <w:t>Zinc Protoporphyrin</w:t>
      </w:r>
      <w:r>
        <w:rPr>
          <w:b/>
        </w:rPr>
        <w:t xml:space="preserve"> (ZPP)</w:t>
      </w:r>
      <w:r>
        <w:rPr/>
        <w:t xml:space="preserve"> atau </w:t>
      </w:r>
      <w:r>
        <w:rPr>
          <w:i/>
        </w:rPr>
        <w:t>Free Erythrocyte Protoporphyrin</w:t>
      </w:r>
      <w:r>
        <w:rPr/>
        <w:t xml:space="preserve"> (FEP) di eritrosit akibat inhibisi enzim ferokelatase, di mana seng (Zn) menggantikan besi (Fe) pada cincin protoporfirin.</w:t>
      </w:r>
    </w:p>
    <w:p>
      <w:pPr>
        <w:spacing w:after="40"/>
        <w:ind w:left="680" w:hanging="283"/>
      </w:pPr>
      <w:r>
        <w:rPr/>
        <w:t xml:space="preserve">2. </w:t>
      </w:r>
      <w:r>
        <w:rPr>
          <w:b/>
        </w:rPr>
        <w:t>Kadmium (Cd):</w:t>
      </w:r>
      <w:r>
        <w:rPr/>
        <w:t xml:space="preserve"> Disfungsi tubulus proksimal ginjal bermanifestasi sebagai proteinuria berat molekul rendah (</w:t>
      </w:r>
      <w:r>
        <w:rPr>
          <w:i/>
        </w:rPr>
        <w:t>Low Molecular Weight / LMW proteinuria</w:t>
      </w:r>
      <w:r>
        <w:rPr/>
        <w:t xml:space="preserve">), yang dideteksi melalui peningkatan ekskresi urin </w:t>
      </w:r>
      <w:r>
        <w:rPr>
          <w:b/>
        </w:rPr>
        <w:t>β₂-mikroglobulin (β₂M)</w:t>
      </w:r>
      <w:r>
        <w:rPr/>
        <w:t xml:space="preserve">, </w:t>
      </w:r>
      <w:r>
        <w:rPr>
          <w:b/>
          <w:i/>
        </w:rPr>
        <w:t>Retinol-Binding Protein</w:t>
      </w:r>
      <w:r>
        <w:rPr>
          <w:b/>
        </w:rPr>
        <w:t xml:space="preserve"> (RBP)</w:t>
      </w:r>
      <w:r>
        <w:rPr/>
        <w:t xml:space="preserve">, serta enzim lisosom tubulus </w:t>
      </w:r>
      <w:r>
        <w:rPr>
          <w:b/>
          <w:i/>
        </w:rPr>
        <w:t>N-acetyl-β-D-glucosaminidase</w:t>
      </w:r>
      <w:r>
        <w:rPr>
          <w:b/>
        </w:rPr>
        <w:t xml:space="preserve"> (NAG)</w:t>
      </w:r>
      <w:r>
        <w:rPr/>
        <w:t>.</w:t>
      </w:r>
    </w:p>
    <w:p>
      <w:pPr>
        <w:spacing w:after="40"/>
        <w:ind w:left="680" w:hanging="283"/>
      </w:pPr>
      <w:r>
        <w:rPr/>
        <w:t xml:space="preserve">3. </w:t>
      </w:r>
      <w:r>
        <w:rPr>
          <w:b/>
        </w:rPr>
        <w:t>Kromium Heksavalen [Cr(VI)]:</w:t>
      </w:r>
      <w:r>
        <w:rPr/>
        <w:t xml:space="preserve"> Peningkatan penanda stres oksidatif sistemik seperti </w:t>
      </w:r>
      <w:r>
        <w:rPr>
          <w:b/>
        </w:rPr>
        <w:t>8-hidroksi-2'-deoksiguanosin (8-OHdG)</w:t>
      </w:r>
      <w:r>
        <w:rPr/>
        <w:t xml:space="preserve"> dan </w:t>
      </w:r>
      <w:r>
        <w:rPr>
          <w:b/>
        </w:rPr>
        <w:t>malondialdehida (MDA)</w:t>
      </w:r>
      <w:r>
        <w:rPr/>
        <w:t xml:space="preserve">, deplesi glutation (GSH), serta peningkatan frekuensi </w:t>
      </w:r>
      <w:r>
        <w:rPr>
          <w:b/>
        </w:rPr>
        <w:t>mikronukleus (MN)</w:t>
      </w:r>
      <w:r>
        <w:rPr/>
        <w:t xml:space="preserve"> dan aberasi kromosom pada limfosit darah perifer atau sel epitel bukal.</w:t>
      </w:r>
    </w:p>
    <w:p>
      <w:pPr>
        <w:pStyle w:val="ListBullet"/>
        <w:spacing w:after="20"/>
      </w:pPr>
      <w:r>
        <w:rPr>
          <w:b/>
        </w:rPr>
        <w:t>Contoh Pelarut Organik:</w:t>
      </w:r>
    </w:p>
    <w:p>
      <w:pPr>
        <w:spacing w:after="40"/>
        <w:ind w:left="680" w:hanging="283"/>
      </w:pPr>
      <w:r>
        <w:rPr/>
        <w:t xml:space="preserve">1. </w:t>
      </w:r>
      <w:r>
        <w:rPr>
          <w:b/>
        </w:rPr>
        <w:t>Benzena:</w:t>
      </w:r>
      <w:r>
        <w:rPr/>
        <w:t xml:space="preserve"> Kerusakan sitogenetik (induksi aberasi kromosom dan mikronukleus pada sel punca sumsum tulang/limfosit perifer), perubahan status metilasi DNA (5-metilsitosin), hingga penurunan jumlah sel darah tepi perifer (limfositopenia subklinis).</w:t>
      </w:r>
    </w:p>
    <w:p>
      <w:pPr>
        <w:spacing w:after="40"/>
        <w:ind w:left="680" w:hanging="283"/>
      </w:pPr>
      <w:r>
        <w:rPr/>
        <w:t xml:space="preserve">2. </w:t>
      </w:r>
      <w:r>
        <w:rPr>
          <w:b/>
        </w:rPr>
        <w:t>Karbon Tetraklorida (CCl₄) / Kloroform:</w:t>
      </w:r>
      <w:r>
        <w:rPr/>
        <w:t xml:space="preserve"> Pelepasan enzim transaminase hepar ke sirkulasi darah (peningkatan </w:t>
      </w:r>
      <w:r>
        <w:rPr>
          <w:b/>
        </w:rPr>
        <w:t>SGOT/AST</w:t>
      </w:r>
      <w:r>
        <w:rPr/>
        <w:t xml:space="preserve"> dan </w:t>
      </w:r>
      <w:r>
        <w:rPr>
          <w:b/>
        </w:rPr>
        <w:t>SGPT/ALT</w:t>
      </w:r>
      <w:r>
        <w:rPr/>
        <w:t>) akibat peroksidasi lipid dan nekrosis hepatoseluler sentrilobular.</w:t>
      </w:r>
    </w:p>
    <w:p>
      <w:pPr>
        <w:spacing w:after="40"/>
        <w:ind w:left="680" w:hanging="283"/>
      </w:pPr>
      <w:r>
        <w:rPr/>
        <w:t xml:space="preserve">3. </w:t>
      </w:r>
      <w:r>
        <w:rPr>
          <w:i/>
        </w:rPr>
        <w:t>Efek Spesifik Agen Penghambat Esterase (Insektisida):</w:t>
      </w:r>
      <w:r>
        <w:rPr/>
        <w:t xml:space="preserve"> Penurunan aktivitas enzim </w:t>
      </w:r>
      <w:r>
        <w:rPr>
          <w:b/>
        </w:rPr>
        <w:t>asetilkolinesterase eritrosit (AChE)</w:t>
      </w:r>
      <w:r>
        <w:rPr/>
        <w:t xml:space="preserve"> dan kolinesterase plasma/serum.</w:t>
      </w:r>
    </w:p>
    <w:p>
      <w:pPr>
        <w:pStyle w:val="Heading4"/>
      </w:pPr>
      <w:r>
        <w:t>c. Biomarker Kerentanan (Biomarkers of Susceptibility)</w:t>
      </w:r>
    </w:p>
    <w:p>
      <w:pPr>
        <w:pStyle w:val="ListBullet"/>
        <w:spacing w:after="20"/>
      </w:pPr>
      <w:r>
        <w:rPr>
          <w:b/>
        </w:rPr>
        <w:t>Definisi:</w:t>
      </w:r>
      <w:r>
        <w:rPr/>
        <w:t xml:space="preserve"> Indikator kapasitas bawaan (</w:t>
      </w:r>
      <w:r>
        <w:rPr>
          <w:i/>
        </w:rPr>
        <w:t>inherent/genetic</w:t>
      </w:r>
      <w:r>
        <w:rPr/>
        <w:t>) atau faktor didapat (</w:t>
      </w:r>
      <w:r>
        <w:rPr>
          <w:i/>
        </w:rPr>
        <w:t>acquired</w:t>
      </w:r>
      <w:r>
        <w:rPr/>
        <w:t>) dari tubuh pekerja yang menyebabkan individu tersebut memiliki respons biologis atau toksikokinetik yang berbeda secara signifikan terhadap pajanan xenobiotik dibandingkan populasi umum pada dosis eksternal yang setara. Faktor ini menggeser kurva dosis-respons ke arah kiri (populasi lebih sensitif).</w:t>
      </w:r>
    </w:p>
    <w:p>
      <w:pPr>
        <w:pStyle w:val="ListBullet"/>
        <w:spacing w:after="20"/>
      </w:pPr>
      <w:r>
        <w:rPr>
          <w:b/>
        </w:rPr>
        <w:t>Contoh Logam Berat:</w:t>
      </w:r>
    </w:p>
    <w:p>
      <w:pPr>
        <w:spacing w:after="40"/>
        <w:ind w:left="680" w:hanging="283"/>
      </w:pPr>
      <w:r>
        <w:rPr/>
        <w:t xml:space="preserve">1. </w:t>
      </w:r>
      <w:r>
        <w:rPr>
          <w:b/>
        </w:rPr>
        <w:t>Timbal (Pb):</w:t>
      </w:r>
      <w:r>
        <w:rPr/>
        <w:t xml:space="preserve"> </w:t>
      </w:r>
      <w:r>
        <w:rPr>
          <w:b/>
        </w:rPr>
        <w:t>Polimorfisme gen ALAD</w:t>
      </w:r>
      <w:r>
        <w:rPr/>
        <w:t xml:space="preserve"> (alel ALAD1 dan ALAD2 pada kromosom 9q34). Protein ALAD2 mengikat timbal lebih kuat daripada ALAD1, sehingga karier ALAD2 memperlihatkan kadar Pb-B lebih tinggi; sebaliknya, </w:t>
      </w:r>
      <w:r>
        <w:rPr>
          <w:b/>
        </w:rPr>
        <w:t>homozigot ALAD1 lebih rentan mengalami gangguan biosintesis heme</w:t>
      </w:r>
      <w:r>
        <w:rPr/>
        <w:t xml:space="preserve"> (menunjukkan kadar ZPP dan ALA-P yang lebih tinggi pada tingkat pajanan yang sama). Selain itu, varian gen reseptor vitamin D (</w:t>
      </w:r>
      <w:r>
        <w:rPr>
          <w:b/>
        </w:rPr>
        <w:t>VDR</w:t>
      </w:r>
      <w:r>
        <w:rPr/>
        <w:t>) mempengaruhi dinamika retensi dan pelepasan timbal dari tulang.</w:t>
      </w:r>
    </w:p>
    <w:p>
      <w:pPr>
        <w:spacing w:after="40"/>
        <w:ind w:left="680" w:hanging="283"/>
      </w:pPr>
      <w:r>
        <w:rPr/>
        <w:t xml:space="preserve">2. </w:t>
      </w:r>
      <w:r>
        <w:rPr>
          <w:b/>
        </w:rPr>
        <w:t>Berilium (Be):</w:t>
      </w:r>
      <w:r>
        <w:rPr/>
        <w:t xml:space="preserve"> Polimorfisme molekul </w:t>
      </w:r>
      <w:r>
        <w:rPr>
          <w:i/>
        </w:rPr>
        <w:t>Human Leukocyte Antigen</w:t>
      </w:r>
      <w:r>
        <w:rPr/>
        <w:t xml:space="preserve"> (HLA) kelas II, spesifiknya varian </w:t>
      </w:r>
      <w:r>
        <w:rPr>
          <w:b/>
        </w:rPr>
        <w:t>HLA-DPB1*0201 dengan substitusi asam glutamat pada posisi kodon 69 (Glu69)</w:t>
      </w:r>
      <w:r>
        <w:rPr/>
        <w:t>. Pekerja pembawa varian genetik ini memiliki risiko hipersensitivitas imunologis yang sangat tinggi untuk mengalami penyakit granulomatosa paru menahun beriliosis (</w:t>
      </w:r>
      <w:r>
        <w:rPr>
          <w:i/>
        </w:rPr>
        <w:t>Chronic Beryllium Disease</w:t>
      </w:r>
      <w:r>
        <w:rPr/>
        <w:t xml:space="preserve"> / CBD).</w:t>
      </w:r>
    </w:p>
    <w:p>
      <w:pPr>
        <w:pStyle w:val="ListBullet"/>
        <w:spacing w:after="20"/>
      </w:pPr>
      <w:r>
        <w:rPr>
          <w:b/>
        </w:rPr>
        <w:t>Contoh Pelarut Organik:</w:t>
      </w:r>
    </w:p>
    <w:p>
      <w:pPr>
        <w:spacing w:after="40"/>
        <w:ind w:left="680" w:hanging="283"/>
      </w:pPr>
      <w:r>
        <w:rPr/>
        <w:t xml:space="preserve">1. </w:t>
      </w:r>
      <w:r>
        <w:rPr>
          <w:b/>
        </w:rPr>
        <w:t>Benzena:</w:t>
      </w:r>
      <w:r>
        <w:rPr/>
        <w:t xml:space="preserve"> Polimorfisme enzim antioksidan dan detoksifikasi Fase II, khususnya </w:t>
      </w:r>
      <w:r>
        <w:rPr>
          <w:b/>
        </w:rPr>
        <w:t xml:space="preserve">penghapusan gen </w:t>
      </w:r>
      <w:r>
        <w:rPr>
          <w:b/>
          <w:i/>
        </w:rPr>
        <w:t>Glutathione S-Transferase Theta 1</w:t>
      </w:r>
      <w:r>
        <w:rPr>
          <w:b/>
        </w:rPr>
        <w:t xml:space="preserve"> (GSTT1-null) dan </w:t>
      </w:r>
      <w:r>
        <w:rPr>
          <w:b/>
          <w:i/>
        </w:rPr>
        <w:t>Mu 1</w:t>
      </w:r>
      <w:r>
        <w:rPr>
          <w:b/>
        </w:rPr>
        <w:t xml:space="preserve"> (GSTM1-null)</w:t>
      </w:r>
      <w:r>
        <w:rPr/>
        <w:t xml:space="preserve">. Individu dengan fenotipe </w:t>
      </w:r>
      <w:r>
        <w:rPr>
          <w:i/>
        </w:rPr>
        <w:t>GSTT1-null</w:t>
      </w:r>
      <w:r>
        <w:rPr/>
        <w:t xml:space="preserve"> (mencakup 20–50% populasi) memiliki kapasitas konjugasi glutation yang cacat, sehingga pembentukan biomarker S-PMA menurun dan metabolit reaktif kuinon menumpuk, melipatgandakan risiko sitopenia dan sindrom mielodisplastik. Selain itu, variabilitas genetik enzim bioaktivasi Fase I </w:t>
      </w:r>
      <w:r>
        <w:rPr>
          <w:b/>
        </w:rPr>
        <w:t>CYP2E1</w:t>
      </w:r>
      <w:r>
        <w:rPr/>
        <w:t xml:space="preserve"> mempercepat pembentukan metabolit toksik benzena oksida.</w:t>
      </w:r>
    </w:p>
    <w:p>
      <w:pPr>
        <w:spacing w:after="40"/>
        <w:ind w:left="680" w:hanging="283"/>
      </w:pPr>
      <w:r>
        <w:rPr/>
        <w:t xml:space="preserve">2. </w:t>
      </w:r>
      <w:r>
        <w:rPr>
          <w:b/>
        </w:rPr>
        <w:t>Amina Aromatik Pelarut/Zat Warna:</w:t>
      </w:r>
      <w:r>
        <w:rPr/>
        <w:t xml:space="preserve"> Polimorfisme gen </w:t>
      </w:r>
      <w:r>
        <w:rPr>
          <w:b/>
        </w:rPr>
        <w:t>N-asetiltransferase 2 (NAT2)</w:t>
      </w:r>
      <w:r>
        <w:rPr/>
        <w:t xml:space="preserve">; individu dengan fenotipe </w:t>
      </w:r>
      <w:r>
        <w:rPr>
          <w:b/>
        </w:rPr>
        <w:t>*slow acetylator</w:t>
      </w:r>
      <w:r>
        <w:rPr/>
        <w:t>* tidak mampu mengeliminasi amina aromatik secara cepat melalui asetilasi hepar, mengarah pada bioaktivasi metabolit hidroksilamin yang menginduksi karsinoma kandung kemih.</w:t>
      </w:r>
    </w:p>
    <w:p>
      <w:pPr>
        <w:pStyle w:val="Heading3"/>
      </w:pPr>
      <w:r>
        <w:t>2. Konsep Sensitivitas vs. Spesifisitas Biomarker Okupasi</w:t>
      </w:r>
    </w:p>
    <w:p>
      <w:pPr>
        <w:spacing w:after="80"/>
      </w:pPr>
      <w:r>
        <w:rPr/>
        <w:t>Dalam mengevaluasi hasil surveilans laboratorium pekerja, Anda wajib membedakan dua pilar validitas diagnostik ini:</w:t>
      </w:r>
    </w:p>
    <w:tbl>
      <w:tblPr>
        <w:tblStyle w:val="TableGrid"/>
        <w:tblW w:type="auto" w:w="0"/>
        <w:tblLook w:firstColumn="1" w:firstRow="1" w:lastColumn="0" w:lastRow="0" w:noHBand="0" w:noVBand="1" w:val="04A0"/>
      </w:tblPr>
      <w:tblGrid>
        <w:gridCol w:w="3175"/>
        <w:gridCol w:w="3175"/>
        <w:gridCol w:w="3175"/>
      </w:tblGrid>
      <w:tr>
        <w:tc>
          <w:tcPr>
            <w:tcW w:type="dxa" w:w="3175"/>
            <w:shd w:val="clear" w:color="auto" w:fill="DCE6F1"/>
          </w:tcPr>
          <w:p>
            <w:pPr>
              <w:spacing w:after="0"/>
            </w:pPr>
            <w:r/>
            <w:r>
              <w:rPr>
                <w:b/>
                <w:sz w:val="18"/>
              </w:rPr>
              <w:t>Parameter Evaluasi</w:t>
            </w:r>
          </w:p>
        </w:tc>
        <w:tc>
          <w:tcPr>
            <w:tcW w:type="dxa" w:w="3175"/>
            <w:shd w:val="clear" w:color="auto" w:fill="DCE6F1"/>
          </w:tcPr>
          <w:p>
            <w:pPr>
              <w:spacing w:after="0"/>
            </w:pPr>
            <w:r/>
            <w:r>
              <w:rPr>
                <w:b/>
                <w:sz w:val="18"/>
              </w:rPr>
              <w:t>Sensitivitas Biomarker</w:t>
            </w:r>
          </w:p>
        </w:tc>
        <w:tc>
          <w:tcPr>
            <w:tcW w:type="dxa" w:w="3175"/>
            <w:shd w:val="clear" w:color="auto" w:fill="DCE6F1"/>
          </w:tcPr>
          <w:p>
            <w:pPr>
              <w:spacing w:after="0"/>
            </w:pPr>
            <w:r/>
            <w:r>
              <w:rPr>
                <w:b/>
                <w:sz w:val="18"/>
              </w:rPr>
              <w:t>Spesifisitas Biomarker</w:t>
            </w:r>
          </w:p>
        </w:tc>
      </w:tr>
      <w:tr>
        <w:tc>
          <w:tcPr>
            <w:tcW w:type="dxa" w:w="3175"/>
          </w:tcPr>
          <w:p>
            <w:pPr>
              <w:spacing w:after="0"/>
            </w:pPr>
            <w:r/>
            <w:r>
              <w:rPr>
                <w:b/>
                <w:sz w:val="18"/>
              </w:rPr>
              <w:t>Definisi Konseptual</w:t>
            </w:r>
          </w:p>
        </w:tc>
        <w:tc>
          <w:tcPr>
            <w:tcW w:type="dxa" w:w="3175"/>
          </w:tcPr>
          <w:p>
            <w:pPr>
              <w:spacing w:after="0"/>
            </w:pPr>
            <w:r/>
            <w:r>
              <w:rPr>
                <w:sz w:val="18"/>
              </w:rPr>
              <w:t xml:space="preserve">Kemampuan biomarker untuk mendeteksi pajanan atau efek biologis pada konsentrasi serendah mungkin tanpa menghasilkan </w:t>
            </w:r>
            <w:r>
              <w:rPr>
                <w:b/>
                <w:sz w:val="18"/>
              </w:rPr>
              <w:t>negatif palsu (</w:t>
            </w:r>
            <w:r>
              <w:rPr>
                <w:b/>
                <w:i/>
                <w:sz w:val="18"/>
              </w:rPr>
              <w:t>false negatives</w:t>
            </w:r>
            <w:r>
              <w:rPr>
                <w:b/>
                <w:sz w:val="18"/>
              </w:rPr>
              <w:t>)</w:t>
            </w:r>
            <w:r>
              <w:rPr>
                <w:sz w:val="18"/>
              </w:rPr>
              <w:t>.</w:t>
            </w:r>
          </w:p>
        </w:tc>
        <w:tc>
          <w:tcPr>
            <w:tcW w:type="dxa" w:w="3175"/>
          </w:tcPr>
          <w:p>
            <w:pPr>
              <w:spacing w:after="0"/>
            </w:pPr>
            <w:r/>
            <w:r>
              <w:rPr>
                <w:sz w:val="18"/>
              </w:rPr>
              <w:t xml:space="preserve">Kemampuan biomarker untuk mencerminkan pajanan atau efek zat kimia tertentu secara eksklusif tanpa terdistorsi oleh faktor lain, menghasilkan sedikit </w:t>
            </w:r>
            <w:r>
              <w:rPr>
                <w:b/>
                <w:sz w:val="18"/>
              </w:rPr>
              <w:t>positif palsu (</w:t>
            </w:r>
            <w:r>
              <w:rPr>
                <w:b/>
                <w:i/>
                <w:sz w:val="18"/>
              </w:rPr>
              <w:t>false positives</w:t>
            </w:r>
            <w:r>
              <w:rPr>
                <w:b/>
                <w:sz w:val="18"/>
              </w:rPr>
              <w:t>)</w:t>
            </w:r>
            <w:r>
              <w:rPr>
                <w:sz w:val="18"/>
              </w:rPr>
              <w:t>.</w:t>
            </w:r>
          </w:p>
        </w:tc>
      </w:tr>
      <w:tr>
        <w:tc>
          <w:tcPr>
            <w:tcW w:type="dxa" w:w="3175"/>
          </w:tcPr>
          <w:p>
            <w:pPr>
              <w:spacing w:after="0"/>
            </w:pPr>
            <w:r/>
            <w:r>
              <w:rPr>
                <w:b/>
                <w:sz w:val="18"/>
              </w:rPr>
              <w:t>Batas Analitis</w:t>
            </w:r>
          </w:p>
        </w:tc>
        <w:tc>
          <w:tcPr>
            <w:tcW w:type="dxa" w:w="3175"/>
          </w:tcPr>
          <w:p>
            <w:pPr>
              <w:spacing w:after="0"/>
            </w:pPr>
            <w:r/>
            <w:r>
              <w:rPr>
                <w:sz w:val="18"/>
              </w:rPr>
              <w:t>Ditentukan oleh sensitivitas instrumen uji dan batas deteksi (</w:t>
            </w:r>
            <w:r>
              <w:rPr>
                <w:i/>
                <w:sz w:val="18"/>
              </w:rPr>
              <w:t>Limit of Detection</w:t>
            </w:r>
            <w:r>
              <w:rPr>
                <w:sz w:val="18"/>
              </w:rPr>
              <w:t xml:space="preserve"> / LOD).</w:t>
            </w:r>
          </w:p>
        </w:tc>
        <w:tc>
          <w:tcPr>
            <w:tcW w:type="dxa" w:w="3175"/>
          </w:tcPr>
          <w:p>
            <w:pPr>
              <w:spacing w:after="0"/>
            </w:pPr>
            <w:r/>
            <w:r>
              <w:rPr>
                <w:sz w:val="18"/>
              </w:rPr>
              <w:t>Ditentukan oleh selektivitas kimiawi dan ketiadaan interferensi silang antar-molekul.</w:t>
            </w:r>
          </w:p>
        </w:tc>
      </w:tr>
      <w:tr>
        <w:tc>
          <w:tcPr>
            <w:tcW w:type="dxa" w:w="3175"/>
          </w:tcPr>
          <w:p>
            <w:pPr>
              <w:spacing w:after="0"/>
            </w:pPr>
            <w:r/>
            <w:r>
              <w:rPr>
                <w:b/>
                <w:sz w:val="18"/>
              </w:rPr>
              <w:t>Dilema pada Biomarker Efek</w:t>
            </w:r>
          </w:p>
        </w:tc>
        <w:tc>
          <w:tcPr>
            <w:tcW w:type="dxa" w:w="3175"/>
          </w:tcPr>
          <w:p>
            <w:pPr>
              <w:spacing w:after="0"/>
            </w:pPr>
            <w:r/>
            <w:r>
              <w:rPr>
                <w:b/>
                <w:sz w:val="18"/>
              </w:rPr>
              <w:t>Sangat Tinggi:</w:t>
            </w:r>
            <w:r>
              <w:rPr>
                <w:sz w:val="18"/>
              </w:rPr>
              <w:t xml:space="preserve"> Enzim (ALAD) atau protein tubulus (β₂M, NAG) merespons perubahan fungsi biologis pada dosis subletal yang sangat dini.</w:t>
            </w:r>
          </w:p>
        </w:tc>
        <w:tc>
          <w:tcPr>
            <w:tcW w:type="dxa" w:w="3175"/>
          </w:tcPr>
          <w:p>
            <w:pPr>
              <w:spacing w:after="0"/>
            </w:pPr>
            <w:r/>
            <w:r>
              <w:rPr>
                <w:b/>
                <w:sz w:val="18"/>
              </w:rPr>
              <w:t>Sangat Rendah:</w:t>
            </w:r>
            <w:r>
              <w:rPr>
                <w:sz w:val="18"/>
              </w:rPr>
              <w:t xml:space="preserve"> Bersifat </w:t>
            </w:r>
            <w:r>
              <w:rPr>
                <w:i/>
                <w:sz w:val="18"/>
              </w:rPr>
              <w:t>non-specific</w:t>
            </w:r>
            <w:r>
              <w:rPr>
                <w:sz w:val="18"/>
              </w:rPr>
              <w:t>; disfungsi ginjal atau stres oksidatif dapat disebabkan oleh hipertensi, infeksi, diabetes, obat nefrotoksik, dan merokok.</w:t>
            </w:r>
          </w:p>
        </w:tc>
      </w:tr>
      <w:tr>
        <w:tc>
          <w:tcPr>
            <w:tcW w:type="dxa" w:w="3175"/>
          </w:tcPr>
          <w:p>
            <w:pPr>
              <w:spacing w:after="0"/>
            </w:pPr>
            <w:r/>
            <w:r>
              <w:rPr>
                <w:b/>
                <w:sz w:val="18"/>
              </w:rPr>
              <w:t>Aplikasi Kurva ROC</w:t>
            </w:r>
          </w:p>
        </w:tc>
        <w:tc>
          <w:tcPr>
            <w:tcW w:type="dxa" w:w="3175"/>
          </w:tcPr>
          <w:p>
            <w:pPr>
              <w:spacing w:after="0"/>
            </w:pPr>
            <w:r/>
            <w:r>
              <w:rPr>
                <w:sz w:val="18"/>
              </w:rPr>
              <w:t>Area di bawah kurva ROC (</w:t>
            </w:r>
            <w:r>
              <w:rPr>
                <w:i/>
                <w:sz w:val="18"/>
              </w:rPr>
              <w:t>AUC</w:t>
            </w:r>
            <w:r>
              <w:rPr>
                <w:sz w:val="18"/>
              </w:rPr>
              <w:t>) tinggi membuktikan kemampuan diskriminasi pada pajanan rendah (misalnya ALAD dan ALA-P memiliki AUC 0,81–0,94 pada Pb-B 10–40 µg/dL).</w:t>
            </w:r>
          </w:p>
        </w:tc>
        <w:tc>
          <w:tcPr>
            <w:tcW w:type="dxa" w:w="3175"/>
          </w:tcPr>
          <w:p>
            <w:pPr>
              <w:spacing w:after="0"/>
            </w:pPr>
            <w:r/>
            <w:r>
              <w:rPr>
                <w:sz w:val="18"/>
              </w:rPr>
              <w:t>AUC menurun pada biomarker yang mudah terganggu oleh variasi fisiologis dasar.</w:t>
            </w:r>
          </w:p>
        </w:tc>
      </w:tr>
    </w:tbl>
    <w:p>
      <w:pPr>
        <w:spacing w:after="40"/>
      </w:pPr>
    </w:p>
    <w:p>
      <w:pPr>
        <w:pStyle w:val="Heading4"/>
      </w:pPr>
      <w:r>
        <w:t>Contoh Perbandingan Sensitivitas vs Spesifisitas (Paradigma Benzena):</w:t>
      </w:r>
    </w:p>
    <w:p>
      <w:pPr>
        <w:pStyle w:val="ListBullet"/>
        <w:spacing w:after="20"/>
      </w:pPr>
      <w:r>
        <w:rPr>
          <w:b/>
        </w:rPr>
        <w:t>Fenol Urin:</w:t>
      </w:r>
      <w:r>
        <w:rPr/>
        <w:t xml:space="preserve"> Dahulu digunakan sebagai BEI benzena, namun memiliki </w:t>
      </w:r>
      <w:r>
        <w:rPr>
          <w:b/>
        </w:rPr>
        <w:t>sensitivitas dan spesifisitas yang sangat buruk pada pajanan modern (&lt;1 ppm)</w:t>
      </w:r>
      <w:r>
        <w:rPr/>
        <w:t>, karena fenol diproduksi secara endogen dalam jumlah besar dari degradasi asam amino tirosin serta diet sehari-hari, sehingga telah dihapus oleh ACGIH.</w:t>
      </w:r>
    </w:p>
    <w:p>
      <w:pPr>
        <w:pStyle w:val="ListBullet"/>
        <w:spacing w:after="20"/>
      </w:pPr>
      <w:r>
        <w:rPr>
          <w:b/>
        </w:rPr>
        <w:t>Asam trans,trans-mukonat (t,t-MA):</w:t>
      </w:r>
      <w:r>
        <w:rPr/>
        <w:t xml:space="preserve"> Cukup sensitif pada konsentrasi menengah, tetapi </w:t>
      </w:r>
      <w:r>
        <w:rPr>
          <w:b/>
        </w:rPr>
        <w:t>spesifisitasnya rendah pada pajanan rendah (&lt;0,32 mg/m³)</w:t>
      </w:r>
      <w:r>
        <w:rPr/>
        <w:t xml:space="preserve"> karena dipengaruhi oleh asupan diet asam sorbat (pengawet makanan) serta dihambat secara kompetitif oleh ko-pajanan toluena.</w:t>
      </w:r>
    </w:p>
    <w:p>
      <w:pPr>
        <w:pStyle w:val="ListBullet"/>
        <w:spacing w:after="20"/>
      </w:pPr>
      <w:r>
        <w:rPr>
          <w:b/>
        </w:rPr>
        <w:t>Asam S-fenilmerkapturat (S-PMA):</w:t>
      </w:r>
      <w:r>
        <w:rPr/>
        <w:t xml:space="preserve"> Merupakan biomarker pajanan benzena dengan </w:t>
      </w:r>
      <w:r>
        <w:rPr>
          <w:b/>
        </w:rPr>
        <w:t>spesifisitas tertinggi</w:t>
      </w:r>
      <w:r>
        <w:rPr/>
        <w:t xml:space="preserve"> dan korelasi dosis-respons yang stabil, meskipun pada konsentrasi pajanan sangat rendah (&lt;0,02 ppm) mulai mendekati batas latar belakang asap rokok non-okupasi.</w:t>
      </w:r>
    </w:p>
    <w:p>
      <w:pPr>
        <w:pStyle w:val="Heading3"/>
      </w:pPr>
      <w:r>
        <w:t>3. Kriteria Biomarker yang Ideal dalam Biomonitoring Okupasi</w:t>
      </w:r>
    </w:p>
    <w:p>
      <w:pPr>
        <w:spacing w:after="80"/>
      </w:pPr>
      <w:r>
        <w:rPr/>
        <w:t>Sebagai konsultan kedokteran okupasi, Anda tidak boleh sembarangan memilih biomarker. Berdasarkan pedoman ACGIH, WHO/IPCS, dan National Academy of Sciences, biomarker yang ideal wajib memenuhi kriteria berikut:</w:t>
      </w:r>
    </w:p>
    <w:p>
      <w:pPr>
        <w:spacing w:after="40"/>
        <w:ind w:left="340" w:hanging="283"/>
      </w:pPr>
      <w:r>
        <w:rPr/>
        <w:t xml:space="preserve">1. </w:t>
      </w:r>
      <w:r>
        <w:rPr>
          <w:b/>
        </w:rPr>
        <w:t>Memiliki Plausibilitas Biologis dan Mekanisme Aksi yang Jelas:</w:t>
      </w:r>
    </w:p>
    <w:p>
      <w:pPr>
        <w:spacing w:after="80"/>
      </w:pPr>
      <w:r>
        <w:rPr/>
        <w:t>Terdapat hubungan mekanistik yang valid (</w:t>
      </w:r>
      <w:r>
        <w:rPr>
          <w:i/>
        </w:rPr>
        <w:t>mode of action</w:t>
      </w:r>
      <w:r>
        <w:rPr/>
        <w:t>) antara bahan kimia di lingkungan kerja, kinetika biomarker dalam cairan tubuh, dan patogenesis efek klinis yang ingin dicegah.</w:t>
      </w:r>
    </w:p>
    <w:p>
      <w:pPr>
        <w:spacing w:after="40"/>
        <w:ind w:left="340" w:hanging="283"/>
      </w:pPr>
      <w:r>
        <w:rPr/>
        <w:t xml:space="preserve">2. </w:t>
      </w:r>
      <w:r>
        <w:rPr>
          <w:b/>
        </w:rPr>
        <w:t>Korelasi Kuantitatif Erat dengan Dosis Pajanan (</w:t>
      </w:r>
      <w:r>
        <w:rPr>
          <w:b/>
          <w:i/>
        </w:rPr>
        <w:t>Dose-Response Correlation</w:t>
      </w:r>
      <w:r>
        <w:rPr>
          <w:b/>
        </w:rPr>
        <w:t>):</w:t>
      </w:r>
    </w:p>
    <w:p>
      <w:pPr>
        <w:spacing w:after="80"/>
      </w:pPr>
      <w:r>
        <w:rPr/>
        <w:t>Konsentrasi biomarker harus memiliki hubungan matematis proporsional yang dapat diprediksi terhadap pajanan eksternal di udara maupun derajat beban tubuh target.</w:t>
      </w:r>
    </w:p>
    <w:p>
      <w:pPr>
        <w:spacing w:after="40"/>
        <w:ind w:left="340" w:hanging="283"/>
      </w:pPr>
      <w:r>
        <w:rPr/>
        <w:t xml:space="preserve">3. </w:t>
      </w:r>
      <w:r>
        <w:rPr>
          <w:b/>
        </w:rPr>
        <w:t>Sensitivitas dan Spesifisitas Analitis serta Diagnostik yang Tinggi:</w:t>
      </w:r>
    </w:p>
    <w:p>
      <w:pPr>
        <w:spacing w:after="80"/>
      </w:pPr>
      <w:r>
        <w:rPr/>
        <w:t>Mampu membedakan dengan tegas antara populasi pekerja terpajan dan populasi umum non-terpajan (</w:t>
      </w:r>
      <w:r>
        <w:rPr>
          <w:i/>
        </w:rPr>
        <w:t>background reference values / BAR</w:t>
      </w:r>
      <w:r>
        <w:rPr/>
        <w:t>), serta mampu mendeteksi pajanan pada level di bawah Nilai Ambang Batas (NAB).</w:t>
      </w:r>
    </w:p>
    <w:p>
      <w:pPr>
        <w:spacing w:after="40"/>
        <w:ind w:left="340" w:hanging="283"/>
      </w:pPr>
      <w:r>
        <w:rPr/>
        <w:t xml:space="preserve">4. </w:t>
      </w:r>
      <w:r>
        <w:rPr>
          <w:b/>
        </w:rPr>
        <w:t>Pengambilan Sampel Praktis dan Non-Invasif (</w:t>
      </w:r>
      <w:r>
        <w:rPr>
          <w:b/>
          <w:i/>
        </w:rPr>
        <w:t>Field Practicality</w:t>
      </w:r>
      <w:r>
        <w:rPr>
          <w:b/>
        </w:rPr>
        <w:t>):</w:t>
      </w:r>
    </w:p>
    <w:p>
      <w:pPr>
        <w:spacing w:after="80"/>
      </w:pPr>
      <w:r>
        <w:rPr/>
        <w:t>Spesimen biologi harus mudah diperoleh di lapangan industri dengan invasif minimal (urin spot, darah perifer kapiler/vena, atau udara ekspirasi) guna menjamin kepatuhan (</w:t>
      </w:r>
      <w:r>
        <w:rPr>
          <w:i/>
        </w:rPr>
        <w:t>compliance</w:t>
      </w:r>
      <w:r>
        <w:rPr/>
        <w:t>) pekerja dalam program surveilans jangka panjang.</w:t>
      </w:r>
    </w:p>
    <w:p>
      <w:pPr>
        <w:spacing w:after="40"/>
        <w:ind w:left="340" w:hanging="283"/>
      </w:pPr>
      <w:r>
        <w:rPr/>
        <w:t xml:space="preserve">5. </w:t>
      </w:r>
      <w:r>
        <w:rPr>
          <w:b/>
        </w:rPr>
        <w:t>Kinetika Eliminasi Terkarakterisasi dan Waktu Pengambilan Sampel Tepat (</w:t>
      </w:r>
      <w:r>
        <w:rPr>
          <w:b/>
          <w:i/>
        </w:rPr>
        <w:t>Defined Sampling Time</w:t>
      </w:r>
      <w:r>
        <w:rPr>
          <w:b/>
        </w:rPr>
        <w:t>):</w:t>
      </w:r>
    </w:p>
    <w:p>
      <w:pPr>
        <w:spacing w:after="80"/>
      </w:pPr>
      <w:r>
        <w:rPr/>
        <w:t>Waktu paruh (</w:t>
      </w:r>
      <w:r>
        <w:rPr>
          <w:i/>
        </w:rPr>
        <w:t>half-life</w:t>
      </w:r>
      <w:r>
        <w:rPr/>
        <w:t xml:space="preserve">) dan pola ekskresi toksikan harus diketahui secara presisi untuk menetapkan jadwal pengambilan sampel yang baku menurut ACGIH: </w:t>
      </w:r>
      <w:r>
        <w:rPr>
          <w:i/>
        </w:rPr>
        <w:t>Prior to shift</w:t>
      </w:r>
      <w:r>
        <w:rPr/>
        <w:t xml:space="preserve">, </w:t>
      </w:r>
      <w:r>
        <w:rPr>
          <w:i/>
        </w:rPr>
        <w:t>During shift</w:t>
      </w:r>
      <w:r>
        <w:rPr/>
        <w:t xml:space="preserve">, </w:t>
      </w:r>
      <w:r>
        <w:rPr>
          <w:i/>
        </w:rPr>
        <w:t>End of shift</w:t>
      </w:r>
      <w:r>
        <w:rPr/>
        <w:t xml:space="preserve">, </w:t>
      </w:r>
      <w:r>
        <w:rPr>
          <w:i/>
        </w:rPr>
        <w:t>End of the workweek</w:t>
      </w:r>
      <w:r>
        <w:rPr/>
        <w:t xml:space="preserve">, atau </w:t>
      </w:r>
      <w:r>
        <w:rPr>
          <w:i/>
        </w:rPr>
        <w:t>Discretionary/Not critical</w:t>
      </w:r>
      <w:r>
        <w:rPr/>
        <w:t>.</w:t>
      </w:r>
    </w:p>
    <w:p>
      <w:pPr>
        <w:spacing w:after="40"/>
        <w:ind w:left="340" w:hanging="283"/>
      </w:pPr>
      <w:r>
        <w:rPr/>
        <w:t xml:space="preserve">6. </w:t>
      </w:r>
      <w:r>
        <w:rPr>
          <w:b/>
        </w:rPr>
        <w:t>Kestabilan Spesimen dan Bebas Kontaminasi Eksternal:</w:t>
      </w:r>
    </w:p>
    <w:p>
      <w:pPr>
        <w:spacing w:after="80"/>
      </w:pPr>
      <w:r>
        <w:rPr/>
        <w:t>Spesimen tidak mudah terdegradasi selama proses transportasi dan penyimpanan, serta tidak rentan mengalami kontaminasi silang dari debu atau residu industri di kulit pekerja saat proses pengambilan.</w:t>
      </w:r>
    </w:p>
    <w:p>
      <w:pPr>
        <w:spacing w:after="40"/>
        <w:ind w:left="340" w:hanging="283"/>
      </w:pPr>
      <w:r>
        <w:rPr/>
        <w:t xml:space="preserve">7. </w:t>
      </w:r>
      <w:r>
        <w:rPr>
          <w:b/>
        </w:rPr>
        <w:t>Metodologi Laboratorium Terstandarisasi dan Memiliki Program Mutu (QA/QC):</w:t>
      </w:r>
    </w:p>
    <w:p>
      <w:pPr>
        <w:spacing w:after="80"/>
      </w:pPr>
      <w:r>
        <w:rPr/>
        <w:t>Dapat dianalisis menggunakan metode analitis berpresisi tinggi (seperti GC-MS, LC-MS/MS, atau ICP-MS) yang didukung oleh prosedur kendali mutu laboratorium, kalibrasi blangko, serta sertifikasi uji profisiensi eksternal.</w:t>
      </w:r>
    </w:p>
    <w:p>
      <w:pPr>
        <w:spacing w:after="40"/>
        <w:ind w:left="340" w:hanging="283"/>
      </w:pPr>
      <w:r>
        <w:rPr/>
        <w:t xml:space="preserve">8. </w:t>
      </w:r>
      <w:r>
        <w:rPr>
          <w:b/>
        </w:rPr>
        <w:t>Tersedianya Nilai Standar Rujukan Resmi (</w:t>
      </w:r>
      <w:r>
        <w:rPr>
          <w:b/>
          <w:i/>
        </w:rPr>
        <w:t>Biological Guidance Values</w:t>
      </w:r>
      <w:r>
        <w:rPr>
          <w:b/>
        </w:rPr>
        <w:t>):</w:t>
      </w:r>
    </w:p>
    <w:p>
      <w:pPr>
        <w:spacing w:after="80"/>
      </w:pPr>
      <w:r>
        <w:rPr/>
        <w:t xml:space="preserve">Memiliki nilai acuan interpretasi yang diakui secara legal atau profesional, seperti </w:t>
      </w:r>
      <w:r>
        <w:rPr>
          <w:b/>
          <w:i/>
        </w:rPr>
        <w:t>Biological Exposure Indices</w:t>
      </w:r>
      <w:r>
        <w:rPr>
          <w:b/>
        </w:rPr>
        <w:t xml:space="preserve"> (BEI®)</w:t>
      </w:r>
      <w:r>
        <w:rPr/>
        <w:t xml:space="preserve"> dari ACGIH, BAT/BAR dari DFG Jerman, atau </w:t>
      </w:r>
      <w:r>
        <w:rPr>
          <w:b/>
        </w:rPr>
        <w:t>Indeks Pajanan Biologi (IPB)</w:t>
      </w:r>
      <w:r>
        <w:rPr/>
        <w:t xml:space="preserve"> sesuai Permenaker No. 5 Tahun 2018.</w:t>
      </w:r>
    </w:p>
    <w:p>
      <w:pPr>
        <w:spacing w:after="40"/>
        <w:ind w:left="340" w:hanging="283"/>
      </w:pPr>
      <w:r>
        <w:rPr/>
        <w:t xml:space="preserve">9. </w:t>
      </w:r>
      <w:r>
        <w:rPr>
          <w:b/>
        </w:rPr>
        <w:t>Dapat Diterapkan Secara Etis dan Memicu Tindakan Nyata (</w:t>
      </w:r>
      <w:r>
        <w:rPr>
          <w:b/>
          <w:i/>
        </w:rPr>
        <w:t>Actionable</w:t>
      </w:r>
      <w:r>
        <w:rPr>
          <w:b/>
        </w:rPr>
        <w:t>):</w:t>
      </w:r>
    </w:p>
    <w:p>
      <w:pPr>
        <w:spacing w:after="80"/>
      </w:pPr>
      <w:r>
        <w:rPr/>
        <w:t xml:space="preserve">Hasil pengukuran tidak boleh sekadar menjadi data pasif atau vonis diagnosis penyakit, melainkan harus diterjemahkan menjadi intervensi pencegahan konkret: evaluasi kecukupan ventilasi, investigasi kebocoran proses kerja, perbaikan APD, hingga pemindahan sementara pekerja yang rentan atau mengalami </w:t>
      </w:r>
      <w:r>
        <w:rPr>
          <w:i/>
        </w:rPr>
        <w:t>overexposure</w:t>
      </w:r>
      <w:r>
        <w:rPr/>
        <w:t>.</w:t>
      </w:r>
    </w:p>
    <w:p>
      <w:r>
        <w:rPr>
          <w:b/>
          <w:sz w:val="16"/>
        </w:rPr>
        <w:t>Sumber yang dirujuk NotebookLM:</w:t>
      </w:r>
    </w:p>
    <w:p>
      <w:pPr>
        <w:spacing w:after="0"/>
        <w:ind w:left="283"/>
      </w:pPr>
      <w:r>
        <w:rPr>
          <w:b/>
          <w:color w:val="595959"/>
          <w:sz w:val="16"/>
        </w:rPr>
        <w:t>Prof. Dr. dr. Muchtaruddin Mansyur, MS, Sp.Ok, Subsp.Tok-Ko.</w:t>
      </w:r>
      <w:r>
        <w:rPr>
          <w:color w:val="595959"/>
          <w:sz w:val="16"/>
        </w:rPr>
        <w:t xml:space="preserve"> </w:t>
      </w:r>
      <w:r>
        <w:rPr>
          <w:i/>
          <w:color w:val="595959"/>
          <w:sz w:val="16"/>
        </w:rPr>
        <w:t>Monitoring dan Petanda Biologis</w:t>
      </w:r>
      <w:r>
        <w:rPr>
          <w:color w:val="595959"/>
          <w:sz w:val="16"/>
        </w:rPr>
        <w:t xml:space="preserve"> — Slide 1–11: Definisi Biomonitoring, Klasifikasi Biomarker (Eksposur, Efek, Susceptibility), Nilai Rujukan ACGIH BEI &amp; DFG BAT, serta Penjaminan Mutu Laboratorium.</w:t>
      </w:r>
    </w:p>
    <w:p>
      <w:pPr>
        <w:spacing w:after="0"/>
        <w:ind w:left="283"/>
      </w:pPr>
      <w:r>
        <w:rPr>
          <w:b/>
          <w:color w:val="595959"/>
          <w:sz w:val="16"/>
        </w:rPr>
        <w:t>T. Sakai (Biomarkers of Lead Exposure).</w:t>
      </w:r>
      <w:r>
        <w:rPr>
          <w:color w:val="595959"/>
          <w:sz w:val="16"/>
        </w:rPr>
        <w:t xml:space="preserve"> </w:t>
      </w:r>
      <w:r>
        <w:rPr>
          <w:i/>
          <w:color w:val="595959"/>
          <w:sz w:val="16"/>
        </w:rPr>
        <w:t>Industrial Health</w:t>
      </w:r>
      <w:r>
        <w:rPr>
          <w:color w:val="595959"/>
          <w:sz w:val="16"/>
        </w:rPr>
        <w:t xml:space="preserve"> — Definisi Kontinuum Biomarker NRC, Biomarker Eksposur Pb (Pb-B, K-XRF), Biomarker Efek Heme (ALAD, ALA-P, ZPP), Analisis ROC Sensitivitas/Spesifisitas, dan Kerentanan Polimorfisme Gen ALAD1/ALAD2.</w:t>
      </w:r>
    </w:p>
    <w:p>
      <w:pPr>
        <w:spacing w:after="0"/>
        <w:ind w:left="283"/>
      </w:pPr>
      <w:r>
        <w:rPr>
          <w:b/>
          <w:color w:val="595959"/>
          <w:sz w:val="16"/>
        </w:rPr>
        <w:t>Célia Ventura et al. (2021).</w:t>
      </w:r>
      <w:r>
        <w:rPr>
          <w:color w:val="595959"/>
          <w:sz w:val="16"/>
        </w:rPr>
        <w:t xml:space="preserve"> </w:t>
      </w:r>
      <w:r>
        <w:rPr>
          <w:i/>
          <w:color w:val="595959"/>
          <w:sz w:val="16"/>
        </w:rPr>
        <w:t>Biomarkers of effect as determined in human biomonitoring studies on hexavalent chromium and cadmium (2008–2020)</w:t>
      </w:r>
      <w:r>
        <w:rPr>
          <w:color w:val="595959"/>
          <w:sz w:val="16"/>
        </w:rPr>
        <w:t xml:space="preserve"> — </w:t>
      </w:r>
      <w:r>
        <w:rPr>
          <w:i/>
          <w:color w:val="595959"/>
          <w:sz w:val="16"/>
        </w:rPr>
        <w:t>Environmental Research (HBM4EU)</w:t>
      </w:r>
      <w:r>
        <w:rPr>
          <w:color w:val="595959"/>
          <w:sz w:val="16"/>
        </w:rPr>
        <w:t>: Biomarker Efek Cr(VI) (8-OHdG, MDA, MN, Comet assay), Biomarker Efek Cd (β₂M, NAG, KIM-1), Evaluasi AOP, serta Validasi Sensitivitas/Spesifisitas.</w:t>
      </w:r>
    </w:p>
    <w:p>
      <w:pPr>
        <w:spacing w:after="0"/>
        <w:ind w:left="283"/>
      </w:pPr>
      <w:r>
        <w:rPr>
          <w:b/>
          <w:color w:val="595959"/>
          <w:sz w:val="16"/>
        </w:rPr>
        <w:t>ACGIH (2026/Current Editions).</w:t>
      </w:r>
      <w:r>
        <w:rPr>
          <w:color w:val="595959"/>
          <w:sz w:val="16"/>
        </w:rPr>
        <w:t xml:space="preserve"> </w:t>
      </w:r>
      <w:r>
        <w:rPr>
          <w:i/>
          <w:color w:val="595959"/>
          <w:sz w:val="16"/>
        </w:rPr>
        <w:t>TLVs® and BEIs®: Introduction to Biological Exposure Indices</w:t>
      </w:r>
      <w:r>
        <w:rPr>
          <w:color w:val="595959"/>
          <w:sz w:val="16"/>
        </w:rPr>
        <w:t xml:space="preserve"> — Filosofi BEI, Matriks Spesimen, Waktu Pengambilan Sampel (Tabel 1–7), Faktor Modifikasi Fisiologis, serta Penjaminan Mutu QA/QC.</w:t>
      </w:r>
    </w:p>
    <w:p>
      <w:pPr>
        <w:spacing w:after="0"/>
        <w:ind w:left="283"/>
      </w:pPr>
      <w:r>
        <w:rPr>
          <w:b/>
          <w:color w:val="595959"/>
          <w:sz w:val="16"/>
        </w:rPr>
        <w:t>R. Rahimpoor et al. (2023) &amp; Kim (2026).</w:t>
      </w:r>
      <w:r>
        <w:rPr>
          <w:color w:val="595959"/>
          <w:sz w:val="16"/>
        </w:rPr>
        <w:t xml:space="preserve"> </w:t>
      </w:r>
      <w:r>
        <w:rPr>
          <w:i/>
          <w:color w:val="595959"/>
          <w:sz w:val="16"/>
        </w:rPr>
        <w:t>Biological Exposure Indices of Occupational Exposure to Benzene / What a BEI is Not</w:t>
      </w:r>
      <w:r>
        <w:rPr>
          <w:color w:val="595959"/>
          <w:sz w:val="16"/>
        </w:rPr>
        <w:t xml:space="preserve"> — Evaluasi Sensitivitas/Spesifisitas U-B, U-t,t-MA, U-S-PMA, Fenol, serta Pengaruh Polimorfisme Gen GSTT1/GSTM1.</w:t>
      </w:r>
    </w:p>
    <w:p>
      <w:pPr>
        <w:spacing w:after="0"/>
        <w:ind w:left="283"/>
      </w:pPr>
      <w:r>
        <w:rPr>
          <w:b/>
          <w:color w:val="595959"/>
          <w:sz w:val="16"/>
        </w:rPr>
        <w:t>Charlene McQueen (2025) &amp; Hodgson (2010).</w:t>
      </w:r>
      <w:r>
        <w:rPr>
          <w:color w:val="595959"/>
          <w:sz w:val="16"/>
        </w:rPr>
        <w:t xml:space="preserve"> </w:t>
      </w:r>
      <w:r>
        <w:rPr>
          <w:i/>
          <w:color w:val="595959"/>
          <w:sz w:val="16"/>
        </w:rPr>
        <w:t>Comprehensive Toxicology (Vol. 1: Biomarkers by J.D. Groopman)</w:t>
      </w:r>
      <w:r>
        <w:rPr>
          <w:color w:val="595959"/>
          <w:sz w:val="16"/>
        </w:rPr>
        <w:t xml:space="preserve"> &amp; </w:t>
      </w:r>
      <w:r>
        <w:rPr>
          <w:i/>
          <w:color w:val="595959"/>
          <w:sz w:val="16"/>
        </w:rPr>
        <w:t>A Textbook of Modern Toxicology</w:t>
      </w:r>
      <w:r>
        <w:rPr>
          <w:color w:val="595959"/>
          <w:sz w:val="16"/>
        </w:rPr>
        <w:t xml:space="preserve"> — Tahapan Validasi Biomarker (Tabel 4 Robinson/NRC), Aduk Protein/DNA, Kinetika Eliminasi, dan Dasar Toksikogenetik Kerentanan.</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w:t>
      </w:r>
      <w:r>
        <w:rPr>
          <w:color w:val="595959"/>
          <w:sz w:val="16"/>
        </w:rPr>
        <w:t xml:space="preserve"> — Varian HLA-DPB1 (Glu69) pada Beriliosis (CBD), Enzim Fase I/II, dan Desain Studi Molekuler Okupasi.</w:t>
      </w:r>
    </w:p>
    <w:p>
      <w:pPr>
        <w:spacing w:after="0"/>
        <w:ind w:left="283"/>
      </w:pPr>
      <w:r>
        <w:rPr>
          <w:b/>
          <w:color w:val="595959"/>
          <w:sz w:val="16"/>
        </w:rPr>
        <w:t>Permenaker No. 5 Tahun 2018.</w:t>
      </w:r>
      <w:r>
        <w:rPr>
          <w:color w:val="595959"/>
          <w:sz w:val="16"/>
        </w:rPr>
        <w:t xml:space="preserve"> </w:t>
      </w:r>
      <w:r>
        <w:rPr>
          <w:i/>
          <w:color w:val="595959"/>
          <w:sz w:val="16"/>
        </w:rPr>
        <w:t>Keselamatan dan Kesehatan Kerja Lingkungan Kerja</w:t>
      </w:r>
      <w:r>
        <w:rPr>
          <w:color w:val="595959"/>
          <w:sz w:val="16"/>
        </w:rPr>
        <w:t xml:space="preserve"> — Pasal 1 angka 10 &amp; Lampiran: Definisi Indeks Pajanan Biologi (IPB) dan Penerapan Simpul Pemantauan Biologi.</w:t>
      </w:r>
    </w:p>
    <w:p>
      <w:pPr>
        <w:pStyle w:val="Heading2"/>
      </w:pPr>
      <w:bookmarkStart w:id="107" w:name="toc_007"/>
      <w:r>
        <w:t>1.7 BEI</w:t>
      </w:r>
      <w:bookmarkEnd w:id="107"/>
    </w:p>
    <w:p>
      <w:pPr>
        <w:pStyle w:val="Heading3"/>
      </w:pPr>
      <w:r>
        <w:t>1. Definisi dan Landasan Konseptual BEI ACGIH</w:t>
      </w:r>
    </w:p>
    <w:p>
      <w:pPr>
        <w:spacing w:after="80"/>
      </w:pPr>
      <w:r>
        <w:rPr/>
        <w:t xml:space="preserve">Berdasarkan dokumen resmi </w:t>
      </w:r>
      <w:r>
        <w:rPr>
          <w:i/>
        </w:rPr>
        <w:t>Introduction to the Biological Exposure Indices</w:t>
      </w:r>
      <w:r>
        <w:rPr/>
        <w:t xml:space="preserve"> oleh ACGIH (</w:t>
      </w:r>
      <w:r>
        <w:rPr>
          <w:i/>
        </w:rPr>
        <w:t>American Conference of Governmental Industrial Hygienists</w:t>
      </w:r>
      <w:r>
        <w:rPr/>
        <w:t xml:space="preserve">), </w:t>
      </w:r>
      <w:r>
        <w:rPr>
          <w:b/>
        </w:rPr>
        <w:t>BEI® adalah nilai panduan (</w:t>
      </w:r>
      <w:r>
        <w:rPr>
          <w:b/>
          <w:i/>
        </w:rPr>
        <w:t>guidance values</w:t>
      </w:r>
      <w:r>
        <w:rPr>
          <w:b/>
        </w:rPr>
        <w:t>) untuk mengevaluasi hasil pemantauan biologis di tempat kerja</w:t>
      </w:r>
      <w:r>
        <w:rPr/>
        <w:t>.</w:t>
      </w:r>
    </w:p>
    <w:p>
      <w:pPr>
        <w:pStyle w:val="ListBullet"/>
        <w:spacing w:after="20"/>
      </w:pPr>
      <w:r>
        <w:rPr>
          <w:b/>
        </w:rPr>
        <w:t>Representasi Fisiologis:</w:t>
      </w:r>
      <w:r>
        <w:rPr/>
        <w:t xml:space="preserve"> Nilai BEI secara umum merepresentasikan konsentrasi determinan yang paling mungkin teramati dalam spesimen biologi yang dikoleksi dari </w:t>
      </w:r>
      <w:r>
        <w:rPr>
          <w:b/>
        </w:rPr>
        <w:t>pekerja sehat yang terpajan bahan kimia melalui inhalasi pada tingkat Nilai Ambang Batas rata-rata (</w:t>
      </w:r>
      <w:r>
        <w:rPr>
          <w:b/>
          <w:i/>
        </w:rPr>
        <w:t>Threshold Limit Value–Time-Weighted Average</w:t>
      </w:r>
      <w:r>
        <w:rPr>
          <w:b/>
        </w:rPr>
        <w:t xml:space="preserve"> / TLV-TWA 8 jam)</w:t>
      </w:r>
      <w:r>
        <w:rPr/>
        <w:t>.</w:t>
      </w:r>
    </w:p>
    <w:p>
      <w:pPr>
        <w:pStyle w:val="ListBullet"/>
        <w:spacing w:after="20"/>
      </w:pPr>
      <w:r>
        <w:rPr>
          <w:b/>
        </w:rPr>
        <w:t>Peran Komplementer:</w:t>
      </w:r>
      <w:r>
        <w:rPr/>
        <w:t xml:space="preserve"> Pemantauan udara (</w:t>
      </w:r>
      <w:r>
        <w:rPr>
          <w:i/>
        </w:rPr>
        <w:t>ambient monitoring</w:t>
      </w:r>
      <w:r>
        <w:rPr/>
        <w:t xml:space="preserve">) hanya mengukur potensi pajanan eksternal inhalasi, sedangkan BEI mengukur </w:t>
      </w:r>
      <w:r>
        <w:rPr>
          <w:b/>
        </w:rPr>
        <w:t>asupan aktual (</w:t>
      </w:r>
      <w:r>
        <w:rPr>
          <w:b/>
          <w:i/>
        </w:rPr>
        <w:t>uptake</w:t>
      </w:r>
      <w:r>
        <w:rPr>
          <w:b/>
        </w:rPr>
        <w:t>) dan dosis internal (</w:t>
      </w:r>
      <w:r>
        <w:rPr>
          <w:b/>
          <w:i/>
        </w:rPr>
        <w:t>internal dose</w:t>
      </w:r>
      <w:r>
        <w:rPr>
          <w:b/>
        </w:rPr>
        <w:t>)</w:t>
      </w:r>
      <w:r>
        <w:rPr/>
        <w:t xml:space="preserve"> yang mengintegrasikan seluruh rute absorpsi: inhalasi, absorpsi perkutan/kulit (</w:t>
      </w:r>
      <w:r>
        <w:rPr>
          <w:i/>
        </w:rPr>
        <w:t>dermal route</w:t>
      </w:r>
      <w:r>
        <w:rPr/>
        <w:t>), serta ingesti saluran cerna yang timbul akibat buruknya higienitas perorangan di area kerja.</w:t>
      </w:r>
    </w:p>
    <w:p>
      <w:pPr>
        <w:pStyle w:val="ListBullet"/>
        <w:spacing w:after="20"/>
      </w:pPr>
      <w:r>
        <w:rPr>
          <w:b/>
        </w:rPr>
        <w:t>Kasus Khusus Penetapan:</w:t>
      </w:r>
      <w:r>
        <w:rPr/>
        <w:t xml:space="preserve"> ACGIH juga menetapkan BEI untuk zat-zat yang nilai TLV-nya semata-mata melindungi efek non-sistemik (seperti iritasi saluran napas atas), tetapi memiliki potensi penyerapan kulit yang masif (</w:t>
      </w:r>
      <w:r>
        <w:rPr>
          <w:i/>
        </w:rPr>
        <w:t>Skin notation</w:t>
      </w:r>
      <w:r>
        <w:rPr/>
        <w:t>), atau pada bahan kimia di mana biomarker biologis terbukti lebih akurat dalam memprediksi efek kesehatan daripada konsentrasi di udara.</w:t>
      </w:r>
    </w:p>
    <w:p>
      <w:pPr>
        <w:pStyle w:val="ListBullet"/>
        <w:spacing w:after="20"/>
      </w:pPr>
      <w:r>
        <w:rPr>
          <w:b/>
        </w:rPr>
        <w:t>Spesimen Biologis Baku:</w:t>
      </w:r>
      <w:r>
        <w:rPr/>
        <w:t xml:space="preserve"> Matriks yang diakui dalam BEI ACGIH mencakup </w:t>
      </w:r>
      <w:r>
        <w:rPr>
          <w:b/>
        </w:rPr>
        <w:t>urin</w:t>
      </w:r>
      <w:r>
        <w:rPr/>
        <w:t xml:space="preserve">, </w:t>
      </w:r>
      <w:r>
        <w:rPr>
          <w:b/>
        </w:rPr>
        <w:t>darah (darah utuh, serum, plasma, atau eritrosit)</w:t>
      </w:r>
      <w:r>
        <w:rPr/>
        <w:t xml:space="preserve">, dan </w:t>
      </w:r>
      <w:r>
        <w:rPr>
          <w:b/>
        </w:rPr>
        <w:t>udara ekspirasi (</w:t>
      </w:r>
      <w:r>
        <w:rPr>
          <w:b/>
          <w:i/>
        </w:rPr>
        <w:t>exhaled air</w:t>
      </w:r>
      <w:r>
        <w:rPr>
          <w:b/>
        </w:rPr>
        <w:t>)</w:t>
      </w:r>
      <w:r>
        <w:rPr/>
        <w:t>.</w:t>
      </w:r>
    </w:p>
    <w:p>
      <w:pPr>
        <w:pStyle w:val="Heading3"/>
      </w:pPr>
      <w:r>
        <w:t>2. Tiga Kategori Determinan Biologis (Biological Determinants)</w:t>
      </w:r>
    </w:p>
    <w:p>
      <w:pPr>
        <w:spacing w:after="80"/>
      </w:pPr>
      <w:r>
        <w:rPr/>
        <w:t xml:space="preserve">ACGIH tidak menggunakan istilah biomarker secara serampangan, melainkan menetapkan parameter analitis spesifik yang disebut </w:t>
      </w:r>
      <w:r>
        <w:rPr>
          <w:b/>
        </w:rPr>
        <w:t>Determinan (</w:t>
      </w:r>
      <w:r>
        <w:rPr>
          <w:b/>
          <w:i/>
        </w:rPr>
        <w:t>Determinant</w:t>
      </w:r>
      <w:r>
        <w:rPr>
          <w:b/>
        </w:rPr>
        <w:t>)</w:t>
      </w:r>
      <w:r>
        <w:rPr/>
        <w:t>. Determinan ini diklasifikasikan ke dalam 3 entitas biokimiawi:</w:t>
      </w:r>
    </w:p>
    <w:p>
      <w:pPr>
        <w:spacing w:after="40"/>
        <w:ind w:left="340" w:hanging="283"/>
      </w:pPr>
      <w:r>
        <w:rPr/>
        <w:t xml:space="preserve">1. </w:t>
      </w:r>
      <w:r>
        <w:rPr>
          <w:b/>
        </w:rPr>
        <w:t>Zat Kimia Asal / Zat Induk (</w:t>
      </w:r>
      <w:r>
        <w:rPr>
          <w:b/>
          <w:i/>
        </w:rPr>
        <w:t>The Chemical Itself / Parent Compound</w:t>
      </w:r>
      <w:r>
        <w:rPr>
          <w:b/>
        </w:rPr>
        <w:t>):</w:t>
      </w:r>
    </w:p>
    <w:p>
      <w:pPr>
        <w:spacing w:after="80"/>
      </w:pPr>
      <w:r>
        <w:rPr/>
        <w:t>Pengukuran langsung senyawa kimia yang belum termetabolisme di dalam matriks tubuh.</w:t>
      </w:r>
    </w:p>
    <w:p>
      <w:pPr>
        <w:pStyle w:val="ListBullet2"/>
        <w:spacing w:after="20"/>
      </w:pPr>
      <w:r>
        <w:rPr>
          <w:i/>
        </w:rPr>
        <w:t>Contoh:</w:t>
      </w:r>
      <w:r>
        <w:rPr/>
        <w:t xml:space="preserve"> Timbal dalam darah utuh (</w:t>
      </w:r>
      <w:r>
        <w:rPr>
          <w:i/>
        </w:rPr>
        <w:t>Lead in blood</w:t>
      </w:r>
      <w:r>
        <w:rPr/>
        <w:t xml:space="preserve"> / Pb-B), Kadmium dalam urin atau darah (</w:t>
      </w:r>
      <w:r>
        <w:rPr>
          <w:i/>
        </w:rPr>
        <w:t>Cadmium in urine/blood</w:t>
      </w:r>
      <w:r>
        <w:rPr/>
        <w:t>), Toluena dalam darah atau urin, dan Benzena dalam udara ekspirasi atau urin.</w:t>
      </w:r>
    </w:p>
    <w:p>
      <w:pPr>
        <w:spacing w:after="40"/>
        <w:ind w:left="340" w:hanging="283"/>
      </w:pPr>
      <w:r>
        <w:rPr/>
        <w:t xml:space="preserve">2. </w:t>
      </w:r>
      <w:r>
        <w:rPr>
          <w:b/>
        </w:rPr>
        <w:t>Satu atau Lebih Metabolit (</w:t>
      </w:r>
      <w:r>
        <w:rPr>
          <w:b/>
          <w:i/>
        </w:rPr>
        <w:t>One or More Metabolites</w:t>
      </w:r>
      <w:r>
        <w:rPr>
          <w:b/>
        </w:rPr>
        <w:t>):</w:t>
      </w:r>
    </w:p>
    <w:p>
      <w:pPr>
        <w:spacing w:after="80"/>
      </w:pPr>
      <w:r>
        <w:rPr/>
        <w:t>Produk hasil biotransformasi xenobiotik Fase I (oksidasi, reduksi, hidrolisis) atau Fase II (konjugasi) oleh enzim tubuh.</w:t>
      </w:r>
    </w:p>
    <w:p>
      <w:pPr>
        <w:pStyle w:val="ListBullet2"/>
        <w:spacing w:after="20"/>
      </w:pPr>
      <w:r>
        <w:rPr>
          <w:i/>
        </w:rPr>
        <w:t>Contoh:</w:t>
      </w:r>
      <w:r>
        <w:rPr/>
        <w:t xml:space="preserve"> </w:t>
      </w:r>
      <w:r>
        <w:rPr>
          <w:b/>
        </w:rPr>
        <w:t>Asam S-fenilmerkapturat urin (</w:t>
      </w:r>
      <w:r>
        <w:rPr>
          <w:b/>
          <w:i/>
        </w:rPr>
        <w:t>S-phenylmercapturic acid</w:t>
      </w:r>
      <w:r>
        <w:rPr>
          <w:b/>
        </w:rPr>
        <w:t xml:space="preserve"> / S-PMA)</w:t>
      </w:r>
      <w:r>
        <w:rPr/>
        <w:t xml:space="preserve"> dan </w:t>
      </w:r>
      <w:r>
        <w:rPr>
          <w:b/>
        </w:rPr>
        <w:t xml:space="preserve">asam </w:t>
      </w:r>
      <w:r>
        <w:rPr>
          <w:b/>
          <w:i/>
        </w:rPr>
        <w:t>trans,trans</w:t>
      </w:r>
      <w:r>
        <w:rPr>
          <w:b/>
        </w:rPr>
        <w:t>-mukonat urin (t,t-MA)</w:t>
      </w:r>
      <w:r>
        <w:rPr/>
        <w:t xml:space="preserve"> sebagai metabolit benzena; </w:t>
      </w:r>
      <w:r>
        <w:rPr>
          <w:b/>
        </w:rPr>
        <w:t>o-Kresol urin</w:t>
      </w:r>
      <w:r>
        <w:rPr/>
        <w:t xml:space="preserve"> sebagai metabolit toluena; serta </w:t>
      </w:r>
      <w:r>
        <w:rPr>
          <w:b/>
        </w:rPr>
        <w:t>asam mandelat plus fenilglioksilat urin</w:t>
      </w:r>
      <w:r>
        <w:rPr/>
        <w:t xml:space="preserve"> pada pekerja yang terpajan stirena.</w:t>
      </w:r>
    </w:p>
    <w:p>
      <w:pPr>
        <w:spacing w:after="40"/>
        <w:ind w:left="340" w:hanging="283"/>
      </w:pPr>
      <w:r>
        <w:rPr/>
        <w:t xml:space="preserve">3. </w:t>
      </w:r>
      <w:r>
        <w:rPr>
          <w:b/>
        </w:rPr>
        <w:t>Perubahan Biokimiawi Reversibel yang Karakteristik (</w:t>
      </w:r>
      <w:r>
        <w:rPr>
          <w:b/>
          <w:i/>
        </w:rPr>
        <w:t>Characteristic, Reversible Biochemical Change</w:t>
      </w:r>
      <w:r>
        <w:rPr>
          <w:b/>
        </w:rPr>
        <w:t>):</w:t>
      </w:r>
    </w:p>
    <w:p>
      <w:pPr>
        <w:spacing w:after="80"/>
      </w:pPr>
      <w:r>
        <w:rPr/>
        <w:t>Respons fungsional atau molekuler subklinis yang dipicu secara spesifik oleh interaksi toksikan dengan sistem biologis, di mana perubahan tersebut masih bersifat reversibel dan belum bermanifestasi menjadi kerusakan patologis menetap.</w:t>
      </w:r>
    </w:p>
    <w:p>
      <w:pPr>
        <w:pStyle w:val="ListBullet2"/>
        <w:spacing w:after="20"/>
      </w:pPr>
      <w:r>
        <w:rPr>
          <w:i/>
        </w:rPr>
        <w:t>Contoh Dokumen ACGIH:</w:t>
      </w:r>
      <w:r>
        <w:rPr/>
        <w:t xml:space="preserve"> Penurunan aktivitas enzim </w:t>
      </w:r>
      <w:r>
        <w:rPr>
          <w:b/>
        </w:rPr>
        <w:t>asetilkolinesterase (AChE) dalam sel darah merah</w:t>
      </w:r>
      <w:r>
        <w:rPr/>
        <w:t xml:space="preserve"> dan </w:t>
      </w:r>
      <w:r>
        <w:rPr>
          <w:b/>
        </w:rPr>
        <w:t>butirilkolinesterase (BChE) dalam plasma/serum</w:t>
      </w:r>
      <w:r>
        <w:rPr/>
        <w:t xml:space="preserve"> akibat inhibisi oleh pestisida organofosfat atau karbamat; induksi </w:t>
      </w:r>
      <w:r>
        <w:rPr>
          <w:b/>
        </w:rPr>
        <w:t>karboksihemoglobin (COHb)</w:t>
      </w:r>
      <w:r>
        <w:rPr/>
        <w:t xml:space="preserve"> dalam darah oleh karbon monoksida (CO); serta peningkatan fraksi </w:t>
      </w:r>
      <w:r>
        <w:rPr>
          <w:b/>
        </w:rPr>
        <w:t>methemoglobin (MetHb)</w:t>
      </w:r>
      <w:r>
        <w:rPr/>
        <w:t xml:space="preserve"> oleh agen pemicu methemoglobinemia.</w:t>
      </w:r>
    </w:p>
    <w:p>
      <w:pPr>
        <w:pStyle w:val="Heading3"/>
      </w:pPr>
      <w:r>
        <w:t>3. Waktu Pengambilan Sampel (Sampling Time) Menurut ACGIH</w:t>
      </w:r>
    </w:p>
    <w:p>
      <w:pPr>
        <w:spacing w:after="80"/>
      </w:pPr>
      <w:r>
        <w:rPr/>
        <w:t>Spesimen biologis memiliki kinetika metabolisme dan eliminasi yang sangat dinamis. Pengambilan sampel pada jam yang salah akan menghasilkan interpretasi yang menyesatkan. ACGIH membagi waktu sampling menjadi 7 kategori resmi:</w:t>
      </w:r>
    </w:p>
    <w:p>
      <w:pPr>
        <w:spacing w:after="120"/>
        <w:ind w:left="170"/>
      </w:pPr>
      <w:r>
        <w:rPr>
          <w:rFonts w:ascii="Consolas" w:hAnsi="Consolas" w:eastAsia="Consolas"/>
          <w:sz w:val="13"/>
        </w:rPr>
        <w:t xml:space="preserve">                                 [ TIMELINE PENGAMBILAN SPESIMEN BEI ]</w:t>
      </w:r>
      <w:r>
        <w:br/>
      </w:r>
      <w:r>
        <w:rPr>
          <w:rFonts w:ascii="Consolas" w:hAnsi="Consolas" w:eastAsia="Consolas"/>
          <w:sz w:val="13"/>
        </w:rPr>
      </w:r>
      <w:r>
        <w:br/>
      </w:r>
      <w:r>
        <w:rPr>
          <w:rFonts w:ascii="Consolas" w:hAnsi="Consolas" w:eastAsia="Consolas"/>
          <w:sz w:val="13"/>
        </w:rPr>
        <w:t xml:space="preserve">  ───┬───────────────────────┬──────────────────────────────────┬───────────────────────┬───► Waktu</w:t>
      </w:r>
      <w:r>
        <w:br/>
      </w:r>
      <w:r>
        <w:rPr>
          <w:rFonts w:ascii="Consolas" w:hAnsi="Consolas" w:eastAsia="Consolas"/>
          <w:sz w:val="13"/>
        </w:rPr>
        <w:t xml:space="preserve">     │                       │                                  │                       │</w:t>
      </w:r>
      <w:r>
        <w:br/>
      </w:r>
      <w:r>
        <w:rPr>
          <w:rFonts w:ascii="Consolas" w:hAnsi="Consolas" w:eastAsia="Consolas"/>
          <w:sz w:val="13"/>
        </w:rPr>
        <w:t>[Prior to shift]      [During shift]                     [End of shift]          [End of workweek]</w:t>
      </w:r>
      <w:r>
        <w:br/>
      </w:r>
      <w:r>
        <w:rPr>
          <w:rFonts w:ascii="Consolas" w:hAnsi="Consolas" w:eastAsia="Consolas"/>
          <w:sz w:val="13"/>
        </w:rPr>
        <w:t>(16 jam bebas         (&gt;2 jam setelah                   (Segera setelah           (Setelah 4-5 hari</w:t>
      </w:r>
      <w:r>
        <w:br/>
      </w:r>
      <w:r>
        <w:rPr>
          <w:rFonts w:ascii="Consolas" w:hAnsi="Consolas" w:eastAsia="Consolas"/>
          <w:sz w:val="13"/>
        </w:rPr>
        <w:t xml:space="preserve"> pajanan; sebelum     pajanan dimulai)                  pajanan berakhir)         kerja berturut-turut)</w:t>
      </w:r>
      <w:r>
        <w:br/>
      </w:r>
      <w:r>
        <w:rPr>
          <w:rFonts w:ascii="Consolas" w:hAnsi="Consolas" w:eastAsia="Consolas"/>
          <w:sz w:val="13"/>
        </w:rPr>
        <w:t xml:space="preserve"> shift berjalan)</w:t>
      </w:r>
      <w:r>
        <w:br/>
      </w:r>
      <w:r>
        <w:rPr>
          <w:rFonts w:ascii="Consolas" w:hAnsi="Consolas" w:eastAsia="Consolas"/>
          <w:sz w:val="13"/>
        </w:rPr>
      </w:r>
      <w:r>
        <w:br/>
      </w:r>
      <w:r>
        <w:rPr>
          <w:rFonts w:ascii="Consolas" w:hAnsi="Consolas" w:eastAsia="Consolas"/>
          <w:sz w:val="13"/>
        </w:rPr>
        <w:t xml:space="preserve"> *Kategori Khusus: [Discretionary / Not Critical] ──► Kapan saja (t½ sangat panjang, cth: Pb, Cd)</w:t>
      </w:r>
    </w:p>
    <w:p>
      <w:pPr>
        <w:spacing w:after="40"/>
        <w:ind w:left="340" w:hanging="283"/>
      </w:pPr>
      <w:r>
        <w:rPr/>
        <w:t xml:space="preserve">1. </w:t>
      </w:r>
      <w:r>
        <w:rPr>
          <w:b/>
        </w:rPr>
        <w:t>Prior to shift (Sebelum Shift):</w:t>
      </w:r>
    </w:p>
    <w:p>
      <w:pPr>
        <w:pStyle w:val="ListBullet2"/>
        <w:spacing w:after="20"/>
      </w:pPr>
      <w:r>
        <w:rPr>
          <w:i/>
        </w:rPr>
        <w:t>Ketentuan:</w:t>
      </w:r>
      <w:r>
        <w:rPr/>
        <w:t xml:space="preserve"> Sampel diambil </w:t>
      </w:r>
      <w:r>
        <w:rPr>
          <w:b/>
        </w:rPr>
        <w:t>16 jam setelah pajanan kerja terakhir dihentikan</w:t>
      </w:r>
      <w:r>
        <w:rPr/>
        <w:t xml:space="preserve">, namun </w:t>
      </w:r>
      <w:r>
        <w:rPr>
          <w:b/>
        </w:rPr>
        <w:t>sebelum pekerja terpajan kembali</w:t>
      </w:r>
      <w:r>
        <w:rPr/>
        <w:t xml:space="preserve"> pada hari pengambilan sampel tersebut.</w:t>
      </w:r>
    </w:p>
    <w:p>
      <w:pPr>
        <w:pStyle w:val="ListBullet2"/>
        <w:spacing w:after="20"/>
      </w:pPr>
      <w:r>
        <w:rPr>
          <w:i/>
        </w:rPr>
        <w:t>Rasional Toksikokinetik:</w:t>
      </w:r>
      <w:r>
        <w:rPr/>
        <w:t xml:space="preserve"> Bertujuan menilai apakah tubuh pekerja mampu mengeliminasi toksikan selama masa pemulihan 16 jam di rumah, atau untuk mengukur beban akumulasi harian dari toksikan bervolume distribusi sedang.</w:t>
      </w:r>
    </w:p>
    <w:p>
      <w:pPr>
        <w:spacing w:after="40"/>
        <w:ind w:left="340" w:hanging="283"/>
      </w:pPr>
      <w:r>
        <w:rPr/>
        <w:t xml:space="preserve">2. </w:t>
      </w:r>
      <w:r>
        <w:rPr>
          <w:b/>
        </w:rPr>
        <w:t>During shift (Selama Shift Berlangsung):</w:t>
      </w:r>
    </w:p>
    <w:p>
      <w:pPr>
        <w:pStyle w:val="ListBullet2"/>
        <w:spacing w:after="20"/>
      </w:pPr>
      <w:r>
        <w:rPr>
          <w:i/>
        </w:rPr>
        <w:t>Ketentuan:</w:t>
      </w:r>
      <w:r>
        <w:rPr/>
        <w:t xml:space="preserve"> Pengambilan sampel dilakukan </w:t>
      </w:r>
      <w:r>
        <w:rPr>
          <w:b/>
        </w:rPr>
        <w:t>kapan saja setelah pekerja terpajan minimal 2 jam</w:t>
      </w:r>
      <w:r>
        <w:rPr/>
        <w:t xml:space="preserve"> dalam shift kerja tersebut.</w:t>
      </w:r>
    </w:p>
    <w:p>
      <w:pPr>
        <w:spacing w:after="40"/>
        <w:ind w:left="340" w:hanging="283"/>
      </w:pPr>
      <w:r>
        <w:rPr/>
        <w:t xml:space="preserve">3. </w:t>
      </w:r>
      <w:r>
        <w:rPr>
          <w:b/>
        </w:rPr>
        <w:t>End of shift (Akhir Shift):</w:t>
      </w:r>
    </w:p>
    <w:p>
      <w:pPr>
        <w:pStyle w:val="ListBullet2"/>
        <w:spacing w:after="20"/>
      </w:pPr>
      <w:r>
        <w:rPr>
          <w:i/>
        </w:rPr>
        <w:t>Ketentuan:</w:t>
      </w:r>
      <w:r>
        <w:rPr/>
        <w:t xml:space="preserve"> Sampel wajib dikoleksi </w:t>
      </w:r>
      <w:r>
        <w:rPr>
          <w:b/>
        </w:rPr>
        <w:t>secepat mungkin segera setelah shift kerja dan pajanan harian berakhir</w:t>
      </w:r>
      <w:r>
        <w:rPr/>
        <w:t xml:space="preserve"> (</w:t>
      </w:r>
      <w:r>
        <w:rPr>
          <w:i/>
        </w:rPr>
        <w:t>as soon as possible after exposure ceases</w:t>
      </w:r>
      <w:r>
        <w:rPr/>
        <w:t>).</w:t>
      </w:r>
    </w:p>
    <w:p>
      <w:pPr>
        <w:pStyle w:val="ListBullet2"/>
        <w:spacing w:after="20"/>
      </w:pPr>
      <w:r>
        <w:rPr>
          <w:i/>
        </w:rPr>
        <w:t>Rasional Toksikokinetik:</w:t>
      </w:r>
      <w:r>
        <w:rPr/>
        <w:t xml:space="preserve"> Merupakan waktu sampling paling umum untuk pelarut organik dengan waktu paruh pendek (beberapa jam), di mana konsentrasi metabolit urin mencapai fase puncak ekskresi harian.</w:t>
      </w:r>
    </w:p>
    <w:p>
      <w:pPr>
        <w:spacing w:after="40"/>
        <w:ind w:left="340" w:hanging="283"/>
      </w:pPr>
      <w:r>
        <w:rPr/>
        <w:t xml:space="preserve">4. </w:t>
      </w:r>
      <w:r>
        <w:rPr>
          <w:b/>
        </w:rPr>
        <w:t>End of the workweek (Akhir Minggu Kerja):</w:t>
      </w:r>
    </w:p>
    <w:p>
      <w:pPr>
        <w:pStyle w:val="ListBullet2"/>
        <w:spacing w:after="20"/>
      </w:pPr>
      <w:r>
        <w:rPr>
          <w:i/>
        </w:rPr>
        <w:t>Ketentuan:</w:t>
      </w:r>
      <w:r>
        <w:rPr/>
        <w:t xml:space="preserve"> Sampel dikoleksi pada akhir shift setelah pekerja bekerja selama </w:t>
      </w:r>
      <w:r>
        <w:rPr>
          <w:b/>
        </w:rPr>
        <w:t>4 atau 5 hari kerja berturut-turut dengan pajanan</w:t>
      </w:r>
      <w:r>
        <w:rPr/>
        <w:t>.</w:t>
      </w:r>
    </w:p>
    <w:p>
      <w:pPr>
        <w:pStyle w:val="ListBullet2"/>
        <w:spacing w:after="20"/>
      </w:pPr>
      <w:r>
        <w:rPr>
          <w:i/>
        </w:rPr>
        <w:t>Rasional Toksikokinetik:</w:t>
      </w:r>
      <w:r>
        <w:rPr/>
        <w:t xml:space="preserve"> Diterapkan untuk zat kimia dengan waktu paruh eliminasi beberapa puluh jam (misalnya logam kromium atau pelarut trikloroetilen), di mana terjadi akumulasi bertingkat dari hari Senin hingga Jumat.</w:t>
      </w:r>
    </w:p>
    <w:p>
      <w:pPr>
        <w:spacing w:after="40"/>
        <w:ind w:left="340" w:hanging="283"/>
      </w:pPr>
      <w:r>
        <w:rPr/>
        <w:t xml:space="preserve">5. </w:t>
      </w:r>
      <w:r>
        <w:rPr>
          <w:b/>
        </w:rPr>
        <w:t>Prior to last shift (Sebelum Shift Terakhir Minggu Kerja):</w:t>
      </w:r>
    </w:p>
    <w:p>
      <w:pPr>
        <w:pStyle w:val="ListBullet2"/>
        <w:spacing w:after="20"/>
      </w:pPr>
      <w:r>
        <w:rPr>
          <w:i/>
        </w:rPr>
        <w:t>Ketentuan:</w:t>
      </w:r>
      <w:r>
        <w:rPr/>
        <w:t xml:space="preserve"> Sampel dikoleksi tepat sebelum dimulainya shift kerja terakhir dalam satu siklus minggu kerja (misal: Jumat pagi sebelum masuk kerja). (Contoh dokumen ACGIH: toluena dalam darah).</w:t>
      </w:r>
    </w:p>
    <w:p>
      <w:pPr>
        <w:spacing w:after="40"/>
        <w:ind w:left="340" w:hanging="283"/>
      </w:pPr>
      <w:r>
        <w:rPr/>
        <w:t xml:space="preserve">6. </w:t>
      </w:r>
      <w:r>
        <w:rPr>
          <w:b/>
        </w:rPr>
        <w:t>Increase during shift (Peningkatan Selama Shift):</w:t>
      </w:r>
    </w:p>
    <w:p>
      <w:pPr>
        <w:pStyle w:val="ListBullet2"/>
        <w:spacing w:after="20"/>
      </w:pPr>
      <w:r>
        <w:rPr>
          <w:i/>
        </w:rPr>
        <w:t>Ketentuan:</w:t>
      </w:r>
      <w:r>
        <w:rPr/>
        <w:t xml:space="preserve"> Menuntut </w:t>
      </w:r>
      <w:r>
        <w:rPr>
          <w:b/>
        </w:rPr>
        <w:t>pengambilan sampel ganda (</w:t>
      </w:r>
      <w:r>
        <w:rPr>
          <w:b/>
          <w:i/>
        </w:rPr>
        <w:t>paired pre- and post-shift</w:t>
      </w:r>
      <w:r>
        <w:rPr>
          <w:b/>
        </w:rPr>
        <w:t>)</w:t>
      </w:r>
      <w:r>
        <w:rPr/>
        <w:t>, yaitu sebelum shift dimulai dan sesudah shift berakhir, untuk menghitung selisih lonjakan konsentrasi determinan. (Contoh: peningkatan total kromium urin selama shift).</w:t>
      </w:r>
    </w:p>
    <w:p>
      <w:pPr>
        <w:spacing w:after="40"/>
        <w:ind w:left="340" w:hanging="283"/>
      </w:pPr>
      <w:r>
        <w:rPr/>
        <w:t xml:space="preserve">7. </w:t>
      </w:r>
      <w:r>
        <w:rPr>
          <w:b/>
        </w:rPr>
        <w:t>Discretionary / Not critical (Kapan Saja / Tidak Kritis):</w:t>
      </w:r>
    </w:p>
    <w:p>
      <w:pPr>
        <w:pStyle w:val="ListBullet2"/>
        <w:spacing w:after="20"/>
      </w:pPr>
      <w:r>
        <w:rPr>
          <w:i/>
        </w:rPr>
        <w:t>Ketentuan:</w:t>
      </w:r>
      <w:r>
        <w:rPr/>
        <w:t xml:space="preserve"> Pengambilan spesimen biologis </w:t>
      </w:r>
      <w:r>
        <w:rPr>
          <w:b/>
        </w:rPr>
        <w:t>dapat dilakukan kapan saja tanpa terikat jam kerja</w:t>
      </w:r>
      <w:r>
        <w:rPr/>
        <w:t>.</w:t>
      </w:r>
    </w:p>
    <w:p>
      <w:pPr>
        <w:pStyle w:val="ListBullet2"/>
        <w:spacing w:after="20"/>
      </w:pPr>
      <w:r>
        <w:rPr>
          <w:i/>
        </w:rPr>
        <w:t>Rasional Toksikokinetik:</w:t>
      </w:r>
      <w:r>
        <w:rPr/>
        <w:t xml:space="preserve"> Diterapkan khusus untuk toksikan yang memiliki </w:t>
      </w:r>
      <w:r>
        <w:rPr>
          <w:b/>
        </w:rPr>
        <w:t>waktu paruh biologis (</w:t>
      </w:r>
      <w:r>
        <w:rPr>
          <w:b/>
          <w:i/>
        </w:rPr>
        <w:t>biological half-life</w:t>
      </w:r>
      <w:r>
        <w:rPr>
          <w:b/>
        </w:rPr>
        <w:t>) sangat panjang</w:t>
      </w:r>
      <w:r>
        <w:rPr/>
        <w:t xml:space="preserve"> (berminggu-minggu, berbulan-bulan, hingga bertahun-tahun), seperti </w:t>
      </w:r>
      <w:r>
        <w:rPr>
          <w:b/>
        </w:rPr>
        <w:t>Timbal dalam darah (Pb-B)</w:t>
      </w:r>
      <w:r>
        <w:rPr/>
        <w:t xml:space="preserve"> atau </w:t>
      </w:r>
      <w:r>
        <w:rPr>
          <w:b/>
        </w:rPr>
        <w:t>Kadmium dalam urin (U-Cd)</w:t>
      </w:r>
      <w:r>
        <w:rPr/>
        <w:t>. Toksikan ini terakumulasi lambat hingga mencapai kondisi tunak (</w:t>
      </w:r>
      <w:r>
        <w:rPr>
          <w:i/>
        </w:rPr>
        <w:t>steady-state plateau</w:t>
      </w:r>
      <w:r>
        <w:rPr/>
        <w:t>).</w:t>
      </w:r>
    </w:p>
    <w:p>
      <w:pPr>
        <w:pStyle w:val="ListBullet2"/>
        <w:spacing w:after="20"/>
      </w:pPr>
      <w:r>
        <w:rPr>
          <w:i/>
        </w:rPr>
        <w:t>Peringatan Penting Penguji:</w:t>
      </w:r>
      <w:r>
        <w:rPr/>
        <w:t xml:space="preserve"> Pada pekerja baru, kadar determinan ini membutuhkan waktu berbulan-bulan hingga bertahun-tahun untuk mendekati angka BEI. Jika serial pemeriksaan dini menunjukkan </w:t>
      </w:r>
      <w:r>
        <w:rPr>
          <w:b/>
        </w:rPr>
        <w:t>lonjakan kenaikan yang tajam</w:t>
      </w:r>
      <w:r>
        <w:rPr/>
        <w:t xml:space="preserve">, situasi </w:t>
      </w:r>
      <w:r>
        <w:rPr>
          <w:i/>
        </w:rPr>
        <w:t>overexposure</w:t>
      </w:r>
      <w:r>
        <w:rPr/>
        <w:t xml:space="preserve"> sedang berlangsung dan intervensi harus segera dilakukan </w:t>
      </w:r>
      <w:r>
        <w:rPr>
          <w:b/>
        </w:rPr>
        <w:t>meskipun angkanya masih berada di bawah nilai BEI</w:t>
      </w:r>
      <w:r>
        <w:rPr/>
        <w:t>.</w:t>
      </w:r>
    </w:p>
    <w:p>
      <w:pPr>
        <w:pStyle w:val="Heading3"/>
      </w:pPr>
      <w:r>
        <w:t>4. Arti Notasi Interpretatif BEI ACGIH</w:t>
      </w:r>
    </w:p>
    <w:p>
      <w:pPr>
        <w:spacing w:after="80"/>
      </w:pPr>
      <w:r>
        <w:rPr/>
        <w:t>Nilai numerik BEI tidak boleh dibaca secara terisolasi tanpa menyertakan notasinya. Pengabaian notasi adalah kesalahan fatal dalam analisis pajanan:</w:t>
      </w:r>
    </w:p>
    <w:p>
      <w:pPr>
        <w:pStyle w:val="ListBullet"/>
        <w:spacing w:after="20"/>
      </w:pPr>
      <w:r>
        <w:rPr>
          <w:b/>
        </w:rPr>
        <w:t>Notasi "B" (</w:t>
      </w:r>
      <w:r>
        <w:rPr>
          <w:b/>
          <w:i/>
        </w:rPr>
        <w:t>Background</w:t>
      </w:r>
      <w:r>
        <w:rPr>
          <w:b/>
        </w:rPr>
        <w:t xml:space="preserve"> / Latar Belakang):</w:t>
      </w:r>
    </w:p>
    <w:p>
      <w:pPr>
        <w:pStyle w:val="ListBullet2"/>
        <w:spacing w:after="20"/>
      </w:pPr>
      <w:r>
        <w:rPr>
          <w:i/>
        </w:rPr>
        <w:t>Definisi:</w:t>
      </w:r>
      <w:r>
        <w:rPr/>
        <w:t xml:space="preserve"> Determinan dapat ditemukan dalam spesimen biologis individu normal yang </w:t>
      </w:r>
      <w:r>
        <w:rPr>
          <w:b/>
        </w:rPr>
        <w:t>tidak terpajan secara okupasi</w:t>
      </w:r>
      <w:r>
        <w:rPr/>
        <w:t>, pada konsentrasi yang dapat membiaskan interpretasi hasil pemeriksaan.</w:t>
      </w:r>
    </w:p>
    <w:p>
      <w:pPr>
        <w:pStyle w:val="ListBullet2"/>
        <w:spacing w:after="20"/>
      </w:pPr>
      <w:r>
        <w:rPr>
          <w:i/>
        </w:rPr>
        <w:t>Kriteria Numerik ACGIH:</w:t>
      </w:r>
      <w:r>
        <w:rPr/>
        <w:t xml:space="preserve"> Notasi "B" diberikan secara wajib apabila nilai </w:t>
      </w:r>
      <w:r>
        <w:rPr>
          <w:b/>
        </w:rPr>
        <w:t>persentil ke-95 (</w:t>
      </w:r>
      <w:r>
        <w:rPr>
          <w:b/>
          <w:i/>
        </w:rPr>
        <w:t>95th percentile</w:t>
      </w:r>
      <w:r>
        <w:rPr>
          <w:b/>
        </w:rPr>
        <w:t>)</w:t>
      </w:r>
      <w:r>
        <w:rPr/>
        <w:t xml:space="preserve"> dari populasi acak non-terpajan dalam survei nasional (seperti </w:t>
      </w:r>
      <w:r>
        <w:rPr>
          <w:i/>
        </w:rPr>
        <w:t>National Health and Nutrition Examination Survey</w:t>
      </w:r>
      <w:r>
        <w:rPr/>
        <w:t xml:space="preserve"> / NHANES CDC) </w:t>
      </w:r>
      <w:r>
        <w:rPr>
          <w:b/>
        </w:rPr>
        <w:t>melebihi 20% dari nilai BEI (&gt;20% BEI)</w:t>
      </w:r>
      <w:r>
        <w:rPr/>
        <w:t>.</w:t>
      </w:r>
    </w:p>
    <w:p>
      <w:pPr>
        <w:pStyle w:val="ListBullet2"/>
        <w:spacing w:after="20"/>
      </w:pPr>
      <w:r>
        <w:rPr>
          <w:i/>
        </w:rPr>
        <w:t>Implikasi Praktis:</w:t>
      </w:r>
      <w:r>
        <w:rPr/>
        <w:t xml:space="preserve"> Konsentrasi latar belakang umum tersebut telah diperhitungkan (</w:t>
      </w:r>
      <w:r>
        <w:rPr>
          <w:i/>
        </w:rPr>
        <w:t>incorporated</w:t>
      </w:r>
      <w:r>
        <w:rPr/>
        <w:t>) ke dalam penetapan nilai BEI. Contohnya: metabolit benzena (S-PMA dan t,t-MA) membawa notasi B karena paparan asap rokok dan polusi kendaraan; metabolit toluena (o-kresol) dan kadmium urin juga membawa notasi B.</w:t>
      </w:r>
    </w:p>
    <w:p>
      <w:pPr>
        <w:pStyle w:val="ListBullet"/>
        <w:spacing w:after="20"/>
      </w:pPr>
      <w:r>
        <w:rPr>
          <w:b/>
        </w:rPr>
        <w:t>Notasi "Nq" (</w:t>
      </w:r>
      <w:r>
        <w:rPr>
          <w:b/>
          <w:i/>
        </w:rPr>
        <w:t>Nonquantitative</w:t>
      </w:r>
      <w:r>
        <w:rPr>
          <w:b/>
        </w:rPr>
        <w:t xml:space="preserve"> / Non-Kuantitatif):</w:t>
      </w:r>
    </w:p>
    <w:p>
      <w:pPr>
        <w:pStyle w:val="ListBullet2"/>
        <w:spacing w:after="20"/>
      </w:pPr>
      <w:r>
        <w:rPr>
          <w:i/>
        </w:rPr>
        <w:t>Definisi:</w:t>
      </w:r>
      <w:r>
        <w:rPr/>
        <w:t xml:space="preserve"> Kajian komite menunjukkan bahwa pemantauan biologis sangat dianjurkan untuk zat tersebut, namun </w:t>
      </w:r>
      <w:r>
        <w:rPr>
          <w:b/>
        </w:rPr>
        <w:t>nilai numerik spesifik BEI belum dapat ditetapkan karena data kuantitatif dalam literatur ilmiah belum memadai</w:t>
      </w:r>
      <w:r>
        <w:rPr/>
        <w:t xml:space="preserve"> (</w:t>
      </w:r>
      <w:r>
        <w:rPr>
          <w:i/>
        </w:rPr>
        <w:t>insufficient data</w:t>
      </w:r>
      <w:r>
        <w:rPr/>
        <w:t>).</w:t>
      </w:r>
    </w:p>
    <w:p>
      <w:pPr>
        <w:pStyle w:val="ListBullet"/>
        <w:spacing w:after="20"/>
      </w:pPr>
      <w:r>
        <w:rPr>
          <w:b/>
        </w:rPr>
        <w:t>Notasi "Ns" (</w:t>
      </w:r>
      <w:r>
        <w:rPr>
          <w:b/>
          <w:i/>
        </w:rPr>
        <w:t>Nonspecific</w:t>
      </w:r>
      <w:r>
        <w:rPr>
          <w:b/>
        </w:rPr>
        <w:t xml:space="preserve"> / Non-Spesifik):</w:t>
      </w:r>
    </w:p>
    <w:p>
      <w:pPr>
        <w:pStyle w:val="ListBullet2"/>
        <w:spacing w:after="20"/>
      </w:pPr>
      <w:r>
        <w:rPr>
          <w:i/>
        </w:rPr>
        <w:t>Definisi:</w:t>
      </w:r>
      <w:r>
        <w:rPr/>
        <w:t xml:space="preserve"> Determinan biologis tersebut bersifat </w:t>
      </w:r>
      <w:r>
        <w:rPr>
          <w:b/>
        </w:rPr>
        <w:t>tidak spesifik</w:t>
      </w:r>
      <w:r>
        <w:rPr/>
        <w:t>, karena metabolit atau perubahan kimiawi yang sama dapat terbentuk akibat pajanan bahan kimia industri lain atau berasal dari jalur metabolisme endogen.</w:t>
      </w:r>
    </w:p>
    <w:p>
      <w:pPr>
        <w:pStyle w:val="ListBullet2"/>
        <w:spacing w:after="20"/>
      </w:pPr>
      <w:r>
        <w:rPr>
          <w:i/>
        </w:rPr>
        <w:t>Contoh Kasus:</w:t>
      </w:r>
      <w:r>
        <w:rPr/>
        <w:t xml:space="preserve"> Aseton dalam urin membawa notasi Ns karena dapat dihasilkan dari pajanan uap pelarut aseton, biotransformasi 2-propanol (isopropanol), atau ketogenesis fisiologis akibat diet ketogenik/diabetes melitus.</w:t>
      </w:r>
    </w:p>
    <w:p>
      <w:pPr>
        <w:pStyle w:val="ListBullet"/>
        <w:spacing w:after="20"/>
      </w:pPr>
      <w:r>
        <w:rPr>
          <w:i/>
        </w:rPr>
        <w:t>Notasi Terkait Tambahan:</w:t>
      </w:r>
    </w:p>
    <w:p>
      <w:pPr>
        <w:pStyle w:val="ListBullet2"/>
        <w:spacing w:after="20"/>
      </w:pPr>
      <w:r>
        <w:rPr>
          <w:b/>
        </w:rPr>
        <w:t>"Sq" (</w:t>
      </w:r>
      <w:r>
        <w:rPr>
          <w:b/>
          <w:i/>
        </w:rPr>
        <w:t>Semiquantitative</w:t>
      </w:r>
      <w:r>
        <w:rPr>
          <w:b/>
        </w:rPr>
        <w:t>):</w:t>
      </w:r>
      <w:r>
        <w:rPr/>
        <w:t xml:space="preserve"> Pengukuran biomarker mencerminkan pajanan, tetapi interpretasi kuantitatifnya ambigu; digunakan untuk tes penapis (</w:t>
      </w:r>
      <w:r>
        <w:rPr>
          <w:i/>
        </w:rPr>
        <w:t>screening</w:t>
      </w:r>
      <w:r>
        <w:rPr/>
        <w:t>) atau konfirmasi.</w:t>
      </w:r>
    </w:p>
    <w:p>
      <w:pPr>
        <w:pStyle w:val="ListBullet2"/>
        <w:spacing w:after="20"/>
      </w:pPr>
      <w:r>
        <w:rPr>
          <w:b/>
        </w:rPr>
        <w:t>"Pop" (</w:t>
      </w:r>
      <w:r>
        <w:rPr>
          <w:b/>
          <w:i/>
        </w:rPr>
        <w:t>Population-based</w:t>
      </w:r>
      <w:r>
        <w:rPr>
          <w:b/>
        </w:rPr>
        <w:t>):</w:t>
      </w:r>
      <w:r>
        <w:rPr/>
        <w:t xml:space="preserve"> Diberikan ketika data kesehatan kerja tidak cukup untuk menetapkan BEI berbasis efek kesehatan, namun data latar belakang populasi umum tersedia (mengacu persentil ke-95 NHANES) untuk membedakan pajanan okupasi versus lingkungan murni.</w:t>
      </w:r>
    </w:p>
    <w:p>
      <w:pPr>
        <w:pStyle w:val="Heading3"/>
      </w:pPr>
      <w:r>
        <w:t>5. Komparasi Fundamental: ACGIH BEI vs. DFG Jerman (BAT, EKA, BAR)</w:t>
      </w:r>
    </w:p>
    <w:p>
      <w:pPr>
        <w:spacing w:after="80"/>
      </w:pPr>
      <w:r>
        <w:rPr/>
        <w:t xml:space="preserve">Dalam ujian board, Anda sering diuji mengenai perbedaan filosofi antara sistem Amerika (ACGIH) dan Eropa Kontinental (DFG - </w:t>
      </w:r>
      <w:r>
        <w:rPr>
          <w:i/>
        </w:rPr>
        <w:t>Deutsche Forschungsgemeinschaft</w:t>
      </w:r>
      <w:r>
        <w:rPr/>
        <w:t xml:space="preserve"> / Komisi MAK Jerman):</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Dimensi Perbandingan</w:t>
            </w:r>
          </w:p>
        </w:tc>
        <w:tc>
          <w:tcPr>
            <w:tcW w:type="dxa" w:w="2381"/>
            <w:shd w:val="clear" w:color="auto" w:fill="DCE6F1"/>
          </w:tcPr>
          <w:p>
            <w:pPr>
              <w:spacing w:after="0"/>
            </w:pPr>
            <w:r/>
            <w:r>
              <w:rPr>
                <w:b/>
                <w:sz w:val="16"/>
              </w:rPr>
              <w:t>ACGIH BEI System (Amerika Serikat)</w:t>
            </w:r>
          </w:p>
        </w:tc>
        <w:tc>
          <w:tcPr>
            <w:tcW w:type="dxa" w:w="2381"/>
            <w:shd w:val="clear" w:color="auto" w:fill="DCE6F1"/>
          </w:tcPr>
          <w:p>
            <w:pPr>
              <w:spacing w:after="0"/>
            </w:pPr>
            <w:r/>
            <w:r>
              <w:rPr>
                <w:b/>
                <w:sz w:val="16"/>
              </w:rPr>
              <w:t>DFG MAK/BAT Commission (Jerman)</w:t>
            </w:r>
          </w:p>
        </w:tc>
        <w:tc>
          <w:tcPr>
            <w:tcW w:type="dxa" w:w="2381"/>
            <w:shd w:val="clear" w:color="auto" w:fill="DCE6F1"/>
          </w:tcPr>
          <w:p>
            <w:pPr>
              <w:spacing w:after="0"/>
            </w:pPr>
            <w:r/>
            <w:r>
              <w:rPr>
                <w:b/>
                <w:sz w:val="16"/>
              </w:rPr>
              <w:t>Sumber Dokumen Grounding</w:t>
            </w:r>
          </w:p>
        </w:tc>
      </w:tr>
      <w:tr>
        <w:tc>
          <w:tcPr>
            <w:tcW w:type="dxa" w:w="2381"/>
          </w:tcPr>
          <w:p>
            <w:pPr>
              <w:spacing w:after="0"/>
            </w:pPr>
            <w:r/>
            <w:r>
              <w:rPr>
                <w:b/>
                <w:sz w:val="16"/>
              </w:rPr>
              <w:t>Sifat Lembaga Pengembang</w:t>
            </w:r>
          </w:p>
        </w:tc>
        <w:tc>
          <w:tcPr>
            <w:tcW w:type="dxa" w:w="2381"/>
          </w:tcPr>
          <w:p>
            <w:pPr>
              <w:spacing w:after="0"/>
            </w:pPr>
            <w:r/>
            <w:r>
              <w:rPr>
                <w:b/>
                <w:sz w:val="16"/>
              </w:rPr>
              <w:t>Organisasi ilmiah swasta nirlaba 501(c)(3)</w:t>
            </w:r>
            <w:r>
              <w:rPr>
                <w:sz w:val="16"/>
              </w:rPr>
              <w:t>; asosiasi profesi sukarela, bukan lembaga pembuat regulasi pemerintah (</w:t>
            </w:r>
            <w:r>
              <w:rPr>
                <w:i/>
                <w:sz w:val="16"/>
              </w:rPr>
              <w:t>private professional society</w:t>
            </w:r>
            <w:r>
              <w:rPr>
                <w:sz w:val="16"/>
              </w:rPr>
              <w:t>).</w:t>
            </w:r>
          </w:p>
        </w:tc>
        <w:tc>
          <w:tcPr>
            <w:tcW w:type="dxa" w:w="2381"/>
          </w:tcPr>
          <w:p>
            <w:pPr>
              <w:spacing w:after="0"/>
            </w:pPr>
            <w:r/>
            <w:r>
              <w:rPr>
                <w:b/>
                <w:sz w:val="16"/>
              </w:rPr>
              <w:t>Komisi Senat Permanen DFG</w:t>
            </w:r>
            <w:r>
              <w:rPr>
                <w:sz w:val="16"/>
              </w:rPr>
              <w:t>; komisi ilmiah independen resmi yang menyusun rekomendasi basis saintifik untuk kementerian tenaga kerja Jerman.</w:t>
            </w:r>
          </w:p>
        </w:tc>
        <w:tc>
          <w:tcPr>
            <w:tcW w:type="dxa" w:w="2381"/>
          </w:tcPr>
          <w:p>
            <w:pPr>
              <w:spacing w:after="0"/>
            </w:pPr>
            <w:r/>
          </w:p>
        </w:tc>
      </w:tr>
      <w:tr>
        <w:tc>
          <w:tcPr>
            <w:tcW w:type="dxa" w:w="2381"/>
          </w:tcPr>
          <w:p>
            <w:pPr>
              <w:spacing w:after="0"/>
            </w:pPr>
            <w:r/>
            <w:r>
              <w:rPr>
                <w:b/>
                <w:sz w:val="16"/>
              </w:rPr>
              <w:t>Arsitektur Kerangka Nilai</w:t>
            </w:r>
          </w:p>
        </w:tc>
        <w:tc>
          <w:tcPr>
            <w:tcW w:type="dxa" w:w="2381"/>
          </w:tcPr>
          <w:p>
            <w:pPr>
              <w:spacing w:after="0"/>
            </w:pPr>
            <w:r/>
            <w:r>
              <w:rPr>
                <w:b/>
                <w:sz w:val="16"/>
              </w:rPr>
              <w:t>Nilai Tunggal (</w:t>
            </w:r>
            <w:r>
              <w:rPr>
                <w:b/>
                <w:i/>
                <w:sz w:val="16"/>
              </w:rPr>
              <w:t>Single BEI Value</w:t>
            </w:r>
            <w:r>
              <w:rPr>
                <w:b/>
                <w:sz w:val="16"/>
              </w:rPr>
              <w:t>)</w:t>
            </w:r>
            <w:r>
              <w:rPr>
                <w:sz w:val="16"/>
              </w:rPr>
              <w:t xml:space="preserve"> yang mewakili nilai median/rata-rata yang diharapkan pada pajanan setara TLV-TWA 8 jam.</w:t>
            </w:r>
          </w:p>
        </w:tc>
        <w:tc>
          <w:tcPr>
            <w:tcW w:type="dxa" w:w="2381"/>
          </w:tcPr>
          <w:p>
            <w:pPr>
              <w:spacing w:after="0"/>
            </w:pPr>
            <w:r/>
            <w:r>
              <w:rPr>
                <w:b/>
                <w:sz w:val="16"/>
              </w:rPr>
              <w:t>Sistem Tripartit Terpisah (</w:t>
            </w:r>
            <w:r>
              <w:rPr>
                <w:b/>
                <w:i/>
                <w:sz w:val="16"/>
              </w:rPr>
              <w:t>Tripartite Framework</w:t>
            </w:r>
            <w:r>
              <w:rPr>
                <w:b/>
                <w:sz w:val="16"/>
              </w:rPr>
              <w:t>)</w:t>
            </w:r>
            <w:r>
              <w:rPr>
                <w:sz w:val="16"/>
              </w:rPr>
              <w:t>: Memisahkan secara tegas antara nilai toleransi, korelasi karsinogen, dan referensi populasi.</w:t>
            </w:r>
          </w:p>
        </w:tc>
        <w:tc>
          <w:tcPr>
            <w:tcW w:type="dxa" w:w="2381"/>
          </w:tcPr>
          <w:p>
            <w:pPr>
              <w:spacing w:after="0"/>
            </w:pPr>
            <w:r/>
          </w:p>
        </w:tc>
      </w:tr>
      <w:tr>
        <w:tc>
          <w:tcPr>
            <w:tcW w:type="dxa" w:w="2381"/>
          </w:tcPr>
          <w:p>
            <w:pPr>
              <w:spacing w:after="0"/>
            </w:pPr>
            <w:r/>
            <w:r>
              <w:rPr>
                <w:b/>
                <w:sz w:val="16"/>
              </w:rPr>
              <w:t>1. Nilai Efek Non-Karsinogen</w:t>
            </w:r>
          </w:p>
        </w:tc>
        <w:tc>
          <w:tcPr>
            <w:tcW w:type="dxa" w:w="2381"/>
          </w:tcPr>
          <w:p>
            <w:pPr>
              <w:spacing w:after="0"/>
            </w:pPr>
            <w:r/>
            <w:r>
              <w:rPr>
                <w:b/>
                <w:sz w:val="16"/>
              </w:rPr>
              <w:t>BEI:</w:t>
            </w:r>
            <w:r>
              <w:rPr>
                <w:sz w:val="16"/>
              </w:rPr>
              <w:t xml:space="preserve"> Menetapkan batas numerik berdasarkan pencegahan efek merugikan kesehatan.</w:t>
            </w:r>
          </w:p>
        </w:tc>
        <w:tc>
          <w:tcPr>
            <w:tcW w:type="dxa" w:w="2381"/>
          </w:tcPr>
          <w:p>
            <w:pPr>
              <w:spacing w:after="0"/>
            </w:pPr>
            <w:r/>
            <w:r>
              <w:rPr>
                <w:b/>
                <w:sz w:val="16"/>
              </w:rPr>
              <w:t>BAT (</w:t>
            </w:r>
            <w:r>
              <w:rPr>
                <w:b/>
                <w:i/>
                <w:sz w:val="16"/>
              </w:rPr>
              <w:t>Biologischer Arbeitsstoff-Toleranzwert</w:t>
            </w:r>
            <w:r>
              <w:rPr>
                <w:b/>
                <w:sz w:val="16"/>
              </w:rPr>
              <w:t>)</w:t>
            </w:r>
            <w:r>
              <w:rPr>
                <w:sz w:val="16"/>
              </w:rPr>
              <w:t xml:space="preserve">: Didefinisikan secara ketat berbasis </w:t>
            </w:r>
            <w:r>
              <w:rPr>
                <w:b/>
                <w:sz w:val="16"/>
              </w:rPr>
              <w:t>NOAEL biologis</w:t>
            </w:r>
            <w:r>
              <w:rPr>
                <w:sz w:val="16"/>
              </w:rPr>
              <w:t>; batas maksimum konsentrasi yang tidak menimbulkan gangguan kesehatan.</w:t>
            </w:r>
          </w:p>
        </w:tc>
        <w:tc>
          <w:tcPr>
            <w:tcW w:type="dxa" w:w="2381"/>
          </w:tcPr>
          <w:p>
            <w:pPr>
              <w:spacing w:after="0"/>
            </w:pPr>
            <w:r/>
          </w:p>
        </w:tc>
      </w:tr>
      <w:tr>
        <w:tc>
          <w:tcPr>
            <w:tcW w:type="dxa" w:w="2381"/>
          </w:tcPr>
          <w:p>
            <w:pPr>
              <w:spacing w:after="0"/>
            </w:pPr>
            <w:r/>
            <w:r>
              <w:rPr>
                <w:b/>
                <w:sz w:val="16"/>
              </w:rPr>
              <w:t>2. Perlakuan terhadap Karsinogen (A1/A2 atau Kat 1/2)</w:t>
            </w:r>
          </w:p>
        </w:tc>
        <w:tc>
          <w:tcPr>
            <w:tcW w:type="dxa" w:w="2381"/>
          </w:tcPr>
          <w:p>
            <w:pPr>
              <w:spacing w:after="0"/>
            </w:pPr>
            <w:r/>
            <w:r>
              <w:rPr>
                <w:b/>
                <w:sz w:val="16"/>
              </w:rPr>
              <w:t>TETAP Menetapkan BEI Numerik:</w:t>
            </w:r>
            <w:r>
              <w:rPr>
                <w:sz w:val="16"/>
              </w:rPr>
              <w:t xml:space="preserve"> Menetapkan nilai BEI pada karsinogen manusia (seperti Benzena = S-PMA 25 µg/g kreatinin) sebagai indikator dosis yang setara dengan TLV udara.</w:t>
            </w:r>
          </w:p>
        </w:tc>
        <w:tc>
          <w:tcPr>
            <w:tcW w:type="dxa" w:w="2381"/>
          </w:tcPr>
          <w:p>
            <w:pPr>
              <w:spacing w:after="0"/>
            </w:pPr>
            <w:r/>
            <w:r>
              <w:rPr>
                <w:b/>
                <w:sz w:val="16"/>
              </w:rPr>
              <w:t>SECARA TEGAS MENOLAK Menetapkan BAT:</w:t>
            </w:r>
            <w:r>
              <w:rPr>
                <w:sz w:val="16"/>
              </w:rPr>
              <w:t xml:space="preserve"> Karena karsinogen genotoksik tidak memiliki ambang aman (</w:t>
            </w:r>
            <w:r>
              <w:rPr>
                <w:i/>
                <w:sz w:val="16"/>
              </w:rPr>
              <w:t>no-threshold</w:t>
            </w:r>
            <w:r>
              <w:rPr>
                <w:sz w:val="16"/>
              </w:rPr>
              <w:t xml:space="preserve">), DFG menolak konsep "toleransi" (BAT). Sebagai gantinya, DFG menerbitkan </w:t>
            </w:r>
            <w:r>
              <w:rPr>
                <w:b/>
                <w:sz w:val="16"/>
              </w:rPr>
              <w:t>EKA</w:t>
            </w:r>
            <w:r>
              <w:rPr>
                <w:sz w:val="16"/>
              </w:rPr>
              <w:t xml:space="preserve"> (</w:t>
            </w:r>
            <w:r>
              <w:rPr>
                <w:i/>
                <w:sz w:val="16"/>
              </w:rPr>
              <w:t>Expositionsäquivalente</w:t>
            </w:r>
            <w:r>
              <w:rPr>
                <w:sz w:val="16"/>
              </w:rPr>
              <w:t>).</w:t>
            </w:r>
          </w:p>
        </w:tc>
        <w:tc>
          <w:tcPr>
            <w:tcW w:type="dxa" w:w="2381"/>
          </w:tcPr>
          <w:p>
            <w:pPr>
              <w:spacing w:after="0"/>
            </w:pPr>
            <w:r/>
          </w:p>
        </w:tc>
      </w:tr>
      <w:tr>
        <w:tc>
          <w:tcPr>
            <w:tcW w:type="dxa" w:w="2381"/>
          </w:tcPr>
          <w:p>
            <w:pPr>
              <w:spacing w:after="0"/>
            </w:pPr>
            <w:r/>
            <w:r>
              <w:rPr>
                <w:b/>
                <w:sz w:val="16"/>
              </w:rPr>
              <w:t>3. Fungsi Nilai EKA (DFG)</w:t>
            </w:r>
          </w:p>
        </w:tc>
        <w:tc>
          <w:tcPr>
            <w:tcW w:type="dxa" w:w="2381"/>
          </w:tcPr>
          <w:p>
            <w:pPr>
              <w:spacing w:after="0"/>
            </w:pPr>
            <w:r/>
            <w:r>
              <w:rPr>
                <w:i/>
                <w:sz w:val="16"/>
              </w:rPr>
              <w:t>Tidak dikenal padanan langsung.</w:t>
            </w:r>
            <w:r>
              <w:rPr>
                <w:sz w:val="16"/>
              </w:rPr>
              <w:t xml:space="preserve"> ACGIH menyatukan nilai karsinogen ke dalam tabel BEI umum.</w:t>
            </w:r>
          </w:p>
        </w:tc>
        <w:tc>
          <w:tcPr>
            <w:tcW w:type="dxa" w:w="2381"/>
          </w:tcPr>
          <w:p>
            <w:pPr>
              <w:spacing w:after="0"/>
            </w:pPr>
            <w:r/>
            <w:r>
              <w:rPr>
                <w:b/>
                <w:sz w:val="16"/>
              </w:rPr>
              <w:t>EKA (</w:t>
            </w:r>
            <w:r>
              <w:rPr>
                <w:b/>
                <w:i/>
                <w:sz w:val="16"/>
              </w:rPr>
              <w:t>Exposure Equivalents</w:t>
            </w:r>
            <w:r>
              <w:rPr>
                <w:b/>
                <w:sz w:val="16"/>
              </w:rPr>
              <w:t>):</w:t>
            </w:r>
            <w:r>
              <w:rPr>
                <w:sz w:val="16"/>
              </w:rPr>
              <w:t xml:space="preserve"> Hubungan korelasi deskriptif dosis-respons antara kadar karsinogen di udara dengan biomarker internal; </w:t>
            </w:r>
            <w:r>
              <w:rPr>
                <w:b/>
                <w:sz w:val="16"/>
              </w:rPr>
              <w:t>bukan batas aman</w:t>
            </w:r>
            <w:r>
              <w:rPr>
                <w:sz w:val="16"/>
              </w:rPr>
              <w:t>.</w:t>
            </w:r>
          </w:p>
        </w:tc>
        <w:tc>
          <w:tcPr>
            <w:tcW w:type="dxa" w:w="2381"/>
          </w:tcPr>
          <w:p>
            <w:pPr>
              <w:spacing w:after="0"/>
            </w:pPr>
            <w:r/>
          </w:p>
        </w:tc>
      </w:tr>
      <w:tr>
        <w:tc>
          <w:tcPr>
            <w:tcW w:type="dxa" w:w="2381"/>
          </w:tcPr>
          <w:p>
            <w:pPr>
              <w:spacing w:after="0"/>
            </w:pPr>
            <w:r/>
            <w:r>
              <w:rPr>
                <w:b/>
                <w:sz w:val="16"/>
              </w:rPr>
              <w:t>4. Penanganan Latar Belakang Populasi</w:t>
            </w:r>
          </w:p>
        </w:tc>
        <w:tc>
          <w:tcPr>
            <w:tcW w:type="dxa" w:w="2381"/>
          </w:tcPr>
          <w:p>
            <w:pPr>
              <w:spacing w:after="0"/>
            </w:pPr>
            <w:r/>
            <w:r>
              <w:rPr>
                <w:sz w:val="16"/>
              </w:rPr>
              <w:t xml:space="preserve">Menggunakan </w:t>
            </w:r>
            <w:r>
              <w:rPr>
                <w:b/>
                <w:sz w:val="16"/>
              </w:rPr>
              <w:t>Notasi B</w:t>
            </w:r>
            <w:r>
              <w:rPr>
                <w:sz w:val="16"/>
              </w:rPr>
              <w:t xml:space="preserve"> (&gt;20% BEI) atau notasi </w:t>
            </w:r>
            <w:r>
              <w:rPr>
                <w:b/>
                <w:sz w:val="16"/>
              </w:rPr>
              <w:t>Pop</w:t>
            </w:r>
            <w:r>
              <w:rPr>
                <w:sz w:val="16"/>
              </w:rPr>
              <w:t xml:space="preserve"> jika data kesehatan kerja tidak ada.</w:t>
            </w:r>
          </w:p>
        </w:tc>
        <w:tc>
          <w:tcPr>
            <w:tcW w:type="dxa" w:w="2381"/>
          </w:tcPr>
          <w:p>
            <w:pPr>
              <w:spacing w:after="0"/>
            </w:pPr>
            <w:r/>
            <w:r>
              <w:rPr>
                <w:sz w:val="16"/>
              </w:rPr>
              <w:t xml:space="preserve">Menerbitkan nilai resmi </w:t>
            </w:r>
            <w:r>
              <w:rPr>
                <w:b/>
                <w:sz w:val="16"/>
              </w:rPr>
              <w:t>BAR (</w:t>
            </w:r>
            <w:r>
              <w:rPr>
                <w:b/>
                <w:i/>
                <w:sz w:val="16"/>
              </w:rPr>
              <w:t>Biologischer Arbeitsstoff-Referenzwert</w:t>
            </w:r>
            <w:r>
              <w:rPr>
                <w:b/>
                <w:sz w:val="16"/>
              </w:rPr>
              <w:t>)</w:t>
            </w:r>
            <w:r>
              <w:rPr>
                <w:sz w:val="16"/>
              </w:rPr>
              <w:t xml:space="preserve">: Nilai persentil ke-95 populasi umum non-terpajan, yang </w:t>
            </w:r>
            <w:r>
              <w:rPr>
                <w:b/>
                <w:sz w:val="16"/>
              </w:rPr>
              <w:t>distratifikasi secara ketat untuk bukan perokok (</w:t>
            </w:r>
            <w:r>
              <w:rPr>
                <w:b/>
                <w:i/>
                <w:sz w:val="16"/>
              </w:rPr>
              <w:t>nonsmokers</w:t>
            </w:r>
            <w:r>
              <w:rPr>
                <w:b/>
                <w:sz w:val="16"/>
              </w:rPr>
              <w:t>)</w:t>
            </w:r>
            <w:r>
              <w:rPr>
                <w:sz w:val="16"/>
              </w:rPr>
              <w:t>.</w:t>
            </w:r>
          </w:p>
        </w:tc>
        <w:tc>
          <w:tcPr>
            <w:tcW w:type="dxa" w:w="2381"/>
          </w:tcPr>
          <w:p>
            <w:pPr>
              <w:spacing w:after="0"/>
            </w:pPr>
            <w:r/>
          </w:p>
        </w:tc>
      </w:tr>
      <w:tr>
        <w:tc>
          <w:tcPr>
            <w:tcW w:type="dxa" w:w="2381"/>
          </w:tcPr>
          <w:p>
            <w:pPr>
              <w:spacing w:after="0"/>
            </w:pPr>
            <w:r/>
            <w:r>
              <w:rPr>
                <w:b/>
                <w:sz w:val="16"/>
              </w:rPr>
              <w:t>Filosofi Nilai Ambang</w:t>
            </w:r>
          </w:p>
        </w:tc>
        <w:tc>
          <w:tcPr>
            <w:tcW w:type="dxa" w:w="2381"/>
          </w:tcPr>
          <w:p>
            <w:pPr>
              <w:spacing w:after="0"/>
            </w:pPr>
            <w:r/>
            <w:r>
              <w:rPr>
                <w:sz w:val="16"/>
              </w:rPr>
              <w:t xml:space="preserve">Nilai acuan yang merujuk pada </w:t>
            </w:r>
            <w:r>
              <w:rPr>
                <w:b/>
                <w:sz w:val="16"/>
              </w:rPr>
              <w:t>rata-rata kelompok pekerja (</w:t>
            </w:r>
            <w:r>
              <w:rPr>
                <w:b/>
                <w:i/>
                <w:sz w:val="16"/>
              </w:rPr>
              <w:t>group average</w:t>
            </w:r>
            <w:r>
              <w:rPr>
                <w:b/>
                <w:sz w:val="16"/>
              </w:rPr>
              <w:t>)</w:t>
            </w:r>
            <w:r>
              <w:rPr>
                <w:sz w:val="16"/>
              </w:rPr>
              <w:t>. Ekskursi individual diperbolehkan jika rata-rata kelompok terkendali.</w:t>
            </w:r>
          </w:p>
        </w:tc>
        <w:tc>
          <w:tcPr>
            <w:tcW w:type="dxa" w:w="2381"/>
          </w:tcPr>
          <w:p>
            <w:pPr>
              <w:spacing w:after="0"/>
            </w:pPr>
            <w:r/>
            <w:r>
              <w:rPr>
                <w:sz w:val="16"/>
              </w:rPr>
              <w:t xml:space="preserve">BAT merujuk pada </w:t>
            </w:r>
            <w:r>
              <w:rPr>
                <w:b/>
                <w:sz w:val="16"/>
              </w:rPr>
              <w:t>konsentrasi batas atas individual (</w:t>
            </w:r>
            <w:r>
              <w:rPr>
                <w:b/>
                <w:i/>
                <w:sz w:val="16"/>
              </w:rPr>
              <w:t>ceiling / highest permissible value</w:t>
            </w:r>
            <w:r>
              <w:rPr>
                <w:b/>
                <w:sz w:val="16"/>
              </w:rPr>
              <w:t>)</w:t>
            </w:r>
            <w:r>
              <w:rPr>
                <w:sz w:val="16"/>
              </w:rPr>
              <w:t xml:space="preserve"> yang tidak boleh dilampaui oleh setiap pekerja.</w:t>
            </w:r>
          </w:p>
        </w:tc>
        <w:tc>
          <w:tcPr>
            <w:tcW w:type="dxa" w:w="2381"/>
          </w:tcPr>
          <w:p>
            <w:pPr>
              <w:spacing w:after="0"/>
            </w:pPr>
            <w:r/>
          </w:p>
        </w:tc>
      </w:tr>
    </w:tbl>
    <w:p>
      <w:pPr>
        <w:spacing w:after="40"/>
      </w:pPr>
    </w:p>
    <w:p>
      <w:pPr>
        <w:pStyle w:val="Heading3"/>
      </w:pPr>
      <w:r>
        <w:t>6. Penegasan Kedokteran Okupasi: Apa yang BUKAN BEI (What a BEI is NOT)</w:t>
      </w:r>
    </w:p>
    <w:p>
      <w:pPr>
        <w:spacing w:after="80"/>
      </w:pPr>
      <w:r>
        <w:rPr/>
        <w:t>Sebagai dokter spesialis, integritas klinis Anda diuji di sini. Kegagalan memahami batas epistemologis BEI dapat menimbulkan malpraktik administratif, seperti pemecatan sepihak pekerja atau salah mendiagnosis penyakit akibat kerja:</w:t>
      </w:r>
    </w:p>
    <w:p>
      <w:pPr>
        <w:pStyle w:val="Heading4"/>
      </w:pPr>
      <w:r>
        <w:t>a. BEI BUKAN Alat Ukur Efek Merugikan atau Batas Diagnosis Penyakit (Not a Measure of Adverse Effects or Diagnosis of Illness)</w:t>
      </w:r>
    </w:p>
    <w:p>
      <w:pPr>
        <w:pStyle w:val="ListBullet"/>
        <w:spacing w:after="20"/>
      </w:pPr>
      <w:r>
        <w:rPr>
          <w:b/>
        </w:rPr>
        <w:t>Prinsip Eksplisit ACGIH:</w:t>
      </w:r>
      <w:r>
        <w:rPr/>
        <w:t xml:space="preserve"> Dokumen pendahuluan ACGIH menegaskan secara lugas: </w:t>
      </w:r>
      <w:r>
        <w:rPr>
          <w:i/>
        </w:rPr>
        <w:t>"The BEIs are not intended for use as a measure of adverse effects or for diagnosis of occupational illness"</w:t>
      </w:r>
      <w:r>
        <w:rPr/>
        <w:t>.</w:t>
      </w:r>
    </w:p>
    <w:p>
      <w:pPr>
        <w:pStyle w:val="ListBullet"/>
        <w:spacing w:after="20"/>
      </w:pPr>
      <w:r>
        <w:rPr>
          <w:b/>
        </w:rPr>
        <w:t>Pembedaan Biomarker Dosis vs. Efek:</w:t>
      </w:r>
      <w:r>
        <w:rPr/>
        <w:t xml:space="preserve"> Determinan BEI (seperti S-PMA benzena atau metabolit pelarut) adalah </w:t>
      </w:r>
      <w:r>
        <w:rPr>
          <w:b/>
        </w:rPr>
        <w:t>biomarker pajanan/dosis internal (</w:t>
      </w:r>
      <w:r>
        <w:rPr>
          <w:b/>
          <w:i/>
        </w:rPr>
        <w:t>exposure biomarker</w:t>
      </w:r>
      <w:r>
        <w:rPr>
          <w:b/>
        </w:rPr>
        <w:t>)</w:t>
      </w:r>
      <w:r>
        <w:rPr/>
        <w:t>, bukan biomarker kerusakan klinis.</w:t>
      </w:r>
    </w:p>
    <w:p>
      <w:pPr>
        <w:pStyle w:val="ListBullet"/>
        <w:spacing w:after="20"/>
      </w:pPr>
      <w:r>
        <w:rPr>
          <w:b/>
        </w:rPr>
        <w:t>Analogi Toksikologi (Penting untuk Ujian):</w:t>
      </w:r>
      <w:r>
        <w:rPr/>
        <w:t xml:space="preserve"> Berbeda dengan HbA1c yang merupakan biomarker efek kegagalan homeostasis metabolik (menandakan diabetes), ekskresi S-PMA dalam urin justru membuktikan </w:t>
      </w:r>
      <w:r>
        <w:rPr>
          <w:b/>
        </w:rPr>
        <w:t>keberhasilan proses metabolik detoksifikasi tubuh</w:t>
      </w:r>
      <w:r>
        <w:rPr/>
        <w:t xml:space="preserve"> melalui konjugasi glutation untuk membuang metabolit reaktif. Tingginya S-PMA menunjukkan pekerja telah menyerap dan mendetoksifikasi benzena, </w:t>
      </w:r>
      <w:r>
        <w:rPr>
          <w:b/>
        </w:rPr>
        <w:t>bukan membuktikan pekerja tersebut menderita anemia aplastik atau leukemia</w:t>
      </w:r>
      <w:r>
        <w:rPr/>
        <w:t>.</w:t>
      </w:r>
    </w:p>
    <w:p>
      <w:pPr>
        <w:pStyle w:val="ListBullet"/>
        <w:spacing w:after="20"/>
      </w:pPr>
      <w:r>
        <w:rPr>
          <w:b/>
        </w:rPr>
        <w:t>Bukan Garis Batas Kaku (</w:t>
      </w:r>
      <w:r>
        <w:rPr>
          <w:b/>
          <w:i/>
        </w:rPr>
        <w:t>Not Fine Lines</w:t>
      </w:r>
      <w:r>
        <w:rPr>
          <w:b/>
        </w:rPr>
        <w:t>):</w:t>
      </w:r>
      <w:r>
        <w:rPr/>
        <w:t xml:space="preserve"> ACGIH menegaskan bahwa BEI bukan garis kaku antara konsentrasi aman dan berbahaya (</w:t>
      </w:r>
      <w:r>
        <w:rPr>
          <w:i/>
        </w:rPr>
        <w:t>neither rigid lines between safe and dangerous concentrations nor an index of toxicity</w:t>
      </w:r>
      <w:r>
        <w:rPr/>
        <w:t xml:space="preserve">). Seorang pekerja yang hasil labnya melampaui BEI </w:t>
      </w:r>
      <w:r>
        <w:rPr>
          <w:b/>
        </w:rPr>
        <w:t>tidak otomatis mengalami peningkatan risiko klinis atau menderita penyakit</w:t>
      </w:r>
      <w:r>
        <w:rPr/>
        <w:t>, karena variabilitas farmakokinetik, polimorfisme genetik enzim detoksifikasi, dan perbedaan kebiasaan hidup.</w:t>
      </w:r>
    </w:p>
    <w:p>
      <w:pPr>
        <w:pStyle w:val="ListBullet"/>
        <w:spacing w:after="20"/>
      </w:pPr>
      <w:r>
        <w:rPr>
          <w:b/>
        </w:rPr>
        <w:t>Protokol Tindakan:</w:t>
      </w:r>
      <w:r>
        <w:rPr/>
        <w:t xml:space="preserve"> Hasil BEI yang melebihi batas adalah alarm untuk </w:t>
      </w:r>
      <w:r>
        <w:rPr>
          <w:b/>
        </w:rPr>
        <w:t>menginvestigasi lingkungan kerja, mengevaluasi kebocoran APD, memeriksa fungsi ventilasi, serta mengulang analisis spesimen</w:t>
      </w:r>
      <w:r>
        <w:rPr/>
        <w:t xml:space="preserve">. ACGIH melarang tindakan administratif atau medis berat dijatuhkan hanya berdasarkan </w:t>
      </w:r>
      <w:r>
        <w:rPr>
          <w:b/>
        </w:rPr>
        <w:t>satu hasil uji tunggal (</w:t>
      </w:r>
      <w:r>
        <w:rPr>
          <w:b/>
          <w:i/>
        </w:rPr>
        <w:t>single result</w:t>
      </w:r>
      <w:r>
        <w:rPr>
          <w:b/>
        </w:rPr>
        <w:t>)</w:t>
      </w:r>
      <w:r>
        <w:rPr/>
        <w:t xml:space="preserve"> tanpa konfirmasi serial.</w:t>
      </w:r>
    </w:p>
    <w:p>
      <w:pPr>
        <w:pStyle w:val="Heading4"/>
      </w:pPr>
      <w:r>
        <w:t>b. BEI BUKAN Standar Hukum Wajib (Not a Legal Standard)</w:t>
      </w:r>
    </w:p>
    <w:p>
      <w:pPr>
        <w:pStyle w:val="ListBullet"/>
        <w:spacing w:after="20"/>
      </w:pPr>
      <w:r>
        <w:rPr>
          <w:b/>
        </w:rPr>
        <w:t>Pernyataan Kebijakan Resmi (</w:t>
      </w:r>
      <w:r>
        <w:rPr>
          <w:b/>
          <w:i/>
        </w:rPr>
        <w:t>ACGIH Policy Statement</w:t>
      </w:r>
      <w:r>
        <w:rPr>
          <w:b/>
        </w:rPr>
        <w:t>):</w:t>
      </w:r>
      <w:r>
        <w:rPr/>
        <w:t xml:space="preserve"> ACGIH menyatakan secara tertulis: </w:t>
      </w:r>
      <w:r>
        <w:rPr>
          <w:i/>
        </w:rPr>
        <w:t>"They are not developed for use as legal standards and ACGIH does not advocate their use as such"</w:t>
      </w:r>
      <w:r>
        <w:rPr/>
        <w:t>.</w:t>
      </w:r>
    </w:p>
    <w:p>
      <w:pPr>
        <w:pStyle w:val="ListBullet"/>
        <w:spacing w:after="20"/>
      </w:pPr>
      <w:r>
        <w:rPr>
          <w:b/>
        </w:rPr>
        <w:t>Eksklusi Kelayakan Ekonomi dan Teknologi:</w:t>
      </w:r>
      <w:r>
        <w:rPr/>
        <w:t xml:space="preserve"> ACGIH adalah lembaga ilmiah swasta, bukan badan regulasi pemerintah. Dalam menetapkan angka TLV dan BEI, ACGIH </w:t>
      </w:r>
      <w:r>
        <w:rPr>
          <w:b/>
        </w:rPr>
        <w:t>sama sekali tidak mempertimbangkan kelayakan ekonomi (</w:t>
      </w:r>
      <w:r>
        <w:rPr>
          <w:b/>
          <w:i/>
        </w:rPr>
        <w:t>economic feasibility</w:t>
      </w:r>
      <w:r>
        <w:rPr>
          <w:b/>
        </w:rPr>
        <w:t>) maupun ketersediaan teknologi pengendalian (</w:t>
      </w:r>
      <w:r>
        <w:rPr>
          <w:b/>
          <w:i/>
        </w:rPr>
        <w:t>technical feasibility</w:t>
      </w:r>
      <w:r>
        <w:rPr>
          <w:b/>
        </w:rPr>
        <w:t>)</w:t>
      </w:r>
      <w:r>
        <w:rPr/>
        <w:t xml:space="preserve"> bagi industri.</w:t>
      </w:r>
    </w:p>
    <w:p>
      <w:pPr>
        <w:pStyle w:val="ListBullet"/>
        <w:spacing w:after="20"/>
      </w:pPr>
      <w:r>
        <w:rPr>
          <w:b/>
        </w:rPr>
        <w:t>Konsekuensi Yuridis:</w:t>
      </w:r>
      <w:r>
        <w:rPr/>
        <w:t xml:space="preserve"> Lembaga pemerintah yang menetapkan undang-undang (seperti OSHA di AS atau Kementerian Ketenagakerjaan di Indonesia) diwajibkan oleh undang-undang untuk mempertimbangkan dampak ekonomi, sosial, dan kemampuan kepatuhan industri sebelum menetapkan standar hukum yang mengikat (</w:t>
      </w:r>
      <w:r>
        <w:rPr>
          <w:i/>
        </w:rPr>
        <w:t>legally binding statutory standards</w:t>
      </w:r>
      <w:r>
        <w:rPr/>
        <w:t>).</w:t>
      </w:r>
    </w:p>
    <w:p>
      <w:pPr>
        <w:pStyle w:val="ListBullet"/>
        <w:spacing w:after="20"/>
      </w:pPr>
      <w:r>
        <w:rPr>
          <w:i/>
        </w:rPr>
        <w:t>Catatan Regulasi:</w:t>
      </w:r>
      <w:r>
        <w:rPr/>
        <w:t xml:space="preserve"> Ketika otoritas nasional (misalnya Permenaker No. 5 Tahun 2018 di Indonesia) mengadopsi angka-angka BEI ke dalam bentuk </w:t>
      </w:r>
      <w:r>
        <w:rPr>
          <w:b/>
        </w:rPr>
        <w:t>Indeks Pajanan Biologi (IPB)</w:t>
      </w:r>
      <w:r>
        <w:rPr/>
        <w:t xml:space="preserve">, nilai tersebut memperoleh kekuatan hukum positif di yurisdiksi Indonesia melalui regulasi menteri; namun status intrinsik dokumen asli ACGIH itu sendiri tetap merupakan </w:t>
      </w:r>
      <w:r>
        <w:rPr>
          <w:b/>
        </w:rPr>
        <w:t>panduan profesional berbasis kesehatan (</w:t>
      </w:r>
      <w:r>
        <w:rPr>
          <w:b/>
          <w:i/>
        </w:rPr>
        <w:t>health-based scientific guidelines</w:t>
      </w:r>
      <w:r>
        <w:rPr>
          <w:b/>
        </w:rPr>
        <w:t>)</w:t>
      </w:r>
      <w:r>
        <w:rPr/>
        <w:t>, bukan instrumen hukum legal.</w:t>
      </w:r>
    </w:p>
    <w:p>
      <w:r>
        <w:rPr>
          <w:b/>
          <w:sz w:val="16"/>
        </w:rPr>
        <w:t>Sumber yang dirujuk NotebookLM:</w:t>
      </w:r>
    </w:p>
    <w:p>
      <w:pPr>
        <w:spacing w:after="0"/>
        <w:ind w:left="283"/>
      </w:pPr>
      <w:r>
        <w:rPr>
          <w:b/>
          <w:color w:val="595959"/>
          <w:sz w:val="16"/>
        </w:rPr>
        <w:t>ACGIH (2026 Edition / Current).</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 xml:space="preserve"> — Bagian: </w:t>
      </w:r>
      <w:r>
        <w:rPr>
          <w:i/>
          <w:color w:val="595959"/>
          <w:sz w:val="16"/>
        </w:rPr>
        <w:t>Policy Statement on the Uses of TLVs and BEIs</w:t>
      </w:r>
      <w:r>
        <w:rPr>
          <w:color w:val="595959"/>
          <w:sz w:val="16"/>
        </w:rPr>
        <w:t xml:space="preserve"> (hlm. v–vii, 144–157); </w:t>
      </w:r>
      <w:r>
        <w:rPr>
          <w:i/>
          <w:color w:val="595959"/>
          <w:sz w:val="16"/>
        </w:rPr>
        <w:t>Introduction to the Biological Exposure Indices</w:t>
      </w:r>
      <w:r>
        <w:rPr>
          <w:color w:val="595959"/>
          <w:sz w:val="16"/>
        </w:rPr>
        <w:t xml:space="preserve"> (Definisi BEI, Determinan, Rute Dermal, Sampling Times 1–7, Kriteria Urin WHO, Notasi B, Nq, Ns, Sq, Pop, QA/QC, hlm. 107–112); serta </w:t>
      </w:r>
      <w:r>
        <w:rPr>
          <w:i/>
          <w:color w:val="595959"/>
          <w:sz w:val="16"/>
        </w:rPr>
        <w:t>Adopted Biological Exposure Determinants Tables</w:t>
      </w:r>
      <w:r>
        <w:rPr>
          <w:color w:val="595959"/>
          <w:sz w:val="16"/>
        </w:rPr>
        <w:t>.</w:t>
      </w:r>
    </w:p>
    <w:p>
      <w:pPr>
        <w:spacing w:after="0"/>
        <w:ind w:left="283"/>
      </w:pPr>
      <w:r>
        <w:rPr>
          <w:b/>
          <w:color w:val="595959"/>
          <w:sz w:val="16"/>
        </w:rPr>
        <w:t>Kim, Yangwoo (2026).</w:t>
      </w:r>
      <w:r>
        <w:rPr>
          <w:color w:val="595959"/>
          <w:sz w:val="16"/>
        </w:rPr>
        <w:t xml:space="preserve"> </w:t>
      </w:r>
      <w:r>
        <w:rPr>
          <w:i/>
          <w:color w:val="595959"/>
          <w:sz w:val="16"/>
        </w:rPr>
        <w:t>What a biological exposure index is not: lessons from benzene for South Korea’s special health examination.</w:t>
      </w:r>
      <w:r>
        <w:rPr>
          <w:color w:val="595959"/>
          <w:sz w:val="16"/>
        </w:rPr>
        <w:t xml:space="preserve"> Industrial Health (Advance Publication J-STAGE, Oct 2026) — Komparasi ACGIH vs DFG MAK/BAT Commission, Definisi BAT, EKA, BAR, Notasi B/BAR Nonsmokers, Analogi Epistemologis HbA1c vs S-PMA, dan Kritik Penggunaan Regulasi Statis.</w:t>
      </w:r>
    </w:p>
    <w:p>
      <w:pPr>
        <w:spacing w:after="0"/>
        <w:ind w:left="283"/>
      </w:pPr>
      <w:r>
        <w:rPr>
          <w:b/>
          <w:color w:val="595959"/>
          <w:sz w:val="16"/>
        </w:rPr>
        <w:t>Prof. Dr. dr. Muchtaruddin Mansyur, MS, Sp.Ok, Subsp.Tok-Ko.</w:t>
      </w:r>
      <w:r>
        <w:rPr>
          <w:color w:val="595959"/>
          <w:sz w:val="16"/>
        </w:rPr>
        <w:t xml:space="preserve"> </w:t>
      </w:r>
      <w:r>
        <w:rPr>
          <w:i/>
          <w:color w:val="595959"/>
          <w:sz w:val="16"/>
        </w:rPr>
        <w:t>Monitoring dan Petanda Biologis</w:t>
      </w:r>
      <w:r>
        <w:rPr>
          <w:color w:val="595959"/>
          <w:sz w:val="16"/>
        </w:rPr>
        <w:t xml:space="preserve"> — Slide 4–8: Nilai Rujukan (ACGIH BEI vs DFG BAT), Skema Waktu Sampling, dan Penjaminan Mutu Laboratorium.</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Glosarium (Definisi Indeks Pajanan Biologi/IPB) dan Bab 2: </w:t>
      </w:r>
      <w:r>
        <w:rPr>
          <w:i/>
          <w:color w:val="595959"/>
          <w:sz w:val="16"/>
        </w:rPr>
        <w:t>Simpul Pemantauan Biologis dan Waktu Pengambilan Sampel ACGIH (Prior to shift, During shift, End of shift, End of workweek, Not critical)</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Pasal 1 angka 10 (Definisi Indeks Pajanan Biologi/IPB) dan Lampiran Tabel Faktor Kimia (Catatan Segitiga BEI/IPB).</w:t>
      </w:r>
    </w:p>
    <w:p>
      <w:pPr>
        <w:spacing w:after="0"/>
        <w:ind w:left="283"/>
      </w:pPr>
      <w:r>
        <w:rPr>
          <w:b/>
          <w:color w:val="595959"/>
          <w:sz w:val="16"/>
        </w:rPr>
        <w:t>Hodgson, E. (2010).</w:t>
      </w:r>
      <w:r>
        <w:rPr>
          <w:color w:val="595959"/>
          <w:sz w:val="16"/>
        </w:rPr>
        <w:t xml:space="preserve"> </w:t>
      </w:r>
      <w:r>
        <w:rPr>
          <w:i/>
          <w:color w:val="595959"/>
          <w:sz w:val="16"/>
        </w:rPr>
        <w:t>A Textbook of Modern Toxicology (4th ed.)</w:t>
      </w:r>
      <w:r>
        <w:rPr>
          <w:color w:val="595959"/>
          <w:sz w:val="16"/>
        </w:rPr>
        <w:t xml:space="preserve"> — Bab 2: </w:t>
      </w:r>
      <w:r>
        <w:rPr>
          <w:i/>
          <w:color w:val="595959"/>
          <w:sz w:val="16"/>
        </w:rPr>
        <w:t>Biological Limit Values (BLVs), Measurements of Exposure vs Response</w:t>
      </w:r>
      <w:r>
        <w:rPr>
          <w:color w:val="595959"/>
          <w:sz w:val="16"/>
        </w:rPr>
        <w:t>.</w:t>
      </w:r>
    </w:p>
    <w:p>
      <w:pPr>
        <w:pStyle w:val="Heading2"/>
      </w:pPr>
      <w:bookmarkStart w:id="108" w:name="toc_008"/>
      <w:r>
        <w:t>1.8 Koreksi urin (kreatinin dan berat jenis)</w:t>
      </w:r>
      <w:bookmarkEnd w:id="108"/>
    </w:p>
    <w:p>
      <w:pPr>
        <w:pStyle w:val="Heading3"/>
      </w:pPr>
      <w:r>
        <w:t>1. Koreksi Kreatinin (Creatinine Adjustment)</w:t>
      </w:r>
    </w:p>
    <w:p>
      <w:pPr>
        <w:pStyle w:val="Heading4"/>
      </w:pPr>
      <w:r>
        <w:t>a. Landasan Fisiologis</w:t>
      </w:r>
    </w:p>
    <w:p>
      <w:pPr>
        <w:spacing w:after="80"/>
      </w:pPr>
      <w:r>
        <w:rPr/>
        <w:t xml:space="preserve">Kreatinin adalah produk limbah metabolisme endogen dari pemecahan kreatin fosfat pada otot rangka, yang diproduksi oleh tubuh dengan laju yang relatif konstan pada individu sehat dan diekskresikan hampir seluruhnya melalui filtrasi glomerulus ginjal. Oleh karena itu, rasio antara konsentrasi analit toksikan terhadap konsentrasi kreatinin urin digunakan untuk </w:t>
      </w:r>
      <w:r>
        <w:rPr>
          <w:b/>
        </w:rPr>
        <w:t>menstandarisasi variasi laju aliran urin (</w:t>
      </w:r>
      <w:r>
        <w:rPr>
          <w:b/>
          <w:i/>
        </w:rPr>
        <w:t>urine flow rate</w:t>
      </w:r>
      <w:r>
        <w:rPr>
          <w:b/>
        </w:rPr>
        <w:t>)</w:t>
      </w:r>
      <w:r>
        <w:rPr/>
        <w:t xml:space="preserve"> pada sampel urin sewaktu.</w:t>
      </w:r>
    </w:p>
    <w:p>
      <w:pPr>
        <w:pStyle w:val="Heading4"/>
      </w:pPr>
      <w:r>
        <w:t>b. Rumus Matematis dan Konversi Satuan</w:t>
      </w:r>
    </w:p>
    <w:p>
      <w:pPr>
        <w:spacing w:after="80"/>
      </w:pPr>
      <w:r>
        <w:rPr/>
        <w:t>Koreksi kreatinin menyatakan massa toksikan per satuan massa kreatinin:</w:t>
      </w:r>
    </w:p>
    <w:p>
      <w:pPr>
        <w:spacing w:after="60"/>
        <w:jc w:val="center"/>
      </w:pPr>
      <w:r>
        <w:rPr>
          <w:i/>
        </w:rPr>
        <w:t>C_(terkoreksi) = (C_(analit))/(C_(kreatinin))</w:t>
      </w:r>
    </w:p>
    <w:p>
      <w:pPr>
        <w:pStyle w:val="ListBullet"/>
        <w:spacing w:after="20"/>
      </w:pPr>
      <w:r>
        <w:rPr/>
        <w:t xml:space="preserve">Jika konsentrasi analit diukur dalam </w:t>
      </w:r>
      <w:r>
        <w:rPr>
          <w:b/>
        </w:rPr>
        <w:t>µg/L</w:t>
      </w:r>
      <w:r>
        <w:rPr/>
        <w:t xml:space="preserve"> dan kreatinin urin diukur dalam </w:t>
      </w:r>
      <w:r>
        <w:rPr>
          <w:b/>
        </w:rPr>
        <w:t>g/L</w:t>
      </w:r>
      <w:r>
        <w:rPr/>
        <w:t>:</w:t>
      </w:r>
    </w:p>
    <w:p>
      <w:pPr>
        <w:spacing w:after="60"/>
        <w:jc w:val="center"/>
      </w:pPr>
      <w:r>
        <w:rPr>
          <w:i/>
        </w:rPr>
        <w:t>C_(terkoreksi) (µg/g kreatinin) = (C_(analit) (µg/L))/(C_(kreatinin) (g/L))</w:t>
      </w:r>
    </w:p>
    <w:p>
      <w:pPr>
        <w:pStyle w:val="ListBullet"/>
        <w:spacing w:after="20"/>
      </w:pPr>
      <w:r>
        <w:rPr/>
        <w:t xml:space="preserve">Jika analit diukur dalam </w:t>
      </w:r>
      <w:r>
        <w:rPr>
          <w:b/>
        </w:rPr>
        <w:t>mg/L</w:t>
      </w:r>
      <w:r>
        <w:rPr/>
        <w:t xml:space="preserve"> dan kreatinin dalam </w:t>
      </w:r>
      <w:r>
        <w:rPr>
          <w:b/>
        </w:rPr>
        <w:t>g/L</w:t>
      </w:r>
      <w:r>
        <w:rPr/>
        <w:t>:</w:t>
      </w:r>
    </w:p>
    <w:p>
      <w:pPr>
        <w:spacing w:after="60"/>
        <w:jc w:val="center"/>
      </w:pPr>
      <w:r>
        <w:rPr>
          <w:i/>
        </w:rPr>
        <w:t>C_(terkoreksi) (mg/g kreatinin) = (C_(analit) (mg/L))/(C_(kreatinin) (g/L))</w:t>
      </w:r>
    </w:p>
    <w:p>
      <w:pPr>
        <w:pStyle w:val="ListBullet"/>
        <w:spacing w:after="20"/>
      </w:pPr>
      <w:r>
        <w:rPr>
          <w:i/>
        </w:rPr>
        <w:t>Konversi Satuan Massa/Volume:</w:t>
      </w:r>
      <w:r>
        <w:rPr/>
        <w:t xml:space="preserve"> Karena 1 g/L = 100 mg/dL, maka konsentrasi kreatinin dalam </w:t>
      </w:r>
      <w:r>
        <w:rPr>
          <w:b/>
        </w:rPr>
        <w:t>mg/dL</w:t>
      </w:r>
      <w:r>
        <w:rPr/>
        <w:t xml:space="preserve"> dikonversi ke </w:t>
      </w:r>
      <w:r>
        <w:rPr>
          <w:b/>
        </w:rPr>
        <w:t>g/L</w:t>
      </w:r>
      <w:r>
        <w:rPr/>
        <w:t xml:space="preserve"> dengan membaginya dengan 100:</w:t>
      </w:r>
    </w:p>
    <w:p>
      <w:pPr>
        <w:spacing w:after="60"/>
        <w:jc w:val="center"/>
      </w:pPr>
      <w:r>
        <w:rPr>
          <w:i/>
        </w:rPr>
        <w:t>C_(kreatinin) (g/L) = (C_(kreatinin) (mg/dL))/(100)</w:t>
      </w:r>
    </w:p>
    <w:p>
      <w:pPr>
        <w:pStyle w:val="Heading4"/>
      </w:pPr>
      <w:r>
        <w:t>c. Rentang Kreatinin Urin yang Dapat Diterima (Acceptable Range)</w:t>
      </w:r>
    </w:p>
    <w:p>
      <w:pPr>
        <w:spacing w:after="80"/>
      </w:pPr>
      <w:r>
        <w:rPr/>
        <w:t xml:space="preserve">Pedoman baku dari </w:t>
      </w:r>
      <w:r>
        <w:rPr>
          <w:i/>
        </w:rPr>
        <w:t>World Health Organization</w:t>
      </w:r>
      <w:r>
        <w:rPr/>
        <w:t xml:space="preserve"> (WHO) dan ACGIH menetapkan batasan ketat bagi kelayakan spesimen urin untuk biomonitoring okupasi:</w:t>
      </w:r>
    </w:p>
    <w:p>
      <w:pPr>
        <w:spacing w:after="60"/>
        <w:jc w:val="center"/>
      </w:pPr>
      <w:r>
        <w:rPr>
          <w:i/>
        </w:rPr>
        <w:t>0,3 g/L &lt; C_(kreatinin) &lt; 3,0 g/L atau 30 mg/dL &lt; C_(kreatinin) &lt; 300 mg/dL</w:t>
      </w:r>
    </w:p>
    <w:p>
      <w:pPr>
        <w:pStyle w:val="ListBullet"/>
        <w:spacing w:after="20"/>
      </w:pPr>
      <w:r>
        <w:rPr>
          <w:i/>
        </w:rPr>
        <w:t>Satuan Internasional (SI / Molaritas):</w:t>
      </w:r>
      <w:r>
        <w:rPr/>
        <w:t xml:space="preserve"> Rentang 0,3 – 3,0 g/L ini setara dengan </w:t>
      </w:r>
      <w:r>
        <w:rPr>
          <w:b/>
        </w:rPr>
        <w:t>2,65 s.d. 26,53 mmol/L</w:t>
      </w:r>
      <w:r>
        <w:rPr/>
        <w:t xml:space="preserve"> (sering dibulatkan oleh laboratorium rujukan seperti </w:t>
      </w:r>
      <w:r>
        <w:rPr>
          <w:i/>
        </w:rPr>
        <w:t>Health and Safety Laboratory</w:t>
      </w:r>
      <w:r>
        <w:rPr/>
        <w:t xml:space="preserve"> / HSL Inggris menjadi </w:t>
      </w:r>
      <w:r>
        <w:rPr>
          <w:b/>
        </w:rPr>
        <w:t>3 s.d. 30 mmol/L</w:t>
      </w:r>
      <w:r>
        <w:rPr/>
        <w:t>).</w:t>
      </w:r>
    </w:p>
    <w:p>
      <w:pPr>
        <w:pStyle w:val="Heading4"/>
      </w:pPr>
      <w:r>
        <w:t>d. Keterbatasan Klinis Koreksi Kreatinin (Wajib Dipahami untuk Ujian)</w:t>
      </w:r>
    </w:p>
    <w:p>
      <w:pPr>
        <w:spacing w:after="80"/>
      </w:pPr>
      <w:r>
        <w:rPr/>
        <w:t xml:space="preserve">Penelitian epidemiologi okupasi oleh Cocker et al. (2011) pada lebih dari 49.000 sampel pekerja membuktikan bahwa ekskresi kreatinin sangat dipengaruhi oleh </w:t>
      </w:r>
      <w:r>
        <w:rPr>
          <w:b/>
        </w:rPr>
        <w:t>massa otot rangka, usia, dan jenis kelamin</w:t>
      </w:r>
      <w:r>
        <w:rPr/>
        <w:t>:</w:t>
      </w:r>
    </w:p>
    <w:p>
      <w:pPr>
        <w:spacing w:after="40"/>
        <w:ind w:left="340" w:hanging="283"/>
      </w:pPr>
      <w:r>
        <w:rPr/>
        <w:t xml:space="preserve">1. </w:t>
      </w:r>
      <w:r>
        <w:rPr>
          <w:b/>
        </w:rPr>
        <w:t>Variabilitas Gender:</w:t>
      </w:r>
      <w:r>
        <w:rPr/>
        <w:t xml:space="preserve"> Ekskresi kreatinin urin pria dewasa signifikan lebih tinggi (rata-rata 13 mmol/L atau ≈ 1,47 g/L) dibandingkan wanita (rata-rata 9,8 mmol/L atau ≈ 1,11 g/L).</w:t>
      </w:r>
    </w:p>
    <w:p>
      <w:pPr>
        <w:spacing w:after="40"/>
        <w:ind w:left="340" w:hanging="283"/>
      </w:pPr>
      <w:r>
        <w:rPr/>
        <w:t xml:space="preserve">2. </w:t>
      </w:r>
      <w:r>
        <w:rPr>
          <w:b/>
        </w:rPr>
        <w:t>Dampak Kepatuhan Batas Reject:</w:t>
      </w:r>
      <w:r>
        <w:rPr/>
        <w:t xml:space="preserve"> Akibat perbedaan massa otot, penerapan batas bawah 0,3 g/L menyebabkan </w:t>
      </w:r>
      <w:r>
        <w:rPr>
          <w:b/>
        </w:rPr>
        <w:t>9% sampel urin pekerja wanita ditolak (</w:t>
      </w:r>
      <w:r>
        <w:rPr>
          <w:b/>
          <w:i/>
        </w:rPr>
        <w:t>flagged as low creatinine</w:t>
      </w:r>
      <w:r>
        <w:rPr>
          <w:b/>
        </w:rPr>
        <w:t>)</w:t>
      </w:r>
      <w:r>
        <w:rPr/>
        <w:t xml:space="preserve">, berbanding hanya </w:t>
      </w:r>
      <w:r>
        <w:rPr>
          <w:b/>
        </w:rPr>
        <w:t>2,5% pada pekerja pria</w:t>
      </w:r>
      <w:r>
        <w:rPr/>
        <w:t>.</w:t>
      </w:r>
    </w:p>
    <w:p>
      <w:pPr>
        <w:spacing w:after="40"/>
        <w:ind w:left="340" w:hanging="283"/>
      </w:pPr>
      <w:r>
        <w:rPr/>
        <w:t xml:space="preserve">3. </w:t>
      </w:r>
      <w:r>
        <w:rPr>
          <w:b/>
        </w:rPr>
        <w:t>Artefak Hasil:</w:t>
      </w:r>
      <w:r>
        <w:rPr/>
        <w:t xml:space="preserve"> Penurunan kadar kreatinin fisiologis pada wanita atau individu tua dapat menghasilkan </w:t>
      </w:r>
      <w:r>
        <w:rPr>
          <w:b/>
        </w:rPr>
        <w:t>angka biomarker terkoreksi yang tampak lebih tinggi secara semu (</w:t>
      </w:r>
      <w:r>
        <w:rPr>
          <w:b/>
          <w:i/>
        </w:rPr>
        <w:t>artefact of creatinine adjustment</w:t>
      </w:r>
      <w:r>
        <w:rPr>
          <w:b/>
        </w:rPr>
        <w:t>)</w:t>
      </w:r>
      <w:r>
        <w:rPr/>
        <w:t>, yang keliru disangka sebagai pajanan berlebih di tempat kerja.</w:t>
      </w:r>
    </w:p>
    <w:p>
      <w:pPr>
        <w:pStyle w:val="Heading3"/>
      </w:pPr>
      <w:r>
        <w:t>2. Koreksi Berat Jenis Urin (Specific Gravity / SG Adjustment)</w:t>
      </w:r>
    </w:p>
    <w:p>
      <w:pPr>
        <w:pStyle w:val="Heading4"/>
      </w:pPr>
      <w:r>
        <w:t>a. Landasan Fisik</w:t>
      </w:r>
    </w:p>
    <w:p>
      <w:pPr>
        <w:spacing w:after="80"/>
      </w:pPr>
      <w:r>
        <w:rPr/>
        <w:t>Berat jenis (</w:t>
      </w:r>
      <w:r>
        <w:rPr>
          <w:i/>
        </w:rPr>
        <w:t>Specific Gravity</w:t>
      </w:r>
      <w:r>
        <w:rPr/>
        <w:t>) mengukur perbandingan massa jenis urin terhadap air murni, yang mencerminkan konsentrasi total seluruh zat terlarut (</w:t>
      </w:r>
      <w:r>
        <w:rPr>
          <w:i/>
        </w:rPr>
        <w:t>solute load</w:t>
      </w:r>
      <w:r>
        <w:rPr/>
        <w:t>) di dalam urin. Koreksi berat jenis menjadi alternatif unggulan ketika koreksi kreatinin tidak dapat diandalkan (misalnya pada pekerja malnutrisi, atrofi otot, atau perempuan pekerja).</w:t>
      </w:r>
    </w:p>
    <w:p>
      <w:pPr>
        <w:pStyle w:val="Heading4"/>
      </w:pPr>
      <w:r>
        <w:t>b. Rumus Matematis Koreksi Berat Jenis</w:t>
      </w:r>
    </w:p>
    <w:p>
      <w:pPr>
        <w:spacing w:after="80"/>
      </w:pPr>
      <w:r>
        <w:rPr/>
        <w:t>Koreksi dilakukan dengan menormalisasi konsentrasi analit mentah terhadap nilai berat jenis referensi standar:</w:t>
      </w:r>
    </w:p>
    <w:p>
      <w:pPr>
        <w:spacing w:after="60"/>
        <w:jc w:val="center"/>
      </w:pPr>
      <w:r>
        <w:rPr>
          <w:i/>
        </w:rPr>
        <w:t>C_(terkoreksi) = C_(analit) × ( (SG_(referensi) - 1,000)/(SG_(sampel) - 1,000) )</w:t>
      </w:r>
    </w:p>
    <w:p>
      <w:pPr>
        <w:spacing w:after="80"/>
      </w:pPr>
      <w:r>
        <w:rPr/>
        <w:t>Di mana:</w:t>
      </w:r>
    </w:p>
    <w:p>
      <w:pPr>
        <w:pStyle w:val="ListBullet"/>
        <w:spacing w:after="20"/>
      </w:pPr>
      <w:r>
        <w:rPr/>
        <w:t>C_(analit) = Konsentrasi analit yang terukur langsung di laboratorium (misalnya dalam µg/L atau mg/L).</w:t>
      </w:r>
    </w:p>
    <w:p>
      <w:pPr>
        <w:pStyle w:val="ListBullet"/>
        <w:spacing w:after="20"/>
      </w:pPr>
      <w:r>
        <w:rPr/>
        <w:t>SG_(sampel) = Berat jenis urin pekerja yang diukur dengan refraktometer.</w:t>
      </w:r>
    </w:p>
    <w:p>
      <w:pPr>
        <w:pStyle w:val="ListBullet"/>
        <w:spacing w:after="20"/>
      </w:pPr>
      <w:r>
        <w:rPr/>
        <w:t xml:space="preserve">SG_(referensi) = Berat jenis baku yang disepakati sebagai acuan populasi normal. Dalam literatur higienis internasional dan WHO, nilai standar yang lazim digunakan adalah </w:t>
      </w:r>
      <w:r>
        <w:rPr>
          <w:b/>
        </w:rPr>
        <w:t>1,024</w:t>
      </w:r>
      <w:r>
        <w:rPr/>
        <w:t xml:space="preserve"> (atau pada beberapa panduan ditetapkan </w:t>
      </w:r>
      <w:r>
        <w:rPr>
          <w:b/>
        </w:rPr>
        <w:t>1,020</w:t>
      </w:r>
      <w:r>
        <w:rPr/>
        <w:t>).</w:t>
      </w:r>
    </w:p>
    <w:p>
      <w:pPr>
        <w:spacing w:after="80"/>
      </w:pPr>
      <w:r>
        <w:rPr>
          <w:i/>
        </w:rPr>
        <w:t>Contoh Perhitungan:</w:t>
      </w:r>
    </w:p>
    <w:p>
      <w:pPr>
        <w:spacing w:after="80"/>
      </w:pPr>
      <w:r>
        <w:rPr/>
        <w:t xml:space="preserve">Jika analit urin terukur </w:t>
      </w:r>
      <w:r>
        <w:rPr>
          <w:b/>
        </w:rPr>
        <w:t>10 µg/L</w:t>
      </w:r>
      <w:r>
        <w:rPr/>
        <w:t xml:space="preserve"> pada urin yang agak encer dengan SG_(sampel) = 1,012, dengan nilai acuan baku SG_(referensi) = 1,024:</w:t>
      </w:r>
    </w:p>
    <w:p>
      <w:pPr>
        <w:spacing w:after="60"/>
        <w:jc w:val="center"/>
      </w:pPr>
      <w:r>
        <w:rPr>
          <w:i/>
        </w:rPr>
        <w:t>C_(terkoreksi) = 10 × ( (1,024 - 1,000)/(1,012 - 1,000) ) = 10 × ( (0,024)/(0,012) ) = 10 × 2 = 20 µg/L</w:t>
      </w:r>
    </w:p>
    <w:p>
      <w:pPr>
        <w:pStyle w:val="Heading4"/>
      </w:pPr>
      <w:r>
        <w:t>c. Rentang Berat Jenis yang Dapat Diterima</w:t>
      </w:r>
    </w:p>
    <w:p>
      <w:pPr>
        <w:spacing w:after="80"/>
      </w:pPr>
      <w:r>
        <w:rPr/>
        <w:t>Kriteria akseptabilitas spesimen urin menurut WHO dan ACGIH menetapkan batas:</w:t>
      </w:r>
    </w:p>
    <w:p>
      <w:pPr>
        <w:spacing w:after="60"/>
        <w:jc w:val="center"/>
      </w:pPr>
      <w:r>
        <w:rPr>
          <w:i/>
        </w:rPr>
        <w:t>1,010 &lt; SG &lt; 1,030</w:t>
      </w:r>
    </w:p>
    <w:p>
      <w:pPr>
        <w:pStyle w:val="Heading3"/>
      </w:pPr>
      <w:r>
        <w:t>3. Kapan Urin TIDAK Boleh Diinterpretasi dan Kapan TIDAK Perlu Dikoreksi</w:t>
      </w:r>
    </w:p>
    <w:p>
      <w:pPr>
        <w:spacing w:after="80"/>
      </w:pPr>
      <w:r>
        <w:rPr/>
        <w:t>Sebagai penguji, saya kerap melihat residen memaksakan rumus koreksi pada semua hasil laboratorium. Catat prinsip-prinsip mutlak berikut:</w:t>
      </w:r>
    </w:p>
    <w:p>
      <w:pPr>
        <w:spacing w:after="120"/>
        <w:ind w:left="170"/>
      </w:pPr>
      <w:r>
        <w:rPr>
          <w:rFonts w:ascii="Consolas" w:hAnsi="Consolas" w:eastAsia="Consolas"/>
          <w:sz w:val="13"/>
        </w:rPr>
        <w:t xml:space="preserve">                              [ ALUR UJI KELAYAKAN SPESIMEN URIN ]</w:t>
      </w:r>
      <w:r>
        <w:br/>
      </w:r>
      <w:r>
        <w:rPr>
          <w:rFonts w:ascii="Consolas" w:hAnsi="Consolas" w:eastAsia="Consolas"/>
          <w:sz w:val="13"/>
        </w:rPr>
        <w:t xml:space="preserve">                                               │</w:t>
      </w:r>
      <w:r>
        <w:br/>
      </w:r>
      <w:r>
        <w:rPr>
          <w:rFonts w:ascii="Consolas" w:hAnsi="Consolas" w:eastAsia="Consolas"/>
          <w:sz w:val="13"/>
        </w:rPr>
        <w:t xml:space="preserve">                                 Periksa Parameter Pengenceran:</w:t>
      </w:r>
      <w:r>
        <w:br/>
      </w:r>
      <w:r>
        <w:rPr>
          <w:rFonts w:ascii="Consolas" w:hAnsi="Consolas" w:eastAsia="Consolas"/>
          <w:sz w:val="13"/>
        </w:rPr>
        <w:t xml:space="preserve">                             • Kreatinin: 0,3 - 3,0 g/L (30 - 300 mg/dL)</w:t>
      </w:r>
      <w:r>
        <w:br/>
      </w:r>
      <w:r>
        <w:rPr>
          <w:rFonts w:ascii="Consolas" w:hAnsi="Consolas" w:eastAsia="Consolas"/>
          <w:sz w:val="13"/>
        </w:rPr>
        <w:t xml:space="preserve">                             • Berat Jenis (SG): 1,010 - 1,030</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DI LUAR RENTANG ]                             [ DALAM RENTANG ]</w:t>
      </w:r>
      <w:r>
        <w:br/>
      </w:r>
      <w:r>
        <w:rPr>
          <w:rFonts w:ascii="Consolas" w:hAnsi="Consolas" w:eastAsia="Consolas"/>
          <w:sz w:val="13"/>
        </w:rPr>
        <w:t xml:space="preserve">     (Terlalu Encer atau Terlalu Pekat)                               │</w:t>
      </w:r>
      <w:r>
        <w:br/>
      </w:r>
      <w:r>
        <w:rPr>
          <w:rFonts w:ascii="Consolas" w:hAnsi="Consolas" w:eastAsia="Consolas"/>
          <w:sz w:val="13"/>
        </w:rPr>
        <w:t xml:space="preserve">                        │                                             │</w:t>
      </w:r>
      <w:r>
        <w:br/>
      </w:r>
      <w:r>
        <w:rPr>
          <w:rFonts w:ascii="Consolas" w:hAnsi="Consolas" w:eastAsia="Consolas"/>
          <w:sz w:val="13"/>
        </w:rPr>
        <w:t xml:space="preserve">             TIDAK BOLEH DIINTERPRETASI                               ▼</w:t>
      </w:r>
      <w:r>
        <w:br/>
      </w:r>
      <w:r>
        <w:rPr>
          <w:rFonts w:ascii="Consolas" w:hAnsi="Consolas" w:eastAsia="Consolas"/>
          <w:sz w:val="13"/>
        </w:rPr>
        <w:t xml:space="preserve">           • Buang sampel (Discard sample)                Tinjau Karakteristik Toksikan</w:t>
      </w:r>
      <w:r>
        <w:br/>
      </w:r>
      <w:r>
        <w:rPr>
          <w:rFonts w:ascii="Consolas" w:hAnsi="Consolas" w:eastAsia="Consolas"/>
          <w:sz w:val="13"/>
        </w:rPr>
        <w:t xml:space="preserve">           • Minta pengambilan ulang spesimen             &amp; Rujukan BEI / Standar IPB:</w:t>
      </w:r>
      <w:r>
        <w:br/>
      </w:r>
      <w:r>
        <w:rPr>
          <w:rFonts w:ascii="Consolas" w:hAnsi="Consolas" w:eastAsia="Consolas"/>
          <w:sz w:val="13"/>
        </w:rPr>
        <w:t xml:space="preserve">           • Lakukan evaluasi medik pekerja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KOREKSI KREATININ / SG ]                     [ TIDAK PERLU KOREKSI ]</w:t>
      </w:r>
      <w:r>
        <w:br/>
      </w:r>
      <w:r>
        <w:rPr>
          <w:rFonts w:ascii="Consolas" w:hAnsi="Consolas" w:eastAsia="Consolas"/>
          <w:sz w:val="13"/>
        </w:rPr>
        <w:t xml:space="preserve">                                     • Kinetika ekskresi sejalan                    • Ekskresi lewat difusi pasif</w:t>
      </w:r>
      <w:r>
        <w:br/>
      </w:r>
      <w:r>
        <w:rPr>
          <w:rFonts w:ascii="Consolas" w:hAnsi="Consolas" w:eastAsia="Consolas"/>
          <w:sz w:val="13"/>
        </w:rPr>
        <w:t xml:space="preserve">                                       dengan diuresis/filtrasi                       tubulus ginjal.</w:t>
      </w:r>
      <w:r>
        <w:br/>
      </w:r>
      <w:r>
        <w:rPr>
          <w:rFonts w:ascii="Consolas" w:hAnsi="Consolas" w:eastAsia="Consolas"/>
          <w:sz w:val="13"/>
        </w:rPr>
        <w:t xml:space="preserve">                                     • Satuan BEI/IPB memang                        • Satuan BEI/IPB sejak awal</w:t>
      </w:r>
      <w:r>
        <w:br/>
      </w:r>
      <w:r>
        <w:rPr>
          <w:rFonts w:ascii="Consolas" w:hAnsi="Consolas" w:eastAsia="Consolas"/>
          <w:sz w:val="13"/>
        </w:rPr>
        <w:t xml:space="preserve">                                       berbasis kreatinin (µg/g).                     volumetrik absolut (mg/L).</w:t>
      </w:r>
    </w:p>
    <w:p>
      <w:pPr>
        <w:pStyle w:val="Heading4"/>
      </w:pPr>
      <w:r>
        <w:t>a. Kapan Urin TIDAK BOLEH Diinterpretasi (Sample Rejection Criteria)</w:t>
      </w:r>
    </w:p>
    <w:p>
      <w:pPr>
        <w:spacing w:after="80"/>
      </w:pPr>
      <w:r>
        <w:rPr/>
        <w:t xml:space="preserve">Hasil laboratorium urin </w:t>
      </w:r>
      <w:r>
        <w:rPr>
          <w:b/>
        </w:rPr>
        <w:t>wajib dibuang (</w:t>
      </w:r>
      <w:r>
        <w:rPr>
          <w:b/>
          <w:i/>
        </w:rPr>
        <w:t>discarded</w:t>
      </w:r>
      <w:r>
        <w:rPr>
          <w:b/>
        </w:rPr>
        <w:t>) dan TIDAK BOLEH diinterpretasi secara medis maupun administratif</w:t>
      </w:r>
      <w:r>
        <w:rPr/>
        <w:t xml:space="preserve"> apabila berada di luar kriteria akseptabilitas:</w:t>
      </w:r>
    </w:p>
    <w:p>
      <w:pPr>
        <w:spacing w:after="40"/>
        <w:ind w:left="340" w:hanging="283"/>
      </w:pPr>
      <w:r>
        <w:rPr/>
        <w:t xml:space="preserve">1. </w:t>
      </w:r>
      <w:r>
        <w:rPr>
          <w:b/>
        </w:rPr>
        <w:t>Urin Terlalu Encer (</w:t>
      </w:r>
      <w:r>
        <w:rPr>
          <w:b/>
          <w:i/>
        </w:rPr>
        <w:t>Highly Dilute Urine</w:t>
      </w:r>
      <w:r>
        <w:rPr>
          <w:b/>
        </w:rPr>
        <w:t>):</w:t>
      </w:r>
    </w:p>
    <w:p>
      <w:pPr>
        <w:pStyle w:val="ListBullet2"/>
        <w:spacing w:after="20"/>
      </w:pPr>
      <w:r>
        <w:rPr/>
        <w:t xml:space="preserve">Kadar kreatinin </w:t>
      </w:r>
      <w:r>
        <w:rPr>
          <w:b/>
        </w:rPr>
        <w:t>≤ 0,3 g/L (&lt; 30 mg/dL)</w:t>
      </w:r>
      <w:r>
        <w:rPr/>
        <w:t xml:space="preserve"> atau </w:t>
      </w:r>
      <w:r>
        <w:rPr>
          <w:b/>
        </w:rPr>
        <w:t>SG ≤ 1,010</w:t>
      </w:r>
      <w:r>
        <w:rPr/>
        <w:t>.</w:t>
      </w:r>
    </w:p>
    <w:p>
      <w:pPr>
        <w:pStyle w:val="ListBullet2"/>
        <w:spacing w:after="20"/>
      </w:pPr>
      <w:r>
        <w:rPr>
          <w:i/>
        </w:rPr>
        <w:t>Bahaya Toksikologis:</w:t>
      </w:r>
      <w:r>
        <w:rPr/>
        <w:t xml:space="preserve"> Konsentrasi analit mentah sering jatuh di bawah batas deteksi instrumen (</w:t>
      </w:r>
      <w:r>
        <w:rPr>
          <w:i/>
        </w:rPr>
        <w:t>limit of detection</w:t>
      </w:r>
      <w:r>
        <w:rPr/>
        <w:t xml:space="preserve"> / LOD). Selain itu, pembagian dengan angka penyebut kreatinin yang mendekati nol akan memicu </w:t>
      </w:r>
      <w:r>
        <w:rPr>
          <w:b/>
        </w:rPr>
        <w:t>lonjakan overestimasi matematis semu (</w:t>
      </w:r>
      <w:r>
        <w:rPr>
          <w:b/>
          <w:i/>
        </w:rPr>
        <w:t>inflation artefact</w:t>
      </w:r>
      <w:r>
        <w:rPr>
          <w:b/>
        </w:rPr>
        <w:t>)</w:t>
      </w:r>
      <w:r>
        <w:rPr/>
        <w:t>.</w:t>
      </w:r>
    </w:p>
    <w:p>
      <w:pPr>
        <w:spacing w:after="40"/>
        <w:ind w:left="340" w:hanging="283"/>
      </w:pPr>
      <w:r>
        <w:rPr/>
        <w:t xml:space="preserve">2. </w:t>
      </w:r>
      <w:r>
        <w:rPr>
          <w:b/>
        </w:rPr>
        <w:t>Urin Terlalu Pekat (</w:t>
      </w:r>
      <w:r>
        <w:rPr>
          <w:b/>
          <w:i/>
        </w:rPr>
        <w:t>Highly Concentrated Urine</w:t>
      </w:r>
      <w:r>
        <w:rPr>
          <w:b/>
        </w:rPr>
        <w:t>):</w:t>
      </w:r>
    </w:p>
    <w:p>
      <w:pPr>
        <w:pStyle w:val="ListBullet2"/>
        <w:spacing w:after="20"/>
      </w:pPr>
      <w:r>
        <w:rPr/>
        <w:t xml:space="preserve">Kadar kreatinin </w:t>
      </w:r>
      <w:r>
        <w:rPr>
          <w:b/>
        </w:rPr>
        <w:t>≥ 3,0 g/L (&gt; 300 mg/dL)</w:t>
      </w:r>
      <w:r>
        <w:rPr/>
        <w:t xml:space="preserve"> atau </w:t>
      </w:r>
      <w:r>
        <w:rPr>
          <w:b/>
        </w:rPr>
        <w:t>SG ≥ 1,030</w:t>
      </w:r>
      <w:r>
        <w:rPr/>
        <w:t>.</w:t>
      </w:r>
    </w:p>
    <w:p>
      <w:pPr>
        <w:pStyle w:val="ListBullet2"/>
        <w:spacing w:after="20"/>
      </w:pPr>
      <w:r>
        <w:rPr>
          <w:i/>
        </w:rPr>
        <w:t>Bahaya Toksikologis:</w:t>
      </w:r>
      <w:r>
        <w:rPr/>
        <w:t xml:space="preserve"> Konsentrasi garam dan zat terlarut yang terlampau tinggi menyebabkan gangguan matriks analitis laboratorium (</w:t>
      </w:r>
      <w:r>
        <w:rPr>
          <w:i/>
        </w:rPr>
        <w:t>matrix interference</w:t>
      </w:r>
      <w:r>
        <w:rPr/>
        <w:t>) serta menghasilkan underestimasi palsu setelah dinormalisasi.</w:t>
      </w:r>
    </w:p>
    <w:p>
      <w:pPr>
        <w:spacing w:after="40"/>
        <w:ind w:left="340" w:hanging="283"/>
      </w:pPr>
      <w:r>
        <w:rPr/>
        <w:t xml:space="preserve">3. </w:t>
      </w:r>
      <w:r>
        <w:rPr>
          <w:i/>
        </w:rPr>
        <w:t>Tindakan Klinis Okupasi:</w:t>
      </w:r>
      <w:r>
        <w:rPr/>
        <w:t xml:space="preserve"> Sampel tersebut harus ditolak, pekerja diedukasi mengenai hidrasi seimbang (tidak menahan kencing dan tidak minum air berlebih sebelum tes), lalu dijadwalkan </w:t>
      </w:r>
      <w:r>
        <w:rPr>
          <w:b/>
        </w:rPr>
        <w:t>pengambilan spesimen ulang (</w:t>
      </w:r>
      <w:r>
        <w:rPr>
          <w:b/>
          <w:i/>
        </w:rPr>
        <w:t>re-sampling</w:t>
      </w:r>
      <w:r>
        <w:rPr>
          <w:b/>
        </w:rPr>
        <w:t>)</w:t>
      </w:r>
      <w:r>
        <w:rPr/>
        <w:t xml:space="preserve">. Jika pekerja berulang kali menghasilkan urin di luar batas normal, dokter okupasi wajib melakukan </w:t>
      </w:r>
      <w:r>
        <w:rPr>
          <w:b/>
        </w:rPr>
        <w:t>evaluasi medis menyeluruh</w:t>
      </w:r>
      <w:r>
        <w:rPr/>
        <w:t xml:space="preserve"> untuk menyingkirkan kelainan fungsi ginjal atau diabetes insipidus/melitus.</w:t>
      </w:r>
    </w:p>
    <w:p>
      <w:pPr>
        <w:pStyle w:val="Heading4"/>
      </w:pPr>
      <w:r>
        <w:t>b. Kapan Biomarker Urin TIDAK PERLU Dikoreksi (Unadjusted Urine Excretion)</w:t>
      </w:r>
    </w:p>
    <w:p>
      <w:pPr>
        <w:spacing w:after="80"/>
      </w:pPr>
      <w:r>
        <w:rPr/>
        <w:t xml:space="preserve">Koreksi kreatinin atau berat jenis </w:t>
      </w:r>
      <w:r>
        <w:rPr>
          <w:b/>
        </w:rPr>
        <w:t>tidak boleh diterapkan secara serampangan</w:t>
      </w:r>
      <w:r>
        <w:rPr/>
        <w:t xml:space="preserve"> pada kondisi berikut:</w:t>
      </w:r>
    </w:p>
    <w:p>
      <w:pPr>
        <w:spacing w:after="40"/>
        <w:ind w:left="340" w:hanging="283"/>
      </w:pPr>
      <w:r>
        <w:rPr/>
        <w:t xml:space="preserve">1. </w:t>
      </w:r>
      <w:r>
        <w:rPr>
          <w:b/>
        </w:rPr>
        <w:t>Zat yang Diekskresikan Melalui Difusi Pasif Tubulus Ginjal (</w:t>
      </w:r>
      <w:r>
        <w:rPr>
          <w:b/>
          <w:i/>
        </w:rPr>
        <w:t>Diffusion into Renal Tubules</w:t>
      </w:r>
      <w:r>
        <w:rPr>
          <w:b/>
        </w:rPr>
        <w:t>):</w:t>
      </w:r>
    </w:p>
    <w:p>
      <w:pPr>
        <w:pStyle w:val="ListBullet2"/>
        <w:spacing w:after="20"/>
      </w:pPr>
      <w:r>
        <w:rPr>
          <w:i/>
        </w:rPr>
        <w:t>Mekanisme Farmakokinetik:</w:t>
      </w:r>
      <w:r>
        <w:rPr/>
        <w:t xml:space="preserve"> Ekskresi kreatinin bergantung pada filtrasi glomerulus yang relatif konstan. Sebaliknya, senyawa-senyawa organik yang sangat lipofilik dan non-ionik diekskresikan melalui </w:t>
      </w:r>
      <w:r>
        <w:rPr>
          <w:b/>
        </w:rPr>
        <w:t>proses difusi pasif melintasi epitel tubulus ginjal</w:t>
      </w:r>
      <w:r>
        <w:rPr/>
        <w:t>, di mana laju ekskresinya bergantung langsung pada konsentrasi zat bebas dalam darah dan aliran urin.</w:t>
      </w:r>
    </w:p>
    <w:p>
      <w:pPr>
        <w:pStyle w:val="ListBullet2"/>
        <w:spacing w:after="20"/>
      </w:pPr>
      <w:r>
        <w:rPr>
          <w:i/>
        </w:rPr>
        <w:t>Ketetapan ACGIH:</w:t>
      </w:r>
      <w:r>
        <w:rPr/>
        <w:t xml:space="preserve"> Dokumen resmi ACGIH menyatakan secara eksplisit: </w:t>
      </w:r>
      <w:r>
        <w:rPr>
          <w:i/>
        </w:rPr>
        <w:t>"For other determinants such as those excreted by diffusion into the renal tubules, correction for urine output is not appropriate... the BEI will be expressed as concentration in urine (e.g., µg/L)"</w:t>
      </w:r>
      <w:r>
        <w:rPr/>
        <w:t>.</w:t>
      </w:r>
    </w:p>
    <w:p>
      <w:pPr>
        <w:spacing w:after="40"/>
        <w:ind w:left="340" w:hanging="283"/>
      </w:pPr>
      <w:r>
        <w:rPr/>
        <w:t xml:space="preserve">2. </w:t>
      </w:r>
      <w:r>
        <w:rPr>
          <w:b/>
        </w:rPr>
        <w:t>Nilai BEI atau IPB Sejak Awal Ditetapkan dalam Satuan Volumetrik Absolut (mg/L atau µg/L):</w:t>
      </w:r>
    </w:p>
    <w:p>
      <w:pPr>
        <w:pStyle w:val="ListBullet2"/>
        <w:spacing w:after="20"/>
      </w:pPr>
      <w:r>
        <w:rPr/>
        <w:t xml:space="preserve">Bila komite ilmiah (ACGIH atau Permenaker No. 5/2018) menetapkan standar dalam satuan per liter urin murni, hasil laboratorium </w:t>
      </w:r>
      <w:r>
        <w:rPr>
          <w:b/>
        </w:rPr>
        <w:t>tidak boleh dikonversi ke per gram kreatinin</w:t>
      </w:r>
      <w:r>
        <w:rPr/>
        <w:t xml:space="preserve"> karena data epidemiologi dosis-respons yang mendasari regulasi tersebut memang diturunkan tanpa koreksi.</w:t>
      </w:r>
    </w:p>
    <w:p>
      <w:pPr>
        <w:pStyle w:val="ListBullet2"/>
        <w:spacing w:after="20"/>
      </w:pPr>
      <w:r>
        <w:rPr>
          <w:i/>
        </w:rPr>
        <w:t>Contoh Berdasarkan Dokumen:</w:t>
      </w:r>
    </w:p>
    <w:p>
      <w:pPr>
        <w:pStyle w:val="ListBullet3"/>
        <w:spacing w:after="20"/>
      </w:pPr>
      <w:r>
        <w:rPr>
          <w:b/>
        </w:rPr>
        <w:t>Aseton dalam urin:</w:t>
      </w:r>
      <w:r>
        <w:rPr/>
        <w:t xml:space="preserve"> Batas IPB/BEI = </w:t>
      </w:r>
      <w:r>
        <w:rPr>
          <w:b/>
        </w:rPr>
        <w:t>25 mg/L</w:t>
      </w:r>
      <w:r>
        <w:rPr/>
        <w:t xml:space="preserve"> (akhir shift kerja).</w:t>
      </w:r>
    </w:p>
    <w:p>
      <w:pPr>
        <w:pStyle w:val="ListBullet3"/>
        <w:spacing w:after="20"/>
      </w:pPr>
      <w:r>
        <w:rPr>
          <w:b/>
        </w:rPr>
        <w:t>Metanol dalam urin:</w:t>
      </w:r>
      <w:r>
        <w:rPr/>
        <w:t xml:space="preserve"> Batas IPB/BEI = </w:t>
      </w:r>
      <w:r>
        <w:rPr>
          <w:b/>
        </w:rPr>
        <w:t>15 mg/L</w:t>
      </w:r>
      <w:r>
        <w:rPr/>
        <w:t xml:space="preserve"> (akhir shift kerja).</w:t>
      </w:r>
    </w:p>
    <w:p>
      <w:pPr>
        <w:pStyle w:val="ListBullet3"/>
        <w:spacing w:after="20"/>
      </w:pPr>
      <w:r>
        <w:rPr>
          <w:b/>
        </w:rPr>
        <w:t>Metil Etil Keton (MEK) dalam urin:</w:t>
      </w:r>
      <w:r>
        <w:rPr/>
        <w:t xml:space="preserve"> Batas IPB/BEI = </w:t>
      </w:r>
      <w:r>
        <w:rPr>
          <w:b/>
        </w:rPr>
        <w:t>2 mg/L</w:t>
      </w:r>
      <w:r>
        <w:rPr/>
        <w:t>.</w:t>
      </w:r>
    </w:p>
    <w:p>
      <w:pPr>
        <w:pStyle w:val="ListBullet3"/>
        <w:spacing w:after="20"/>
      </w:pPr>
      <w:r>
        <w:rPr>
          <w:b/>
        </w:rPr>
        <w:t>Total Kromium dalam urin:</w:t>
      </w:r>
      <w:r>
        <w:rPr/>
        <w:t xml:space="preserve"> BEI = </w:t>
      </w:r>
      <w:r>
        <w:rPr>
          <w:b/>
        </w:rPr>
        <w:t>0,7 µg/L</w:t>
      </w:r>
      <w:r>
        <w:rPr/>
        <w:t xml:space="preserve"> (notasi Pop) atau BLV Prancis </w:t>
      </w:r>
      <w:r>
        <w:rPr>
          <w:b/>
        </w:rPr>
        <w:t>2,5 µg/L</w:t>
      </w:r>
      <w:r>
        <w:rPr/>
        <w:t>.</w:t>
      </w:r>
    </w:p>
    <w:p>
      <w:pPr>
        <w:spacing w:after="40"/>
        <w:ind w:left="340" w:hanging="283"/>
      </w:pPr>
      <w:r>
        <w:rPr/>
        <w:t xml:space="preserve">3. </w:t>
      </w:r>
      <w:r>
        <w:rPr>
          <w:b/>
        </w:rPr>
        <w:t>Kondisi Pasien dengan Gangguan Faal Ginjal Berat (Penurunan GFR):</w:t>
      </w:r>
    </w:p>
    <w:p>
      <w:pPr>
        <w:pStyle w:val="ListBullet2"/>
        <w:spacing w:after="20"/>
      </w:pPr>
      <w:r>
        <w:rPr/>
        <w:t>Pada pekerja yang menderita nefropati diabetik, glomerulonefritis kronis, atau gagal ginjal, laju filtrasi glomerulus (GFR) merosot tajam sehingga klirens kreatinin terganggu. Pada kondisi ini, ekskresi kreatinin tidak lagi mencerminkan fungsi ekskresi normal, sehingga normalisasi analit terhadap kreatinin kehilangan validitas biologisnya.</w:t>
      </w:r>
    </w:p>
    <w:p>
      <w:r>
        <w:rPr>
          <w:b/>
          <w:sz w:val="16"/>
        </w:rPr>
        <w:t>Sumber yang dirujuk NotebookLM:</w:t>
      </w:r>
    </w:p>
    <w:p>
      <w:pPr>
        <w:spacing w:after="0"/>
        <w:ind w:left="283"/>
      </w:pPr>
      <w:r>
        <w:rPr>
          <w:b/>
          <w:color w:val="595959"/>
          <w:sz w:val="16"/>
        </w:rPr>
        <w:t>ACGIH (2026/Current Editions).</w:t>
      </w:r>
      <w:r>
        <w:rPr>
          <w:color w:val="595959"/>
          <w:sz w:val="16"/>
        </w:rPr>
        <w:t xml:space="preserve"> </w:t>
      </w:r>
      <w:r>
        <w:rPr>
          <w:i/>
          <w:color w:val="595959"/>
          <w:sz w:val="16"/>
        </w:rPr>
        <w:t>Biological Exposure Indices (BEI®) Introduction</w:t>
      </w:r>
      <w:r>
        <w:rPr>
          <w:color w:val="595959"/>
          <w:sz w:val="16"/>
        </w:rPr>
        <w:t xml:space="preserve"> — Subbab: </w:t>
      </w:r>
      <w:r>
        <w:rPr>
          <w:i/>
          <w:color w:val="595959"/>
          <w:sz w:val="16"/>
        </w:rPr>
        <w:t>Urine Specimen Acceptability</w:t>
      </w:r>
      <w:r>
        <w:rPr>
          <w:color w:val="595959"/>
          <w:sz w:val="16"/>
        </w:rPr>
        <w:t xml:space="preserve"> (Kriteria WHO: Kreatinin &gt;0,3 dan &lt;3,0 g/L; SG &gt;1,010 dan &lt;1,030; penolakan spesimen; ekskresi difusi tubulus vs filtrasi glomerulus; penggunaan unit per liter vs per gram kreatinin).</w:t>
      </w:r>
    </w:p>
    <w:p>
      <w:pPr>
        <w:spacing w:after="0"/>
        <w:ind w:left="283"/>
      </w:pPr>
      <w:r>
        <w:rPr>
          <w:b/>
          <w:color w:val="595959"/>
          <w:sz w:val="16"/>
        </w:rPr>
        <w:t>Cocker, J., Mason, H.J., Warren, N.D., &amp; Cotton, R.J. (2011).</w:t>
      </w:r>
      <w:r>
        <w:rPr>
          <w:color w:val="595959"/>
          <w:sz w:val="16"/>
        </w:rPr>
        <w:t xml:space="preserve"> </w:t>
      </w:r>
      <w:r>
        <w:rPr>
          <w:i/>
          <w:color w:val="595959"/>
          <w:sz w:val="16"/>
        </w:rPr>
        <w:t>Creatinine adjustment of biological monitoring results.</w:t>
      </w:r>
      <w:r>
        <w:rPr>
          <w:color w:val="595959"/>
          <w:sz w:val="16"/>
        </w:rPr>
        <w:t xml:space="preserve"> Occupational Medicine, 61(5): 349–353 — Distribusi kreatinin pada 49.506 pekerja UK; rentang 0,3–3,0 g/L (2,65–26,53 mmol/L atau pembulatan HSL 3–30 mmol/L); perbedaan gender (pria lebih tinggi 45%); artefak penyesuaian pada wanita (tingkat penolakan 9% vs 2,5%); median riil 1,36 g/L vs asumsi nominal 1,0 g/L.</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 xml:space="preserve"> — Bab 2: </w:t>
      </w:r>
      <w:r>
        <w:rPr>
          <w:i/>
          <w:color w:val="595959"/>
          <w:sz w:val="16"/>
        </w:rPr>
        <w:t>Simpul Pemantauan Biologis; Batas Akseptabilitas Urin Menurut ACGIH (Kreatinin 0,3–3,0 g/L dan SG 1,010–1,030) serta Tindakan Evaluasi Medik</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Keselamatan dan Kesehatan Kerja Lingkungan Kerja</w:t>
      </w:r>
      <w:r>
        <w:rPr>
          <w:color w:val="595959"/>
          <w:sz w:val="16"/>
        </w:rPr>
        <w:t xml:space="preserve"> — Lampiran 4: </w:t>
      </w:r>
      <w:r>
        <w:rPr>
          <w:i/>
          <w:color w:val="595959"/>
          <w:sz w:val="16"/>
        </w:rPr>
        <w:t>Tabel Indeks Pajanan Biologi (IPB)</w:t>
      </w:r>
      <w:r>
        <w:rPr>
          <w:color w:val="595959"/>
          <w:sz w:val="16"/>
        </w:rPr>
        <w:t xml:space="preserve"> (Format satuan determinan: per gram kreatinin [S-PMA Benzena 25 µg/g, t,t-MA 500 µg/g] vs satuan volumetrik absolut [Aseton 25 mg/L, Metanol 15 mg/L, MEK 2 mg/L]).</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 xml:space="preserve"> — Bab 13: </w:t>
      </w:r>
      <w:r>
        <w:rPr>
          <w:i/>
          <w:color w:val="595959"/>
          <w:sz w:val="16"/>
        </w:rPr>
        <w:t>Renal Function, Glomerular Filtration of Endogenous Creatinine, GFR Markers, and Tubular Secretion</w:t>
      </w:r>
      <w:r>
        <w:rPr>
          <w:color w:val="595959"/>
          <w:sz w:val="16"/>
        </w:rPr>
        <w:t>.</w:t>
      </w:r>
    </w:p>
    <w:p>
      <w:pPr>
        <w:spacing w:after="0"/>
        <w:ind w:left="283"/>
      </w:pPr>
      <w:r>
        <w:rPr>
          <w:b/>
          <w:color w:val="595959"/>
          <w:sz w:val="16"/>
        </w:rPr>
        <w:t>Human Biomonitoring Initiative (HBM4EU) / Lamkarkach et al. (2021).</w:t>
      </w:r>
      <w:r>
        <w:rPr>
          <w:color w:val="595959"/>
          <w:sz w:val="16"/>
        </w:rPr>
        <w:t xml:space="preserve"> </w:t>
      </w:r>
      <w:r>
        <w:rPr>
          <w:i/>
          <w:color w:val="595959"/>
          <w:sz w:val="16"/>
        </w:rPr>
        <w:t>Human biomonitoring guidance values derived for cadmium</w:t>
      </w:r>
      <w:r>
        <w:rPr>
          <w:color w:val="595959"/>
          <w:sz w:val="16"/>
        </w:rPr>
        <w:t xml:space="preserve"> — Pengaruh diuresis urin terhadap biomarker logam berat serta rekomendasi penyesuaian terhadap kreatinin dan berat jenis (IUPAC guidelines).</w:t>
      </w:r>
    </w:p>
    <w:p>
      <w:pPr>
        <w:pStyle w:val="Heading2"/>
      </w:pPr>
      <w:bookmarkStart w:id="109" w:name="toc_009"/>
      <w:r>
        <w:t>1.9 Biotransformasi</w:t>
      </w:r>
      <w:bookmarkEnd w:id="109"/>
    </w:p>
    <w:p>
      <w:pPr>
        <w:pStyle w:val="Heading3"/>
      </w:pPr>
      <w:r>
        <w:t>1. Reaksi Fase I: Fungsionalisasi (Functionalization)</w:t>
      </w:r>
    </w:p>
    <w:p>
      <w:pPr>
        <w:spacing w:after="80"/>
      </w:pPr>
      <w:r>
        <w:rPr/>
        <w:t>Reaksi Fase I berfungsi memasukkan (</w:t>
      </w:r>
      <w:r>
        <w:rPr>
          <w:i/>
        </w:rPr>
        <w:t>introduce</w:t>
      </w:r>
      <w:r>
        <w:rPr/>
        <w:t>) atau membuka (</w:t>
      </w:r>
      <w:r>
        <w:rPr>
          <w:i/>
        </w:rPr>
        <w:t>unmask</w:t>
      </w:r>
      <w:r>
        <w:rPr/>
        <w:t xml:space="preserve">) gugus fungsi polar yang reaktif seperti </w:t>
      </w:r>
      <w:r>
        <w:rPr>
          <w:b/>
        </w:rPr>
        <w:t>-OH, -NH₂, -SH, atau -COOH</w:t>
      </w:r>
      <w:r>
        <w:rPr/>
        <w:t xml:space="preserve"> ke dalam molekul xenobiotik. Modifikasi ini sedikit meningkatkan kelarutan dalam air dan mempersiapkan substrat untuk reaksi konjugasi Fase II.</w:t>
      </w:r>
    </w:p>
    <w:p>
      <w:pPr>
        <w:spacing w:after="120"/>
        <w:ind w:left="170"/>
      </w:pPr>
      <w:r>
        <w:rPr>
          <w:rFonts w:ascii="Consolas" w:hAnsi="Consolas" w:eastAsia="Consolas"/>
          <w:sz w:val="13"/>
        </w:rPr>
        <w:t xml:space="preserve">                                [ REAKSI FASE 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OKSIDASI ]                   [ REDUKSI ]                    [ HIDROLISIS ]</w:t>
      </w:r>
      <w:r>
        <w:br/>
      </w:r>
      <w:r>
        <w:rPr>
          <w:rFonts w:ascii="Consolas" w:hAnsi="Consolas" w:eastAsia="Consolas"/>
          <w:sz w:val="13"/>
        </w:rPr>
        <w:t>• CYP450 (Hemeprotein)         • Reduksi Nitro (Nitrobenzena)  • Karboksilesterase (hCE1, hCE2)</w:t>
      </w:r>
      <w:r>
        <w:br/>
      </w:r>
      <w:r>
        <w:rPr>
          <w:rFonts w:ascii="Consolas" w:hAnsi="Consolas" w:eastAsia="Consolas"/>
          <w:sz w:val="13"/>
        </w:rPr>
        <w:t>• FMO (Ziegler's enzyme)       • Reduksi Azo                   • Epoksida Hidrolase (mEH, sEH)</w:t>
      </w:r>
      <w:r>
        <w:br/>
      </w:r>
      <w:r>
        <w:rPr>
          <w:rFonts w:ascii="Consolas" w:hAnsi="Consolas" w:eastAsia="Consolas"/>
          <w:sz w:val="13"/>
        </w:rPr>
        <w:t>• ADH / ALDH                   • Dehalogenasi Reduktif (CCl4)  • Paraoksonase (PON1)</w:t>
      </w:r>
      <w:r>
        <w:br/>
      </w:r>
      <w:r>
        <w:rPr>
          <w:rFonts w:ascii="Consolas" w:hAnsi="Consolas" w:eastAsia="Consolas"/>
          <w:sz w:val="13"/>
        </w:rPr>
        <w:t>• Peroksidase (MPO, COX)</w:t>
      </w:r>
    </w:p>
    <w:p>
      <w:pPr>
        <w:pStyle w:val="Heading4"/>
      </w:pPr>
      <w:r>
        <w:t>a. Sistem Enzim Sitokrom P450 (CYP450)</w:t>
      </w:r>
    </w:p>
    <w:p>
      <w:pPr>
        <w:pStyle w:val="ListBullet"/>
        <w:spacing w:after="20"/>
      </w:pPr>
      <w:r>
        <w:rPr>
          <w:b/>
        </w:rPr>
        <w:t>Karakteristik &amp; Kofaktor:</w:t>
      </w:r>
      <w:r>
        <w:rPr/>
        <w:t xml:space="preserve"> CYP450 adalah superfamili hemeprotein tipe sitokrom b pada membran retikulum endoplasma (mikrosom) yang mengandung protoporfirin IX dengan atom besi sentral. Enzim ini bekerja sama dengan enzim flavoprotein </w:t>
      </w:r>
      <w:r>
        <w:rPr>
          <w:b/>
        </w:rPr>
        <w:t>NADPH-sitokrom P450 reduktase</w:t>
      </w:r>
      <w:r>
        <w:rPr/>
        <w:t xml:space="preserve"> dan memerlukan kofaktor </w:t>
      </w:r>
      <w:r>
        <w:rPr>
          <w:b/>
        </w:rPr>
        <w:t>NADPH serta molekul oksigen (O₂)</w:t>
      </w:r>
      <w:r>
        <w:rPr/>
        <w:t>.</w:t>
      </w:r>
    </w:p>
    <w:p>
      <w:pPr>
        <w:pStyle w:val="ListBullet"/>
        <w:spacing w:after="20"/>
      </w:pPr>
      <w:r>
        <w:rPr>
          <w:b/>
        </w:rPr>
        <w:t>Mekanisme Katalitik:</w:t>
      </w:r>
      <w:r>
        <w:rPr/>
        <w:t xml:space="preserve"> Dalam siklus monooksigenasi, satu atom dari molekul O₂ dimasukkan ke dalam substrat xenobiotik (RH), sementara atom oksigen lainnya direduksi menjadi air (H₂O):</w:t>
      </w:r>
    </w:p>
    <w:p>
      <w:pPr>
        <w:spacing w:after="60"/>
        <w:jc w:val="center"/>
      </w:pPr>
      <w:r>
        <w:rPr>
          <w:i/>
        </w:rPr>
        <w:t>RH + O₂ + NADPH + H⁺ →CYP450 ROH + H₂O + NADP⁺</w:t>
      </w:r>
    </w:p>
    <w:p>
      <w:pPr>
        <w:pStyle w:val="ListBullet"/>
        <w:spacing w:after="20"/>
      </w:pPr>
      <w:r>
        <w:rPr>
          <w:b/>
        </w:rPr>
        <w:t>Subfamili Kritis Okupasi:</w:t>
      </w:r>
    </w:p>
    <w:p>
      <w:pPr>
        <w:pStyle w:val="ListBullet2"/>
        <w:spacing w:after="20"/>
      </w:pPr>
      <w:r>
        <w:rPr>
          <w:b/>
        </w:rPr>
        <w:t>CYP1A1 / CYP1A2:</w:t>
      </w:r>
      <w:r>
        <w:rPr/>
        <w:t xml:space="preserve"> Mengoksidasi senyawa hidrokarbon aromatik polisiklik (PAH) dan amina aromatik.</w:t>
      </w:r>
    </w:p>
    <w:p>
      <w:pPr>
        <w:pStyle w:val="ListBullet2"/>
        <w:spacing w:after="20"/>
      </w:pPr>
      <w:r>
        <w:rPr>
          <w:b/>
        </w:rPr>
        <w:t>CYP2E1:</w:t>
      </w:r>
      <w:r>
        <w:rPr/>
        <w:t xml:space="preserve"> Enzim dengan </w:t>
      </w:r>
      <w:r>
        <w:rPr>
          <w:i/>
        </w:rPr>
        <w:t>low affinity</w:t>
      </w:r>
      <w:r>
        <w:rPr/>
        <w:t xml:space="preserve"> namun berkapasitas tinggi; memetabolisme pelarut volatil molekul kecil (benzena, toluena, kloroform, vinil klorida, etanol). Sangat mudah diinduksi oleh etanol dan aseton.</w:t>
      </w:r>
    </w:p>
    <w:p>
      <w:pPr>
        <w:pStyle w:val="ListBullet2"/>
        <w:spacing w:after="20"/>
      </w:pPr>
      <w:r>
        <w:rPr>
          <w:b/>
        </w:rPr>
        <w:t>CYP2B6 &amp; CYP3A4:</w:t>
      </w:r>
      <w:r>
        <w:rPr/>
        <w:t xml:space="preserve"> Berperan dominan dalam aktivasi dan degradasi pestisida organofosfat.</w:t>
      </w:r>
    </w:p>
    <w:p>
      <w:pPr>
        <w:pStyle w:val="ListBullet"/>
        <w:spacing w:after="20"/>
      </w:pPr>
      <w:r>
        <w:rPr>
          <w:b/>
        </w:rPr>
        <w:t>Tipe Reaksi Oksidasi CYP450:</w:t>
      </w:r>
    </w:p>
    <w:p>
      <w:pPr>
        <w:spacing w:after="40"/>
        <w:ind w:left="680" w:hanging="283"/>
      </w:pPr>
      <w:r>
        <w:rPr/>
        <w:t xml:space="preserve">1. </w:t>
      </w:r>
      <w:r>
        <w:rPr>
          <w:i/>
        </w:rPr>
        <w:t>Hidroksilasi Alifatik &amp; Aromatik:</w:t>
      </w:r>
      <w:r>
        <w:rPr/>
        <w:t xml:space="preserve"> Menghasilkan alkohol atau fenol (misalnya konversi toluena menjadi benzil alkohol, atau benzena menjadi fenol).</w:t>
      </w:r>
    </w:p>
    <w:p>
      <w:pPr>
        <w:spacing w:after="40"/>
        <w:ind w:left="680" w:hanging="283"/>
      </w:pPr>
      <w:r>
        <w:rPr/>
        <w:t xml:space="preserve">2. </w:t>
      </w:r>
      <w:r>
        <w:rPr>
          <w:i/>
        </w:rPr>
        <w:t>Epoksidasi:</w:t>
      </w:r>
      <w:r>
        <w:rPr/>
        <w:t xml:space="preserve"> Penambahan oksigen pada ikatan rangkap alkena atau cincin aromatik menghasilkan arene oxide/epoksida yang elektrofilik (misalnya benzena oksida, stirena oksida, benzo(a)pirena 7,8-epoksida).</w:t>
      </w:r>
    </w:p>
    <w:p>
      <w:pPr>
        <w:spacing w:after="40"/>
        <w:ind w:left="680" w:hanging="283"/>
      </w:pPr>
      <w:r>
        <w:rPr/>
        <w:t xml:space="preserve">3. </w:t>
      </w:r>
      <w:r>
        <w:rPr>
          <w:i/>
        </w:rPr>
        <w:t>Dealkilasi (N-, O-, S-dealkilasi):</w:t>
      </w:r>
      <w:r>
        <w:rPr/>
        <w:t xml:space="preserve"> Pemutusan gugus alkil yang terikat pada heteroatom melalui pembentukan intermediat hemiasetal yang tidak stabil.</w:t>
      </w:r>
    </w:p>
    <w:p>
      <w:pPr>
        <w:spacing w:after="40"/>
        <w:ind w:left="680" w:hanging="283"/>
      </w:pPr>
      <w:r>
        <w:rPr/>
        <w:t xml:space="preserve">4. </w:t>
      </w:r>
      <w:r>
        <w:rPr>
          <w:i/>
        </w:rPr>
        <w:t>Desulfurasi Oksidatif (*Oxidative Desulfuration</w:t>
      </w:r>
      <w:r>
        <w:rPr/>
        <w:t>):* Penggantian sulfur dengan oksigen pada ikatan fosfor (P=S → P=O) pada pestisida fosforotionat.</w:t>
      </w:r>
    </w:p>
    <w:p>
      <w:pPr>
        <w:spacing w:after="40"/>
        <w:ind w:left="680" w:hanging="283"/>
      </w:pPr>
      <w:r>
        <w:rPr/>
        <w:t xml:space="preserve">5. </w:t>
      </w:r>
      <w:r>
        <w:rPr>
          <w:i/>
        </w:rPr>
        <w:t>Oksidasi Heteroatom (N- dan S-oksidasi):</w:t>
      </w:r>
      <w:r>
        <w:rPr/>
        <w:t xml:space="preserve"> Oksidasi amin menjadi N-oksida atau tioeter menjadi sulfoksida dan sulfon.</w:t>
      </w:r>
    </w:p>
    <w:p>
      <w:pPr>
        <w:pStyle w:val="Heading4"/>
      </w:pPr>
      <w:r>
        <w:t>b. Enzim Oksidasi Non-CYP</w:t>
      </w:r>
    </w:p>
    <w:p>
      <w:pPr>
        <w:pStyle w:val="ListBullet"/>
        <w:spacing w:after="20"/>
      </w:pPr>
      <w:r>
        <w:rPr>
          <w:b/>
        </w:rPr>
        <w:t>Flavin-containing Monooxygenase (FMO / Enzim Ziegler):</w:t>
      </w:r>
      <w:r>
        <w:rPr/>
        <w:t xml:space="preserve"> Enzim mikrosomal yang mengandung FAD; menggunakan NADPH dan O₂ untuk mengoksidasi nukleofil lunak seperti nitrogen, sulfur, dan fosfor pada obat dan pestisida (misalnya nikotin, fonofos, tiodikarb) tanpa membentuk metabolit epoksida.</w:t>
      </w:r>
    </w:p>
    <w:p>
      <w:pPr>
        <w:pStyle w:val="ListBullet"/>
        <w:spacing w:after="20"/>
      </w:pPr>
      <w:r>
        <w:rPr>
          <w:b/>
        </w:rPr>
        <w:t>Alkohol Dehidrogenase (ADH) &amp; Aldehida Dehidrogenase (ALDH):</w:t>
      </w:r>
      <w:r>
        <w:rPr/>
        <w:t xml:space="preserve"> Enzim sitosolik yang bertanggung jawab atas oksidasi bertahap alkohol primer menjadi aldehida, dan aldehida menjadi asam karboksilat (contoh: etanol, metanol, etilen glikol).</w:t>
      </w:r>
    </w:p>
    <w:p>
      <w:pPr>
        <w:pStyle w:val="ListBullet"/>
        <w:spacing w:after="20"/>
      </w:pPr>
      <w:r>
        <w:rPr>
          <w:b/>
        </w:rPr>
        <w:t>Peroksidase (Myeloperoxidase / MPO):</w:t>
      </w:r>
      <w:r>
        <w:rPr/>
        <w:t xml:space="preserve"> Enzim lisosom pada neutrofil dan sel prekursor sumsum tulang; mengkatalisis bioaktivasi fenol dan hidrokuinon menjadi benzokuinon yang sangat toksik terhadap jaringan hematopoietik.</w:t>
      </w:r>
    </w:p>
    <w:p>
      <w:pPr>
        <w:pStyle w:val="Heading4"/>
      </w:pPr>
      <w:r>
        <w:t>c. Reaksi Reduksi</w:t>
      </w:r>
    </w:p>
    <w:p>
      <w:pPr>
        <w:spacing w:after="80"/>
      </w:pPr>
      <w:r>
        <w:rPr/>
        <w:t>Berlangsung terutama pada kondisi tekanan parsial oksigen rendah (hipoksia hepatik):</w:t>
      </w:r>
    </w:p>
    <w:p>
      <w:pPr>
        <w:pStyle w:val="ListBullet"/>
        <w:spacing w:after="20"/>
      </w:pPr>
      <w:r>
        <w:rPr>
          <w:i/>
        </w:rPr>
        <w:t>Reduksi Nitro &amp; Azo:</w:t>
      </w:r>
      <w:r>
        <w:rPr/>
        <w:t xml:space="preserve"> Reduksi senyawa nitro aromatik (misalnya nitrobenzena) menjadi amina aromatik primer (anilin) melalui intermediat nitroso dan hidroksilamin yang methemoglobinemik.</w:t>
      </w:r>
    </w:p>
    <w:p>
      <w:pPr>
        <w:pStyle w:val="ListBullet"/>
        <w:spacing w:after="20"/>
      </w:pPr>
      <w:r>
        <w:rPr>
          <w:i/>
        </w:rPr>
        <w:t>Dehalogenasi Reduktif:</w:t>
      </w:r>
      <w:r>
        <w:rPr/>
        <w:t xml:space="preserve"> Pelepasan atom halogen melalui transfer satu elektron (misalnya pembentukan radikal triklorometil dari karbon tetraklorida).</w:t>
      </w:r>
    </w:p>
    <w:p>
      <w:pPr>
        <w:pStyle w:val="Heading4"/>
      </w:pPr>
      <w:r>
        <w:t>d. Reaksi Hidrolisis</w:t>
      </w:r>
    </w:p>
    <w:p>
      <w:pPr>
        <w:pStyle w:val="ListBullet"/>
        <w:spacing w:after="20"/>
      </w:pPr>
      <w:r>
        <w:rPr>
          <w:b/>
        </w:rPr>
        <w:t>Karboksilesterase (hCE1, hCE2):</w:t>
      </w:r>
      <w:r>
        <w:rPr/>
        <w:t xml:space="preserve"> Enzim serin hidrolase sitosol dan mikrosom yang memecah ikatan ester dan amida pada insektisida piretroid, malation, dan obat-obatan menjadi metabolit asam dan alkohol non-toksik.</w:t>
      </w:r>
    </w:p>
    <w:p>
      <w:pPr>
        <w:pStyle w:val="ListBullet"/>
        <w:spacing w:after="20"/>
      </w:pPr>
      <w:r>
        <w:rPr>
          <w:b/>
        </w:rPr>
        <w:t>Paraoksonase (PON1):</w:t>
      </w:r>
      <w:r>
        <w:rPr/>
        <w:t xml:space="preserve"> Enzim kalsium-dependen dalam plasma darah yang menghidrolisis metabolit aktif organofosfat (seperti paraokson dan klorpirifos-okson).</w:t>
      </w:r>
    </w:p>
    <w:p>
      <w:pPr>
        <w:pStyle w:val="ListBullet"/>
        <w:spacing w:after="20"/>
      </w:pPr>
      <w:r>
        <w:rPr>
          <w:b/>
        </w:rPr>
        <w:t>Epoksida Hidrolase (mEH dan sEH):</w:t>
      </w:r>
      <w:r>
        <w:rPr/>
        <w:t xml:space="preserve"> Enzim penting yang menghidrolisis cincin oksiran epoksida dengan menambahkan molekul air, menghasilkan produk </w:t>
      </w:r>
      <w:r>
        <w:rPr>
          <w:i/>
        </w:rPr>
        <w:t>trans</w:t>
      </w:r>
      <w:r>
        <w:rPr/>
        <w:t>-dihidrodiol yang umumnya jauh lebih aman dan mudah diekskresikan.</w:t>
      </w:r>
    </w:p>
    <w:p>
      <w:pPr>
        <w:pStyle w:val="Heading3"/>
      </w:pPr>
      <w:r>
        <w:t>2. Reaksi Fase II: Konjugasi (Conjugation)</w:t>
      </w:r>
    </w:p>
    <w:p>
      <w:pPr>
        <w:spacing w:after="80"/>
      </w:pPr>
      <w:r>
        <w:rPr/>
        <w:t>Reaksi Fase II melibatkan pengikatan kovalen antara gugus fungsi xenobiotik (baik zat induk maupun metabolit Fase I) dengan molekul endogen tubuh yang bermuatan dan sangat polar. Hasil konjugasi hampir selalu bersifat hidrofilik, tidak aktif secara toksikologi, dan siap dieliminasi melalui urin atau sekresi bilier via transporter membran Fase III.</w:t>
      </w:r>
    </w:p>
    <w:p>
      <w:pPr>
        <w:spacing w:after="120"/>
        <w:ind w:left="170"/>
      </w:pPr>
      <w:r>
        <w:rPr>
          <w:rFonts w:ascii="Consolas" w:hAnsi="Consolas" w:eastAsia="Consolas"/>
          <w:sz w:val="13"/>
        </w:rPr>
        <w:t xml:space="preserve">                                [ REAKSI FASE II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                   ▼               ▼</w:t>
      </w:r>
      <w:r>
        <w:br/>
      </w:r>
      <w:r>
        <w:rPr>
          <w:rFonts w:ascii="Consolas" w:hAnsi="Consolas" w:eastAsia="Consolas"/>
          <w:sz w:val="13"/>
        </w:rPr>
        <w:t>[Glukuronidasi] [Sulfasi]      [Konjugasi Glutation]    [Asetilasi]    [Metilasi]</w:t>
      </w:r>
      <w:r>
        <w:br/>
      </w:r>
      <w:r>
        <w:rPr>
          <w:rFonts w:ascii="Consolas" w:hAnsi="Consolas" w:eastAsia="Consolas"/>
          <w:sz w:val="13"/>
        </w:rPr>
        <w:t xml:space="preserve">  • UGT           • SULT             • GST                 • NAT1 / NAT2   • COMT, TPMT</w:t>
      </w:r>
      <w:r>
        <w:br/>
      </w:r>
      <w:r>
        <w:rPr>
          <w:rFonts w:ascii="Consolas" w:hAnsi="Consolas" w:eastAsia="Consolas"/>
          <w:sz w:val="13"/>
        </w:rPr>
        <w:t xml:space="preserve">  • UDPGA         • PAPS             • GSH                 • Asetil-CoA    • SAM</w:t>
      </w:r>
      <w:r>
        <w:br/>
      </w:r>
      <w:r>
        <w:rPr>
          <w:rFonts w:ascii="Consolas" w:hAnsi="Consolas" w:eastAsia="Consolas"/>
          <w:sz w:val="13"/>
        </w:rPr>
        <w:t xml:space="preserve">  • Kapasitas     • Afinitas tinggi, • Pembentukan Asam    • Polimorfisme  • Mengurangi</w:t>
      </w:r>
      <w:r>
        <w:br/>
      </w:r>
      <w:r>
        <w:rPr>
          <w:rFonts w:ascii="Consolas" w:hAnsi="Consolas" w:eastAsia="Consolas"/>
          <w:sz w:val="13"/>
        </w:rPr>
        <w:t xml:space="preserve">    tinggi          kapasitas rendah   Merkapturat           Asetilator      ionisasi</w:t>
      </w:r>
    </w:p>
    <w:p>
      <w:pPr>
        <w:pStyle w:val="Heading4"/>
      </w:pPr>
      <w:r>
        <w:t>a. Glukuronidasi</w:t>
      </w:r>
    </w:p>
    <w:p>
      <w:pPr>
        <w:pStyle w:val="ListBullet"/>
        <w:spacing w:after="20"/>
      </w:pPr>
      <w:r>
        <w:rPr>
          <w:b/>
        </w:rPr>
        <w:t>Enzim Kunci:</w:t>
      </w:r>
      <w:r>
        <w:rPr/>
        <w:t xml:space="preserve"> </w:t>
      </w:r>
      <w:r>
        <w:rPr>
          <w:b/>
        </w:rPr>
        <w:t>UDP-glukuronosiltransferase (UGT)</w:t>
      </w:r>
      <w:r>
        <w:rPr/>
        <w:t xml:space="preserve">, terikat pada lumen membran retikulum endoplasma. Terdiri dari keluarga multigen </w:t>
      </w:r>
      <w:r>
        <w:rPr>
          <w:b/>
        </w:rPr>
        <w:t>UGT1</w:t>
      </w:r>
      <w:r>
        <w:rPr/>
        <w:t xml:space="preserve"> (misalnya UGT1A1, UGT1A6) dan </w:t>
      </w:r>
      <w:r>
        <w:rPr>
          <w:b/>
        </w:rPr>
        <w:t>UGT2</w:t>
      </w:r>
      <w:r>
        <w:rPr/>
        <w:t xml:space="preserve"> (UGT2B7).</w:t>
      </w:r>
    </w:p>
    <w:p>
      <w:pPr>
        <w:pStyle w:val="ListBullet"/>
        <w:spacing w:after="20"/>
      </w:pPr>
      <w:r>
        <w:rPr>
          <w:b/>
        </w:rPr>
        <w:t>Donor / Kofaktor Endogen:</w:t>
      </w:r>
      <w:r>
        <w:rPr/>
        <w:t xml:space="preserve"> </w:t>
      </w:r>
      <w:r>
        <w:rPr>
          <w:b/>
        </w:rPr>
        <w:t>Asam uridin-5'-difosfoglukuronat (</w:t>
      </w:r>
      <w:r>
        <w:rPr>
          <w:b/>
          <w:i/>
        </w:rPr>
        <w:t>UDP-Glucuronic Acid</w:t>
      </w:r>
      <w:r>
        <w:rPr>
          <w:b/>
        </w:rPr>
        <w:t xml:space="preserve"> / UDPGA)</w:t>
      </w:r>
      <w:r>
        <w:rPr/>
        <w:t>.</w:t>
      </w:r>
    </w:p>
    <w:p>
      <w:pPr>
        <w:pStyle w:val="ListBullet"/>
        <w:spacing w:after="20"/>
      </w:pPr>
      <w:r>
        <w:rPr>
          <w:b/>
        </w:rPr>
        <w:t>Mekanisme &amp; Karakteristik:</w:t>
      </w:r>
      <w:r>
        <w:rPr/>
        <w:t xml:space="preserve"> Merupakan jalur eliminasi Fase II berkapasitas paling besar (</w:t>
      </w:r>
      <w:r>
        <w:rPr>
          <w:i/>
        </w:rPr>
        <w:t>high capacity pathway</w:t>
      </w:r>
      <w:r>
        <w:rPr/>
        <w:t xml:space="preserve">) di dalam tubuh. Reaksi substitusi nukleofilik (S_N2) menyebabkan inversi konfigurasi Walden dari alfa (pada UDPGA) menjadi </w:t>
      </w:r>
      <w:r>
        <w:rPr>
          <w:b/>
        </w:rPr>
        <w:t>β-D-glukuronida</w:t>
      </w:r>
      <w:r>
        <w:rPr/>
        <w:t xml:space="preserve"> pada metabolit. Membentuk O-, N-, S-, dan asil-glukuronida.</w:t>
      </w:r>
    </w:p>
    <w:p>
      <w:pPr>
        <w:pStyle w:val="ListBullet"/>
        <w:spacing w:after="20"/>
      </w:pPr>
      <w:r>
        <w:rPr>
          <w:i/>
        </w:rPr>
        <w:t>Pengecualian Bioaktivasi:</w:t>
      </w:r>
      <w:r>
        <w:rPr/>
        <w:t xml:space="preserve"> Asil-glukuronida dari asam karboksilat dapat mengalami penataan ulang struktural dan mengasilasi makromolekul protein seluler.</w:t>
      </w:r>
    </w:p>
    <w:p>
      <w:pPr>
        <w:pStyle w:val="Heading4"/>
      </w:pPr>
      <w:r>
        <w:t>b. Sulfasi (Sulfonation)</w:t>
      </w:r>
    </w:p>
    <w:p>
      <w:pPr>
        <w:pStyle w:val="ListBullet"/>
        <w:spacing w:after="20"/>
      </w:pPr>
      <w:r>
        <w:rPr>
          <w:b/>
        </w:rPr>
        <w:t>Enzim Kunci:</w:t>
      </w:r>
      <w:r>
        <w:rPr/>
        <w:t xml:space="preserve"> </w:t>
      </w:r>
      <w:r>
        <w:rPr>
          <w:b/>
        </w:rPr>
        <w:t>Sulfotransferase (SULT)</w:t>
      </w:r>
      <w:r>
        <w:rPr/>
        <w:t>, berlokasi di sitosol (misalnya SULT1A1).</w:t>
      </w:r>
    </w:p>
    <w:p>
      <w:pPr>
        <w:pStyle w:val="ListBullet"/>
        <w:spacing w:after="20"/>
      </w:pPr>
      <w:r>
        <w:rPr>
          <w:b/>
        </w:rPr>
        <w:t>Donor / Kofaktor Endogen:</w:t>
      </w:r>
      <w:r>
        <w:rPr/>
        <w:t xml:space="preserve"> </w:t>
      </w:r>
      <w:r>
        <w:rPr>
          <w:b/>
        </w:rPr>
        <w:t>3'-fosfoadenosin-5'-fosfosulfat (PAPS)</w:t>
      </w:r>
      <w:r>
        <w:rPr/>
        <w:t>, disintesis dari 2 molekul ATP dan sulfat anorganik.</w:t>
      </w:r>
    </w:p>
    <w:p>
      <w:pPr>
        <w:pStyle w:val="ListBullet"/>
        <w:spacing w:after="20"/>
      </w:pPr>
      <w:r>
        <w:rPr>
          <w:b/>
        </w:rPr>
        <w:t>Karakteristik Kinetika:</w:t>
      </w:r>
      <w:r>
        <w:rPr/>
        <w:t xml:space="preserve"> Memiliki </w:t>
      </w:r>
      <w:r>
        <w:rPr>
          <w:b/>
        </w:rPr>
        <w:t>afinitas sangat tinggi (</w:t>
      </w:r>
      <w:r>
        <w:rPr>
          <w:b/>
          <w:i/>
        </w:rPr>
        <w:t>low</w:t>
      </w:r>
      <w:r>
        <w:rPr>
          <w:b/>
        </w:rPr>
        <w:t xml:space="preserve"> K_m) namun berkapasitas rendah (</w:t>
      </w:r>
      <w:r>
        <w:rPr>
          <w:b/>
          <w:i/>
        </w:rPr>
        <w:t>low capacity</w:t>
      </w:r>
      <w:r>
        <w:rPr>
          <w:b/>
        </w:rPr>
        <w:t>)</w:t>
      </w:r>
      <w:r>
        <w:rPr/>
        <w:t xml:space="preserve"> karena keterbatasan cadangan sulfat anorganik intraseluler. Pada dosis rendah, sulfasi mendominasi eliminasi fenol; pada dosis tinggi, jalur ini mengalami kejenuhan (</w:t>
      </w:r>
      <w:r>
        <w:rPr>
          <w:i/>
        </w:rPr>
        <w:t>saturation</w:t>
      </w:r>
      <w:r>
        <w:rPr/>
        <w:t>) dan substrat dialihkan ke glukuronidasi. SULT juga menunjukkan fenomena inhibisi substrat pada konsentrasi tinggi.</w:t>
      </w:r>
    </w:p>
    <w:p>
      <w:pPr>
        <w:pStyle w:val="Heading4"/>
      </w:pPr>
      <w:r>
        <w:t>c. Konjugasi Glutation (GSH) dan Pembentukan Asam Merkapturat</w:t>
      </w:r>
    </w:p>
    <w:p>
      <w:pPr>
        <w:pStyle w:val="ListBullet"/>
        <w:spacing w:after="20"/>
      </w:pPr>
      <w:r>
        <w:rPr>
          <w:b/>
        </w:rPr>
        <w:t>Enzim Kunci:</w:t>
      </w:r>
      <w:r>
        <w:rPr/>
        <w:t xml:space="preserve"> </w:t>
      </w:r>
      <w:r>
        <w:rPr>
          <w:b/>
        </w:rPr>
        <w:t>Glutation S-transferase (GST)</w:t>
      </w:r>
      <w:r>
        <w:rPr/>
        <w:t xml:space="preserve"> sitosolik (famili alfa/GSTA, mu/GSTM, pi/GSTP, theta/GSTT) dan GST mikrosomal.</w:t>
      </w:r>
    </w:p>
    <w:p>
      <w:pPr>
        <w:pStyle w:val="ListBullet"/>
        <w:spacing w:after="20"/>
      </w:pPr>
      <w:r>
        <w:rPr>
          <w:b/>
        </w:rPr>
        <w:t>Donor / Kofaktor Endogen:</w:t>
      </w:r>
      <w:r>
        <w:rPr/>
        <w:t xml:space="preserve"> </w:t>
      </w:r>
      <w:r>
        <w:rPr>
          <w:b/>
        </w:rPr>
        <w:t>Glutation tereduksi (GSH)</w:t>
      </w:r>
      <w:r>
        <w:rPr/>
        <w:t>, suatu tripeptida (γ-L-glutamil-L-sisteinilglisin) yang melimpah di intraseluler (konsentrasi 5–10 mM).</w:t>
      </w:r>
    </w:p>
    <w:p>
      <w:pPr>
        <w:pStyle w:val="ListBullet"/>
        <w:spacing w:after="20"/>
      </w:pPr>
      <w:r>
        <w:rPr>
          <w:b/>
        </w:rPr>
        <w:t>Jalur Pembentukan Asam Merkapturat (</w:t>
      </w:r>
      <w:r>
        <w:rPr>
          <w:b/>
          <w:i/>
        </w:rPr>
        <w:t>Mercapturic Acid Pathway</w:t>
      </w:r>
      <w:r>
        <w:rPr>
          <w:b/>
        </w:rPr>
        <w:t>):</w:t>
      </w:r>
    </w:p>
    <w:p>
      <w:pPr>
        <w:spacing w:after="80"/>
      </w:pPr>
      <w:r>
        <w:rPr/>
        <w:t>Merupakan mekanisme pertahanan primer tubuh dalam menetralkan metabolit elektrofilik reaktif (epoksida, kuinon):</w:t>
      </w:r>
    </w:p>
    <w:p>
      <w:pPr>
        <w:spacing w:after="40"/>
        <w:ind w:left="680" w:hanging="283"/>
      </w:pPr>
      <w:r>
        <w:rPr/>
        <w:t xml:space="preserve">1. GST mengkatalisis serangan nukleofilik gugus tiol (-SH) GSH pada atom elektrofilik substrat → terbentuk </w:t>
      </w:r>
      <w:r>
        <w:rPr>
          <w:b/>
        </w:rPr>
        <w:t>konjugat GSH</w:t>
      </w:r>
      <w:r>
        <w:rPr/>
        <w:t>.</w:t>
      </w:r>
    </w:p>
    <w:p>
      <w:pPr>
        <w:spacing w:after="40"/>
        <w:ind w:left="680" w:hanging="283"/>
      </w:pPr>
      <w:r>
        <w:rPr/>
        <w:t xml:space="preserve">2. Konjugat GSH ditranspor keluar sel dan dipecah oleh enzim membran </w:t>
      </w:r>
      <w:r>
        <w:rPr>
          <w:b/>
        </w:rPr>
        <w:t>γ-glutamiltranspeptidase (GGT)</w:t>
      </w:r>
      <w:r>
        <w:rPr/>
        <w:t xml:space="preserve"> yang memotong residu asam glutamat.</w:t>
      </w:r>
    </w:p>
    <w:p>
      <w:pPr>
        <w:spacing w:after="40"/>
        <w:ind w:left="680" w:hanging="283"/>
      </w:pPr>
      <w:r>
        <w:rPr/>
        <w:t xml:space="preserve">3. Enzim </w:t>
      </w:r>
      <w:r>
        <w:rPr>
          <w:b/>
        </w:rPr>
        <w:t>sisteinilglisinase</w:t>
      </w:r>
      <w:r>
        <w:rPr/>
        <w:t xml:space="preserve"> (peptidase) memotong residu glisin, menyisakan konjugat sistein.</w:t>
      </w:r>
    </w:p>
    <w:p>
      <w:pPr>
        <w:spacing w:after="40"/>
        <w:ind w:left="680" w:hanging="283"/>
      </w:pPr>
      <w:r>
        <w:rPr/>
        <w:t xml:space="preserve">4. Enzim sitosolik </w:t>
      </w:r>
      <w:r>
        <w:rPr>
          <w:b/>
        </w:rPr>
        <w:t>N-asetiltransferase (NAT)</w:t>
      </w:r>
      <w:r>
        <w:rPr/>
        <w:t xml:space="preserve"> mengasetilasi gugus amino bebas sistein menggunakan Asetil-CoA, menghasilkan </w:t>
      </w:r>
      <w:r>
        <w:rPr>
          <w:b/>
        </w:rPr>
        <w:t>Asam Merkapturat (</w:t>
      </w:r>
      <w:r>
        <w:rPr>
          <w:b/>
          <w:i/>
        </w:rPr>
        <w:t>N-acetylcysteine conjugate</w:t>
      </w:r>
      <w:r>
        <w:rPr>
          <w:b/>
        </w:rPr>
        <w:t>)</w:t>
      </w:r>
      <w:r>
        <w:rPr/>
        <w:t xml:space="preserve"> yang sangat larut air dan diekskresikan melalui urin.</w:t>
      </w:r>
    </w:p>
    <w:p>
      <w:pPr>
        <w:pStyle w:val="ListBullet"/>
        <w:spacing w:after="20"/>
      </w:pPr>
      <w:r>
        <w:rPr>
          <w:i/>
        </w:rPr>
        <w:t>Pengecualian Bioaktivasi:</w:t>
      </w:r>
      <w:r>
        <w:rPr/>
        <w:t xml:space="preserve"> Pada pelarut terhalogenasi seperti trikloroetilen atau heksaklorobutadiena, konjugat sistein di ginjal dipecah oleh enzim </w:t>
      </w:r>
      <w:r>
        <w:rPr>
          <w:b/>
        </w:rPr>
        <w:t>cysteine conjugate β-lyase</w:t>
      </w:r>
      <w:r>
        <w:rPr/>
        <w:t>, membebaskan tiol reaktif (1,2-dikloroviniltiol) yang sangat nefrotoksik.</w:t>
      </w:r>
    </w:p>
    <w:p>
      <w:pPr>
        <w:pStyle w:val="Heading4"/>
      </w:pPr>
      <w:r>
        <w:t>d. Asetilasi</w:t>
      </w:r>
    </w:p>
    <w:p>
      <w:pPr>
        <w:pStyle w:val="ListBullet"/>
        <w:spacing w:after="20"/>
      </w:pPr>
      <w:r>
        <w:rPr>
          <w:b/>
        </w:rPr>
        <w:t>Enzim Kunci:</w:t>
      </w:r>
      <w:r>
        <w:rPr/>
        <w:t xml:space="preserve"> </w:t>
      </w:r>
      <w:r>
        <w:rPr>
          <w:b/>
        </w:rPr>
        <w:t>N-asetiltransferase sitosolik (NAT1 dan NAT2)</w:t>
      </w:r>
      <w:r>
        <w:rPr/>
        <w:t>.</w:t>
      </w:r>
    </w:p>
    <w:p>
      <w:pPr>
        <w:pStyle w:val="ListBullet"/>
        <w:spacing w:after="20"/>
      </w:pPr>
      <w:r>
        <w:rPr>
          <w:b/>
        </w:rPr>
        <w:t>Donor / Kofaktor Endogen:</w:t>
      </w:r>
      <w:r>
        <w:rPr/>
        <w:t xml:space="preserve"> </w:t>
      </w:r>
      <w:r>
        <w:rPr>
          <w:b/>
        </w:rPr>
        <w:t>Asetil-Koenzim A (Asetil-CoA)</w:t>
      </w:r>
      <w:r>
        <w:rPr/>
        <w:t>.</w:t>
      </w:r>
    </w:p>
    <w:p>
      <w:pPr>
        <w:pStyle w:val="ListBullet"/>
        <w:spacing w:after="20"/>
      </w:pPr>
      <w:r>
        <w:rPr>
          <w:b/>
        </w:rPr>
        <w:t>Karakteristik &amp; Polimorfisme Klinis:</w:t>
      </w:r>
      <w:r>
        <w:rPr/>
        <w:t xml:space="preserve"> Bertanggung jawab atas inaktivasi amina aromatik, sulfonamida, dan hidrazin. Asetilasi justru sedikit menurunkan kelarutan air. Polimorfisme genetik NAT2 membagi populasi pekerja menjadi fenotipe </w:t>
      </w:r>
      <w:r>
        <w:rPr>
          <w:b/>
        </w:rPr>
        <w:t>asetilator cepat (</w:t>
      </w:r>
      <w:r>
        <w:rPr>
          <w:b/>
          <w:i/>
        </w:rPr>
        <w:t>rapid</w:t>
      </w:r>
      <w:r>
        <w:rPr>
          <w:b/>
        </w:rPr>
        <w:t>)</w:t>
      </w:r>
      <w:r>
        <w:rPr/>
        <w:t xml:space="preserve"> dan </w:t>
      </w:r>
      <w:r>
        <w:rPr>
          <w:b/>
        </w:rPr>
        <w:t>asetilator lambat (</w:t>
      </w:r>
      <w:r>
        <w:rPr>
          <w:b/>
          <w:i/>
        </w:rPr>
        <w:t>slow</w:t>
      </w:r>
      <w:r>
        <w:rPr>
          <w:b/>
        </w:rPr>
        <w:t>)</w:t>
      </w:r>
      <w:r>
        <w:rPr/>
        <w:t xml:space="preserve">. Asetilator lambat memiliki risiko tinggi menderita toksisitas hematologi dan </w:t>
      </w:r>
      <w:r>
        <w:rPr>
          <w:b/>
        </w:rPr>
        <w:t>karsinoma kandung kemih</w:t>
      </w:r>
      <w:r>
        <w:rPr/>
        <w:t xml:space="preserve"> akibat bioaktivasi amina aromatik di uroterm.</w:t>
      </w:r>
    </w:p>
    <w:p>
      <w:pPr>
        <w:pStyle w:val="Heading4"/>
      </w:pPr>
      <w:r>
        <w:t>e. Metilasi</w:t>
      </w:r>
    </w:p>
    <w:p>
      <w:pPr>
        <w:pStyle w:val="ListBullet"/>
        <w:spacing w:after="20"/>
      </w:pPr>
      <w:r>
        <w:rPr>
          <w:b/>
        </w:rPr>
        <w:t>Enzim Kunci:</w:t>
      </w:r>
      <w:r>
        <w:rPr/>
        <w:t xml:space="preserve"> Metiltransferase, seperti </w:t>
      </w:r>
      <w:r>
        <w:rPr>
          <w:b/>
        </w:rPr>
        <w:t>Katekol O-metiltransferase (COMT)</w:t>
      </w:r>
      <w:r>
        <w:rPr/>
        <w:t xml:space="preserve"> dan Tiopurin S-metiltransferase (TPMT).</w:t>
      </w:r>
    </w:p>
    <w:p>
      <w:pPr>
        <w:pStyle w:val="ListBullet"/>
        <w:spacing w:after="20"/>
      </w:pPr>
      <w:r>
        <w:rPr>
          <w:b/>
        </w:rPr>
        <w:t>Donor / Kofaktor Endogen:</w:t>
      </w:r>
      <w:r>
        <w:rPr/>
        <w:t xml:space="preserve"> </w:t>
      </w:r>
      <w:r>
        <w:rPr>
          <w:b/>
        </w:rPr>
        <w:t>S-adenosil-L-metionin (SAM)</w:t>
      </w:r>
      <w:r>
        <w:rPr/>
        <w:t>.</w:t>
      </w:r>
    </w:p>
    <w:p>
      <w:pPr>
        <w:pStyle w:val="ListBullet"/>
        <w:spacing w:after="20"/>
      </w:pPr>
      <w:r>
        <w:rPr>
          <w:b/>
        </w:rPr>
        <w:t>Karakteristik:</w:t>
      </w:r>
      <w:r>
        <w:rPr/>
        <w:t xml:space="preserve"> Berfungsi memetabolisme katekol, amina, dan gugus tiol. Tidak seperti glukuronidasi, metilasi menutupi gugus polar sehingga menurunkan kelarutan air, namun efektif menghentikan aktivitas biologis toksikan. Metilasi juga menjadi mekanisme mikroorganisme dalam melakukan </w:t>
      </w:r>
      <w:r>
        <w:rPr>
          <w:b/>
        </w:rPr>
        <w:t>biometilasi elemen logam berat</w:t>
      </w:r>
      <w:r>
        <w:rPr/>
        <w:t xml:space="preserve"> (seperti konversi merkuri anorganik menjadi metilmerkuri yang lipofilik dan neurotoksik).</w:t>
      </w:r>
    </w:p>
    <w:p>
      <w:pPr>
        <w:pStyle w:val="Heading3"/>
      </w:pPr>
      <w:r>
        <w:t>3. Jalur Bioaktivasi (Metabolic Toxification) 5 Agen Kunci Okupasi</w:t>
      </w:r>
    </w:p>
    <w:p>
      <w:pPr>
        <w:spacing w:after="80"/>
      </w:pPr>
      <w:r>
        <w:rPr/>
        <w:t>Sebagai dokter pemeriksa, perhatikan mekanisme pembentukan intermediat reaktif, organ sasaran, manifestasi klinis, dan determinan pemantauan biologis berikut:</w:t>
      </w:r>
    </w:p>
    <w:p>
      <w:pPr>
        <w:spacing w:after="120"/>
        <w:ind w:left="170"/>
      </w:pPr>
      <w:r>
        <w:rPr>
          <w:rFonts w:ascii="Consolas" w:hAnsi="Consolas" w:eastAsia="Consolas"/>
          <w:sz w:val="13"/>
        </w:rPr>
        <w:t>[SENYAWA INDUK]     ──(Enzim Bioaktivasi)──►    [METABOLIT REAKTIF]       ──►  [DAMPAK KLINIS OKUPASI]</w:t>
      </w:r>
      <w:r>
        <w:br/>
      </w:r>
      <w:r>
        <w:rPr>
          <w:rFonts w:ascii="Consolas" w:hAnsi="Consolas" w:eastAsia="Consolas"/>
          <w:sz w:val="13"/>
        </w:rPr>
        <w:t>Benzena             ──(CYP2E1 / MPO)───────►    Benzoquinon &amp; Muconaldehid──►  Aplastik Anemia, AML</w:t>
      </w:r>
      <w:r>
        <w:br/>
      </w:r>
      <w:r>
        <w:rPr>
          <w:rFonts w:ascii="Consolas" w:hAnsi="Consolas" w:eastAsia="Consolas"/>
          <w:sz w:val="13"/>
        </w:rPr>
        <w:t>Paration            ──(CYP450 Desulfurasi)─►    Paraokson                 ──►  Krisis Kolinergik Akut</w:t>
      </w:r>
      <w:r>
        <w:br/>
      </w:r>
      <w:r>
        <w:rPr>
          <w:rFonts w:ascii="Consolas" w:hAnsi="Consolas" w:eastAsia="Consolas"/>
          <w:sz w:val="13"/>
        </w:rPr>
        <w:t>Karbon Tetraklorida ──(CYP2E1 Reduktif)────►    Radikal •CCl3 &amp; •OOCCl3   ──►  Nekrosis Sentrilobular Hepar</w:t>
      </w:r>
      <w:r>
        <w:br/>
      </w:r>
      <w:r>
        <w:rPr>
          <w:rFonts w:ascii="Consolas" w:hAnsi="Consolas" w:eastAsia="Consolas"/>
          <w:sz w:val="13"/>
        </w:rPr>
        <w:t>Metanol             ──(ADH / ALDH)─────────►    Asam Format (Formate)     ──►  Asidosis Anion Gap, Kebutaan</w:t>
      </w:r>
      <w:r>
        <w:br/>
      </w:r>
      <w:r>
        <w:rPr>
          <w:rFonts w:ascii="Consolas" w:hAnsi="Consolas" w:eastAsia="Consolas"/>
          <w:sz w:val="13"/>
        </w:rPr>
        <w:t>Etilen Glikol       ──(ADH / Oksidase)─────►    Asam Glikolat &amp; Oksalat   ──►  Gagal Ginjal Akut, Kristaluria</w:t>
      </w:r>
    </w:p>
    <w:p>
      <w:pPr>
        <w:pStyle w:val="Heading4"/>
      </w:pPr>
      <w:r>
        <w:t>1. Benzena → Epoksida / Fenol / Benzoquinon / Muconaldehyde</w:t>
      </w:r>
    </w:p>
    <w:p>
      <w:pPr>
        <w:pStyle w:val="ListBullet"/>
        <w:spacing w:after="20"/>
      </w:pPr>
      <w:r>
        <w:rPr>
          <w:b/>
        </w:rPr>
        <w:t>Enzim Kunci:</w:t>
      </w:r>
    </w:p>
    <w:p>
      <w:pPr>
        <w:pStyle w:val="ListBullet2"/>
        <w:spacing w:after="20"/>
      </w:pPr>
      <w:r>
        <w:rPr>
          <w:b/>
        </w:rPr>
        <w:t>CYP2E1</w:t>
      </w:r>
      <w:r>
        <w:rPr/>
        <w:t xml:space="preserve"> di hepar (serta </w:t>
      </w:r>
      <w:r>
        <w:rPr>
          <w:b/>
        </w:rPr>
        <w:t>CYP2F1 / CYP2A13</w:t>
      </w:r>
      <w:r>
        <w:rPr/>
        <w:t xml:space="preserve"> di saluran napas pada konsentrasi sub-ppm).</w:t>
      </w:r>
    </w:p>
    <w:p>
      <w:pPr>
        <w:pStyle w:val="ListBullet2"/>
        <w:spacing w:after="20"/>
      </w:pPr>
      <w:r>
        <w:rPr>
          <w:b/>
        </w:rPr>
        <w:t>Myeloperoxidase (MPO)</w:t>
      </w:r>
      <w:r>
        <w:rPr/>
        <w:t xml:space="preserve"> di dalam neutrofil dan stroma sumsum tulang.</w:t>
      </w:r>
    </w:p>
    <w:p>
      <w:pPr>
        <w:pStyle w:val="ListBullet"/>
        <w:spacing w:after="20"/>
      </w:pPr>
      <w:r>
        <w:rPr>
          <w:b/>
        </w:rPr>
        <w:t>Jalur Bioaktivasi Molekuler:</w:t>
      </w:r>
    </w:p>
    <w:p>
      <w:pPr>
        <w:spacing w:after="40"/>
        <w:ind w:left="680" w:hanging="283"/>
      </w:pPr>
      <w:r>
        <w:rPr/>
        <w:t xml:space="preserve">1. Benzena dioksidasi di hepar oleh CYP2E1 menjadi intermediat </w:t>
      </w:r>
      <w:r>
        <w:rPr>
          <w:b/>
        </w:rPr>
        <w:t>benzena oksida (</w:t>
      </w:r>
      <w:r>
        <w:rPr>
          <w:b/>
          <w:i/>
        </w:rPr>
        <w:t>benzene oxide</w:t>
      </w:r>
      <w:r>
        <w:rPr>
          <w:b/>
        </w:rPr>
        <w:t>)</w:t>
      </w:r>
      <w:r>
        <w:rPr/>
        <w:t xml:space="preserve"> yang berada dalam kesetimbangan dengan benzena oksepin.</w:t>
      </w:r>
    </w:p>
    <w:p>
      <w:pPr>
        <w:spacing w:after="40"/>
        <w:ind w:left="680" w:hanging="283"/>
      </w:pPr>
      <w:r>
        <w:rPr/>
        <w:t xml:space="preserve">2. </w:t>
      </w:r>
      <w:r>
        <w:rPr>
          <w:i/>
        </w:rPr>
        <w:t>Jalur Fenolik:</w:t>
      </w:r>
      <w:r>
        <w:rPr/>
        <w:t xml:space="preserve"> Benzena oksida mengalami penataan ulang spontan non-enzimatik menjadi </w:t>
      </w:r>
      <w:r>
        <w:rPr>
          <w:b/>
        </w:rPr>
        <w:t>fenol</w:t>
      </w:r>
      <w:r>
        <w:rPr/>
        <w:t xml:space="preserve">. Fenol dioksidasi kembali oleh CYP2E1 menjadi </w:t>
      </w:r>
      <w:r>
        <w:rPr>
          <w:b/>
        </w:rPr>
        <w:t>katekol</w:t>
      </w:r>
      <w:r>
        <w:rPr/>
        <w:t xml:space="preserve"> dan </w:t>
      </w:r>
      <w:r>
        <w:rPr>
          <w:b/>
        </w:rPr>
        <w:t>hidrokuinon (</w:t>
      </w:r>
      <w:r>
        <w:rPr>
          <w:b/>
          <w:i/>
        </w:rPr>
        <w:t>p-hydroquinone</w:t>
      </w:r>
      <w:r>
        <w:rPr>
          <w:b/>
        </w:rPr>
        <w:t>)</w:t>
      </w:r>
      <w:r>
        <w:rPr/>
        <w:t>.</w:t>
      </w:r>
    </w:p>
    <w:p>
      <w:pPr>
        <w:spacing w:after="40"/>
        <w:ind w:left="680" w:hanging="283"/>
      </w:pPr>
      <w:r>
        <w:rPr/>
        <w:t xml:space="preserve">3. </w:t>
      </w:r>
      <w:r>
        <w:rPr>
          <w:i/>
        </w:rPr>
        <w:t>Aktivasi Sumsum Tulang:</w:t>
      </w:r>
      <w:r>
        <w:rPr/>
        <w:t xml:space="preserve"> Hidrokuinon didistribusikan ke sumsum tulang. Di sana, enzim </w:t>
      </w:r>
      <w:r>
        <w:rPr>
          <w:b/>
        </w:rPr>
        <w:t>Myeloperoxidase (MPO)</w:t>
      </w:r>
      <w:r>
        <w:rPr/>
        <w:t xml:space="preserve"> mengoksidasi hidrokuinon menjadi </w:t>
      </w:r>
      <w:r>
        <w:rPr>
          <w:b/>
        </w:rPr>
        <w:t>1,4-benzoquinon (</w:t>
      </w:r>
      <w:r>
        <w:rPr>
          <w:b/>
          <w:i/>
        </w:rPr>
        <w:t>p-benzoquinone</w:t>
      </w:r>
      <w:r>
        <w:rPr>
          <w:b/>
        </w:rPr>
        <w:t>)</w:t>
      </w:r>
      <w:r>
        <w:rPr/>
        <w:t>. Benzoquinon adalah elektrofil kuat yang mengikat gugus sulfhidril tubulin, menghambat enzim topoisomerase II, memicu aberasi kromosom, serta menghasilkan stres oksidatif radikal bebas.</w:t>
      </w:r>
    </w:p>
    <w:p>
      <w:pPr>
        <w:spacing w:after="40"/>
        <w:ind w:left="680" w:hanging="283"/>
      </w:pPr>
      <w:r>
        <w:rPr/>
        <w:t xml:space="preserve">4. </w:t>
      </w:r>
      <w:r>
        <w:rPr>
          <w:i/>
        </w:rPr>
        <w:t>Jalur Pembukaan Cincin:</w:t>
      </w:r>
      <w:r>
        <w:rPr/>
        <w:t xml:space="preserve"> Benzena oksepin mengalami pembukaan cincin menjadi </w:t>
      </w:r>
      <w:r>
        <w:rPr>
          <w:b/>
        </w:rPr>
        <w:t>trans,trans-muconaldehyde</w:t>
      </w:r>
      <w:r>
        <w:rPr/>
        <w:t xml:space="preserve"> yang bersifat genotoksik langsung sebelum dioksidasi menjadi asam trans,trans-mukonat (</w:t>
      </w:r>
      <w:r>
        <w:rPr>
          <w:i/>
        </w:rPr>
        <w:t>t,t-MA</w:t>
      </w:r>
      <w:r>
        <w:rPr/>
        <w:t>).</w:t>
      </w:r>
    </w:p>
    <w:p>
      <w:pPr>
        <w:pStyle w:val="ListBullet"/>
        <w:spacing w:after="20"/>
      </w:pPr>
      <w:r>
        <w:rPr>
          <w:b/>
        </w:rPr>
        <w:t>Implikasi Klinis &amp; Patologi Okupasi:</w:t>
      </w:r>
      <w:r>
        <w:rPr/>
        <w:t xml:space="preserve"> Pansitopenia, hipoplasia sumsum tulang (</w:t>
      </w:r>
      <w:r>
        <w:rPr>
          <w:b/>
        </w:rPr>
        <w:t>anemia aplastik</w:t>
      </w:r>
      <w:r>
        <w:rPr/>
        <w:t xml:space="preserve">), sindrom mielodisplastik (MDS), dan keganasan hematologi berupa </w:t>
      </w:r>
      <w:r>
        <w:rPr>
          <w:b/>
        </w:rPr>
        <w:t>Leukemia Mieloid Akut (</w:t>
      </w:r>
      <w:r>
        <w:rPr>
          <w:b/>
          <w:i/>
        </w:rPr>
        <w:t>Acute Myeloid Leukemia</w:t>
      </w:r>
      <w:r>
        <w:rPr>
          <w:b/>
        </w:rPr>
        <w:t xml:space="preserve"> / AML)</w:t>
      </w:r>
      <w:r>
        <w:rPr/>
        <w:t>.</w:t>
      </w:r>
    </w:p>
    <w:p>
      <w:pPr>
        <w:pStyle w:val="ListBullet"/>
        <w:spacing w:after="20"/>
      </w:pPr>
      <w:r>
        <w:rPr>
          <w:b/>
        </w:rPr>
        <w:t>Biomarker Pemantauan Biologis (ACGIH BEI):</w:t>
      </w:r>
    </w:p>
    <w:p>
      <w:pPr>
        <w:pStyle w:val="ListBullet2"/>
        <w:spacing w:after="20"/>
      </w:pPr>
      <w:r>
        <w:rPr>
          <w:b/>
        </w:rPr>
        <w:t>Asam S-fenilmerkapturat urin (S-PMA):</w:t>
      </w:r>
      <w:r>
        <w:rPr/>
        <w:t xml:space="preserve"> Hasil konjugasi benzena oksida dengan GSH via GSTT1/GSTM1. </w:t>
      </w:r>
      <w:r>
        <w:rPr>
          <w:i/>
        </w:rPr>
        <w:t>Waktu sampling:</w:t>
      </w:r>
      <w:r>
        <w:rPr/>
        <w:t xml:space="preserve"> Akhir shift kerja. </w:t>
      </w:r>
      <w:r>
        <w:rPr>
          <w:i/>
        </w:rPr>
        <w:t>Nilai BEI:</w:t>
      </w:r>
      <w:r>
        <w:rPr/>
        <w:t xml:space="preserve"> </w:t>
      </w:r>
      <w:r>
        <w:rPr>
          <w:b/>
        </w:rPr>
        <w:t>25 µg/g kreatinin</w:t>
      </w:r>
      <w:r>
        <w:rPr/>
        <w:t xml:space="preserve"> (Notasi B).</w:t>
      </w:r>
    </w:p>
    <w:p>
      <w:pPr>
        <w:pStyle w:val="ListBullet2"/>
        <w:spacing w:after="20"/>
      </w:pPr>
      <w:r>
        <w:rPr>
          <w:b/>
        </w:rPr>
        <w:t>Asam trans,trans-mukonat urin (t,t-MA):</w:t>
      </w:r>
      <w:r>
        <w:rPr/>
        <w:t xml:space="preserve"> </w:t>
      </w:r>
      <w:r>
        <w:rPr>
          <w:i/>
        </w:rPr>
        <w:t>Waktu sampling:</w:t>
      </w:r>
      <w:r>
        <w:rPr/>
        <w:t xml:space="preserve"> Akhir shift kerja. </w:t>
      </w:r>
      <w:r>
        <w:rPr>
          <w:i/>
        </w:rPr>
        <w:t>Nilai BEI:</w:t>
      </w:r>
      <w:r>
        <w:rPr/>
        <w:t xml:space="preserve"> </w:t>
      </w:r>
      <w:r>
        <w:rPr>
          <w:b/>
        </w:rPr>
        <w:t>500 µg/g kreatinin</w:t>
      </w:r>
      <w:r>
        <w:rPr/>
        <w:t xml:space="preserve"> (Notasi B).</w:t>
      </w:r>
    </w:p>
    <w:p>
      <w:pPr>
        <w:pStyle w:val="ListBullet2"/>
        <w:spacing w:after="20"/>
      </w:pPr>
      <w:r>
        <w:rPr>
          <w:i/>
        </w:rPr>
        <w:t>Catatan Ujian:</w:t>
      </w:r>
      <w:r>
        <w:rPr/>
        <w:t xml:space="preserve"> Fenol urin kini telah dihapus sebagai biomarker BEI primer karena spesifisitasnya yang buruk pada pajanan konsentrasi rendah (&lt;1 ppm).</w:t>
      </w:r>
    </w:p>
    <w:p>
      <w:pPr>
        <w:pStyle w:val="Heading4"/>
      </w:pPr>
      <w:r>
        <w:t>2. Paration → Paraokson</w:t>
      </w:r>
    </w:p>
    <w:p>
      <w:pPr>
        <w:pStyle w:val="ListBullet"/>
        <w:spacing w:after="20"/>
      </w:pPr>
      <w:r>
        <w:rPr>
          <w:b/>
        </w:rPr>
        <w:t>Enzim Kunci:</w:t>
      </w:r>
    </w:p>
    <w:p>
      <w:pPr>
        <w:pStyle w:val="ListBullet2"/>
        <w:spacing w:after="20"/>
      </w:pPr>
      <w:r>
        <w:rPr>
          <w:b/>
        </w:rPr>
        <w:t>CYP3A4, CYP2B6, CYP2C</w:t>
      </w:r>
      <w:r>
        <w:rPr/>
        <w:t xml:space="preserve"> (Monooksigenase sitokrom P450 mikrosomal hepar).</w:t>
      </w:r>
    </w:p>
    <w:p>
      <w:pPr>
        <w:pStyle w:val="ListBullet"/>
        <w:spacing w:after="20"/>
      </w:pPr>
      <w:r>
        <w:rPr>
          <w:b/>
        </w:rPr>
        <w:t>Jalur Bioaktivasi Molekuler:</w:t>
      </w:r>
    </w:p>
    <w:p>
      <w:pPr>
        <w:pStyle w:val="ListBullet2"/>
        <w:spacing w:after="20"/>
      </w:pPr>
      <w:r>
        <w:rPr/>
        <w:t xml:space="preserve">Paration adalah insektisida organofosfat ester tionofosfat (memiliki ikatan fosfor-sulfur, P=S) yang secara intrinsik </w:t>
      </w:r>
      <w:r>
        <w:rPr>
          <w:b/>
        </w:rPr>
        <w:t>tidak mampu menghambat asetilkolinesterase secara efektif</w:t>
      </w:r>
      <w:r>
        <w:rPr/>
        <w:t>.</w:t>
      </w:r>
    </w:p>
    <w:p>
      <w:pPr>
        <w:pStyle w:val="ListBullet2"/>
        <w:spacing w:after="20"/>
      </w:pPr>
      <w:r>
        <w:rPr/>
        <w:t xml:space="preserve">Di hepar, CYP450 mengkatalisis reaksi </w:t>
      </w:r>
      <w:r>
        <w:rPr>
          <w:b/>
        </w:rPr>
        <w:t>desulfurasi oksidatif (</w:t>
      </w:r>
      <w:r>
        <w:rPr>
          <w:b/>
          <w:i/>
        </w:rPr>
        <w:t>oxidative desulfuration</w:t>
      </w:r>
      <w:r>
        <w:rPr>
          <w:b/>
        </w:rPr>
        <w:t>)</w:t>
      </w:r>
      <w:r>
        <w:rPr/>
        <w:t xml:space="preserve"> melalui pembentukan intermediat siklik reaktif (</w:t>
      </w:r>
      <w:r>
        <w:rPr>
          <w:i/>
        </w:rPr>
        <w:t>phosphooxithirane</w:t>
      </w:r>
      <w:r>
        <w:rPr/>
        <w:t xml:space="preserve">), mengubah ikatan P=S menjadi ikatan fosforil oksigen (P=O), menghasilkan </w:t>
      </w:r>
      <w:r>
        <w:rPr>
          <w:b/>
        </w:rPr>
        <w:t>paraokson</w:t>
      </w:r>
      <w:r>
        <w:rPr/>
        <w:t>.</w:t>
      </w:r>
    </w:p>
    <w:p>
      <w:pPr>
        <w:pStyle w:val="ListBullet2"/>
        <w:spacing w:after="20"/>
      </w:pPr>
      <w:r>
        <w:rPr>
          <w:i/>
        </w:rPr>
        <w:t>Suicide Inactivation:</w:t>
      </w:r>
      <w:r>
        <w:rPr/>
        <w:t xml:space="preserve"> Reaksi ini melepaskan atom sulfur elektrofilik aktif yang berikatan kovalen dengan apoprotein heme CYP450, menyebabkan inaktivasi enzim monooksigenase itu sendiri (</w:t>
      </w:r>
      <w:r>
        <w:rPr>
          <w:i/>
        </w:rPr>
        <w:t>suicide substrate</w:t>
      </w:r>
      <w:r>
        <w:rPr/>
        <w:t>).</w:t>
      </w:r>
    </w:p>
    <w:p>
      <w:pPr>
        <w:pStyle w:val="ListBullet"/>
        <w:spacing w:after="20"/>
      </w:pPr>
      <w:r>
        <w:rPr>
          <w:b/>
        </w:rPr>
        <w:t>Implikasi Klinis &amp; Patologi Okupasi:</w:t>
      </w:r>
    </w:p>
    <w:p>
      <w:pPr>
        <w:pStyle w:val="ListBullet2"/>
        <w:spacing w:after="20"/>
      </w:pPr>
      <w:r>
        <w:rPr/>
        <w:t xml:space="preserve">Paraokson adalah inhibitor kuat yang mengikat dan memfosforilasi gugus hidroksil serin pada situs aktif enzim </w:t>
      </w:r>
      <w:r>
        <w:rPr>
          <w:b/>
        </w:rPr>
        <w:t>Asetilkolinesterase (AChE)</w:t>
      </w:r>
      <w:r>
        <w:rPr/>
        <w:t xml:space="preserve"> pada sinaps saraf dan </w:t>
      </w:r>
      <w:r>
        <w:rPr>
          <w:i/>
        </w:rPr>
        <w:t>neuromuscular junction</w:t>
      </w:r>
      <w:r>
        <w:rPr/>
        <w:t>.</w:t>
      </w:r>
    </w:p>
    <w:p>
      <w:pPr>
        <w:pStyle w:val="ListBullet2"/>
        <w:spacing w:after="20"/>
      </w:pPr>
      <w:r>
        <w:rPr/>
        <w:t xml:space="preserve">Akumulasi asetilkolin memicu </w:t>
      </w:r>
      <w:r>
        <w:rPr>
          <w:b/>
        </w:rPr>
        <w:t>Krisis Kolinergik Akut</w:t>
      </w:r>
      <w:r>
        <w:rPr/>
        <w:t>:</w:t>
      </w:r>
    </w:p>
    <w:p>
      <w:pPr>
        <w:pStyle w:val="ListBullet3"/>
        <w:spacing w:after="20"/>
      </w:pPr>
      <w:r>
        <w:rPr>
          <w:i/>
        </w:rPr>
        <w:t>Efek Muskarinik:</w:t>
      </w:r>
      <w:r>
        <w:rPr/>
        <w:t xml:space="preserve"> Miosis, bronkospasme, hipersekresi bronkus, bradikardia, lakrimasi, salivasi, diare (DUMBELS / SLUDGE).</w:t>
      </w:r>
    </w:p>
    <w:p>
      <w:pPr>
        <w:pStyle w:val="ListBullet3"/>
        <w:spacing w:after="20"/>
      </w:pPr>
      <w:r>
        <w:rPr>
          <w:i/>
        </w:rPr>
        <w:t>Efek Nikotinik:</w:t>
      </w:r>
      <w:r>
        <w:rPr/>
        <w:t xml:space="preserve"> Fasikulasi otot lurik, tremor, kelemahan otot hingga paralisis diafragma flaksid.</w:t>
      </w:r>
    </w:p>
    <w:p>
      <w:pPr>
        <w:pStyle w:val="ListBullet3"/>
        <w:spacing w:after="20"/>
      </w:pPr>
      <w:r>
        <w:rPr>
          <w:i/>
        </w:rPr>
        <w:t>Efek Sentral (SSP):</w:t>
      </w:r>
      <w:r>
        <w:rPr/>
        <w:t xml:space="preserve"> Kejang, depresi pusat pernapasan, koma.</w:t>
      </w:r>
    </w:p>
    <w:p>
      <w:pPr>
        <w:pStyle w:val="ListBullet"/>
        <w:spacing w:after="20"/>
      </w:pPr>
      <w:r>
        <w:rPr>
          <w:b/>
        </w:rPr>
        <w:t>Biomarker Pemantauan Biologis (ACGIH BEI):</w:t>
      </w:r>
    </w:p>
    <w:p>
      <w:pPr>
        <w:pStyle w:val="ListBullet2"/>
        <w:spacing w:after="20"/>
      </w:pPr>
      <w:r>
        <w:rPr>
          <w:b/>
        </w:rPr>
        <w:t>Aktivitas Asetilkolinesterase (AChE) Sel Darah Merah:</w:t>
      </w:r>
      <w:r>
        <w:rPr/>
        <w:t xml:space="preserve"> </w:t>
      </w:r>
      <w:r>
        <w:rPr>
          <w:i/>
        </w:rPr>
        <w:t>Waktu sampling:</w:t>
      </w:r>
      <w:r>
        <w:rPr/>
        <w:t xml:space="preserve"> Akhir shift. </w:t>
      </w:r>
      <w:r>
        <w:rPr>
          <w:i/>
        </w:rPr>
        <w:t>Nilai BEI:</w:t>
      </w:r>
      <w:r>
        <w:rPr/>
        <w:t xml:space="preserve"> </w:t>
      </w:r>
      <w:r>
        <w:rPr>
          <w:b/>
        </w:rPr>
        <w:t>≥ 70% dari nilai dasar individu (</w:t>
      </w:r>
      <w:r>
        <w:rPr>
          <w:b/>
          <w:i/>
        </w:rPr>
        <w:t>baseline</w:t>
      </w:r>
      <w:r>
        <w:rPr>
          <w:b/>
        </w:rPr>
        <w:t>)</w:t>
      </w:r>
      <w:r>
        <w:rPr/>
        <w:t>.</w:t>
      </w:r>
    </w:p>
    <w:p>
      <w:pPr>
        <w:pStyle w:val="ListBullet2"/>
        <w:spacing w:after="20"/>
      </w:pPr>
      <w:r>
        <w:rPr>
          <w:b/>
        </w:rPr>
        <w:t>Total p-Nitrofenol (PNP) Urin:</w:t>
      </w:r>
      <w:r>
        <w:rPr/>
        <w:t xml:space="preserve"> Produk hidrolisis paraokson atau paration oleh PON1. </w:t>
      </w:r>
      <w:r>
        <w:rPr>
          <w:i/>
        </w:rPr>
        <w:t>Waktu sampling:</w:t>
      </w:r>
      <w:r>
        <w:rPr/>
        <w:t xml:space="preserve"> Akhir shift. </w:t>
      </w:r>
      <w:r>
        <w:rPr>
          <w:i/>
        </w:rPr>
        <w:t>Nilai BEI:</w:t>
      </w:r>
      <w:r>
        <w:rPr/>
        <w:t xml:space="preserve"> </w:t>
      </w:r>
      <w:r>
        <w:rPr>
          <w:b/>
        </w:rPr>
        <w:t>0,5 mg/g kreatinin</w:t>
      </w:r>
      <w:r>
        <w:rPr/>
        <w:t xml:space="preserve"> (Notasi Ns).</w:t>
      </w:r>
    </w:p>
    <w:p>
      <w:pPr>
        <w:pStyle w:val="Heading4"/>
      </w:pPr>
      <w:r>
        <w:t>3. Karbon Tetraklorida (CCl₄) → Radikal Triklorometil (·CCl₃)</w:t>
      </w:r>
    </w:p>
    <w:p>
      <w:pPr>
        <w:pStyle w:val="ListBullet"/>
        <w:spacing w:after="20"/>
      </w:pPr>
      <w:r>
        <w:rPr>
          <w:b/>
        </w:rPr>
        <w:t>Enzim Kunci:</w:t>
      </w:r>
    </w:p>
    <w:p>
      <w:pPr>
        <w:pStyle w:val="ListBullet2"/>
        <w:spacing w:after="20"/>
      </w:pPr>
      <w:r>
        <w:rPr>
          <w:b/>
        </w:rPr>
        <w:t>CYP2E1</w:t>
      </w:r>
      <w:r>
        <w:rPr/>
        <w:t xml:space="preserve"> mikrosomal hepar.</w:t>
      </w:r>
    </w:p>
    <w:p>
      <w:pPr>
        <w:pStyle w:val="ListBullet"/>
        <w:spacing w:after="20"/>
      </w:pPr>
      <w:r>
        <w:rPr>
          <w:b/>
        </w:rPr>
        <w:t>Jalur Bioaktivasi Molekuler:</w:t>
      </w:r>
    </w:p>
    <w:p>
      <w:pPr>
        <w:spacing w:after="40"/>
        <w:ind w:left="680" w:hanging="283"/>
      </w:pPr>
      <w:r>
        <w:rPr/>
        <w:t xml:space="preserve">1. Pada mikrosom hepar, CYP2E1 mengkatalisis reaksi </w:t>
      </w:r>
      <w:r>
        <w:rPr>
          <w:b/>
        </w:rPr>
        <w:t>dehalogenasi reduktif (</w:t>
      </w:r>
      <w:r>
        <w:rPr>
          <w:b/>
          <w:i/>
        </w:rPr>
        <w:t>reductive dechlorination</w:t>
      </w:r>
      <w:r>
        <w:rPr>
          <w:b/>
        </w:rPr>
        <w:t>)</w:t>
      </w:r>
      <w:r>
        <w:rPr/>
        <w:t xml:space="preserve"> dengan mentransfer satu elektron ke molekul CCl₄, memutus ikatan karbon-klorin dan menghasilkan </w:t>
      </w:r>
      <w:r>
        <w:rPr>
          <w:b/>
        </w:rPr>
        <w:t>radikal triklorometil (</w:t>
      </w:r>
      <w:r>
        <w:rPr>
          <w:b/>
          <w:i/>
        </w:rPr>
        <w:t>trichloromethyl radical</w:t>
      </w:r>
      <w:r>
        <w:rPr>
          <w:b/>
        </w:rPr>
        <w:t>, ·CCl₃)</w:t>
      </w:r>
      <w:r>
        <w:rPr/>
        <w:t>.</w:t>
      </w:r>
    </w:p>
    <w:p>
      <w:pPr>
        <w:spacing w:after="40"/>
        <w:ind w:left="680" w:hanging="283"/>
      </w:pPr>
      <w:r>
        <w:rPr/>
        <w:t xml:space="preserve">2. Dengan adanya oksigen molekuler (O₂), radikal ·CCl₃ bereaksi membentuk </w:t>
      </w:r>
      <w:r>
        <w:rPr>
          <w:b/>
        </w:rPr>
        <w:t>radikal triklorometilperoksi (</w:t>
      </w:r>
      <w:r>
        <w:rPr>
          <w:b/>
          <w:i/>
        </w:rPr>
        <w:t>trichloromethylperoxy radical</w:t>
      </w:r>
      <w:r>
        <w:rPr>
          <w:b/>
        </w:rPr>
        <w:t>, ·OOCCl₃)</w:t>
      </w:r>
      <w:r>
        <w:rPr/>
        <w:t xml:space="preserve"> yang jauh lebih reaktif.</w:t>
      </w:r>
    </w:p>
    <w:p>
      <w:pPr>
        <w:spacing w:after="40"/>
        <w:ind w:left="680" w:hanging="283"/>
      </w:pPr>
      <w:r>
        <w:rPr/>
        <w:t>3. Radikal bebas ini mengabstraksi atom hidrogen dari asam lemak tak jenuh ganda (</w:t>
      </w:r>
      <w:r>
        <w:rPr>
          <w:i/>
        </w:rPr>
        <w:t>polyunsaturated fatty acids</w:t>
      </w:r>
      <w:r>
        <w:rPr/>
        <w:t xml:space="preserve">) pada fosfolipid membran retikulum endoplasma dan mitokondria hepatosit, memicu kaskade </w:t>
      </w:r>
      <w:r>
        <w:rPr>
          <w:b/>
        </w:rPr>
        <w:t>peroksidasi lipid autokatalitik</w:t>
      </w:r>
      <w:r>
        <w:rPr/>
        <w:t>.</w:t>
      </w:r>
    </w:p>
    <w:p>
      <w:pPr>
        <w:spacing w:after="40"/>
        <w:ind w:left="680" w:hanging="283"/>
      </w:pPr>
      <w:r>
        <w:rPr/>
        <w:t xml:space="preserve">4. Peroksidasi lipid mendestruksi integritas membran, melepaskan produk disintegrasi toksik seperti </w:t>
      </w:r>
      <w:r>
        <w:rPr>
          <w:b/>
        </w:rPr>
        <w:t>malondialdehida (MDA)</w:t>
      </w:r>
      <w:r>
        <w:rPr/>
        <w:t xml:space="preserve"> dan 4-hidroksinonenal, memicu runtuhnya gradien kalsium intraseluler dan kematian sel.</w:t>
      </w:r>
    </w:p>
    <w:p>
      <w:pPr>
        <w:spacing w:after="40"/>
        <w:ind w:left="680" w:hanging="283"/>
      </w:pPr>
      <w:r>
        <w:rPr/>
        <w:t>5. Radikal bebas juga mengikat kovalen apoprotein CYP2E1, memicu destruksi enzim secara ireversibel (</w:t>
      </w:r>
      <w:r>
        <w:rPr>
          <w:i/>
        </w:rPr>
        <w:t>suicide inactivation</w:t>
      </w:r>
      <w:r>
        <w:rPr/>
        <w:t>).</w:t>
      </w:r>
    </w:p>
    <w:p>
      <w:pPr>
        <w:pStyle w:val="ListBullet"/>
        <w:spacing w:after="20"/>
      </w:pPr>
      <w:r>
        <w:rPr>
          <w:b/>
        </w:rPr>
        <w:t>Implikasi Klinis &amp; Patologi Okupasi:</w:t>
      </w:r>
    </w:p>
    <w:p>
      <w:pPr>
        <w:pStyle w:val="ListBullet2"/>
        <w:spacing w:after="20"/>
      </w:pPr>
      <w:r>
        <w:rPr>
          <w:b/>
        </w:rPr>
        <w:t>Nekrosis koagulatif akut sentrilobular hepar (Zona 3 asinus hepatik)</w:t>
      </w:r>
      <w:r>
        <w:rPr/>
        <w:t xml:space="preserve"> karena konsentrasi CYP2E1 tertinggi berada di perivenular.</w:t>
      </w:r>
    </w:p>
    <w:p>
      <w:pPr>
        <w:pStyle w:val="ListBullet2"/>
        <w:spacing w:after="20"/>
      </w:pPr>
      <w:r>
        <w:rPr/>
        <w:t xml:space="preserve">Hepatomegali, ikterus berat, gagal hati fulminan, serta </w:t>
      </w:r>
      <w:r>
        <w:rPr>
          <w:b/>
        </w:rPr>
        <w:t>gagal ginjal akut (</w:t>
      </w:r>
      <w:r>
        <w:rPr>
          <w:b/>
          <w:i/>
        </w:rPr>
        <w:t>acute tubular necrosis</w:t>
      </w:r>
      <w:r>
        <w:rPr>
          <w:b/>
        </w:rPr>
        <w:t>)</w:t>
      </w:r>
      <w:r>
        <w:rPr/>
        <w:t xml:space="preserve"> sekunder.</w:t>
      </w:r>
    </w:p>
    <w:p>
      <w:pPr>
        <w:pStyle w:val="ListBullet"/>
        <w:spacing w:after="20"/>
      </w:pPr>
      <w:r>
        <w:rPr>
          <w:b/>
        </w:rPr>
        <w:t>Biomarker Pemantauan &amp; Diagnostik:</w:t>
      </w:r>
    </w:p>
    <w:p>
      <w:pPr>
        <w:pStyle w:val="ListBullet2"/>
        <w:spacing w:after="20"/>
      </w:pPr>
      <w:r>
        <w:rPr>
          <w:i/>
        </w:rPr>
        <w:t>Biomarker Efek Klinis:</w:t>
      </w:r>
      <w:r>
        <w:rPr/>
        <w:t xml:space="preserve"> Lonjakan masif enzim transaminase serum (</w:t>
      </w:r>
      <w:r>
        <w:rPr>
          <w:b/>
        </w:rPr>
        <w:t>SGOT/AST dan SGPT/ALT</w:t>
      </w:r>
      <w:r>
        <w:rPr/>
        <w:t xml:space="preserve">), pemanjangan </w:t>
      </w:r>
      <w:r>
        <w:rPr>
          <w:i/>
        </w:rPr>
        <w:t>Prothrombin Time</w:t>
      </w:r>
      <w:r>
        <w:rPr/>
        <w:t xml:space="preserve"> (PT/INR), serta peningkatan kadar </w:t>
      </w:r>
      <w:r>
        <w:rPr>
          <w:b/>
        </w:rPr>
        <w:t>Malondialdehida (MDA)</w:t>
      </w:r>
      <w:r>
        <w:rPr/>
        <w:t xml:space="preserve"> darah/urin sebagai penanda peroksidasi lipid.</w:t>
      </w:r>
    </w:p>
    <w:p>
      <w:pPr>
        <w:pStyle w:val="ListBullet2"/>
        <w:spacing w:after="20"/>
      </w:pPr>
      <w:r>
        <w:rPr>
          <w:i/>
        </w:rPr>
        <w:t>Biomarker Pajanan:</w:t>
      </w:r>
      <w:r>
        <w:rPr/>
        <w:t xml:space="preserve"> Karbon tetraklorida utuh dalam udara ekspirasi atau darah akhir shift kerja.</w:t>
      </w:r>
    </w:p>
    <w:p>
      <w:pPr>
        <w:pStyle w:val="Heading4"/>
      </w:pPr>
      <w:r>
        <w:t>4. Metanol → Formaldehida → Asam Format (Format)</w:t>
      </w:r>
    </w:p>
    <w:p>
      <w:pPr>
        <w:pStyle w:val="ListBullet"/>
        <w:spacing w:after="20"/>
      </w:pPr>
      <w:r>
        <w:rPr>
          <w:b/>
        </w:rPr>
        <w:t>Enzim Kunci:</w:t>
      </w:r>
    </w:p>
    <w:p>
      <w:pPr>
        <w:pStyle w:val="ListBullet2"/>
        <w:spacing w:after="20"/>
      </w:pPr>
      <w:r>
        <w:rPr/>
        <w:t xml:space="preserve">Langkah 1: </w:t>
      </w:r>
      <w:r>
        <w:rPr>
          <w:b/>
        </w:rPr>
        <w:t>Alkohol Dehidrogenase (ADH)</w:t>
      </w:r>
      <w:r>
        <w:rPr/>
        <w:t xml:space="preserve"> di sitosol hepatosit (serta sistem katalase peroksisom).</w:t>
      </w:r>
    </w:p>
    <w:p>
      <w:pPr>
        <w:pStyle w:val="ListBullet2"/>
        <w:spacing w:after="20"/>
      </w:pPr>
      <w:r>
        <w:rPr/>
        <w:t xml:space="preserve">Langkah 2: </w:t>
      </w:r>
      <w:r>
        <w:rPr>
          <w:b/>
        </w:rPr>
        <w:t>Aldehida Dehidrogenase (ALDH)</w:t>
      </w:r>
      <w:r>
        <w:rPr/>
        <w:t xml:space="preserve"> sitosol dan mitokondria (khususnya </w:t>
      </w:r>
      <w:r>
        <w:rPr>
          <w:i/>
        </w:rPr>
        <w:t>formaldehyde dehydrogenase</w:t>
      </w:r>
      <w:r>
        <w:rPr/>
        <w:t xml:space="preserve"> dependan-GSH).</w:t>
      </w:r>
    </w:p>
    <w:p>
      <w:pPr>
        <w:pStyle w:val="ListBullet"/>
        <w:spacing w:after="20"/>
      </w:pPr>
      <w:r>
        <w:rPr>
          <w:b/>
        </w:rPr>
        <w:t>Jalur Bioaktivasi Molekuler:</w:t>
      </w:r>
    </w:p>
    <w:p>
      <w:pPr>
        <w:spacing w:after="40"/>
        <w:ind w:left="680" w:hanging="283"/>
      </w:pPr>
      <w:r>
        <w:rPr/>
        <w:t xml:space="preserve">1. Metanol (relatif non-toksik secara intrinsik, hanya memicu narkosis ringan) dioksidasi lambat oleh ADH menjadi </w:t>
      </w:r>
      <w:r>
        <w:rPr>
          <w:b/>
        </w:rPr>
        <w:t>formaldehida (HCHO)</w:t>
      </w:r>
      <w:r>
        <w:rPr/>
        <w:t>.</w:t>
      </w:r>
    </w:p>
    <w:p>
      <w:pPr>
        <w:spacing w:after="40"/>
        <w:ind w:left="680" w:hanging="283"/>
      </w:pPr>
      <w:r>
        <w:rPr/>
        <w:t xml:space="preserve">2. Formaldehida dioksidasi dengan sangat cepat oleh ALDH menjadi </w:t>
      </w:r>
      <w:r>
        <w:rPr>
          <w:b/>
        </w:rPr>
        <w:t>asam format / format (HCOOH / HCOO⁻)</w:t>
      </w:r>
      <w:r>
        <w:rPr/>
        <w:t>. Karena konversi ini berlangsung sangat efisien, kadar formaldehida bebas dalam jaringan postmortem hampir tidak terdeteksi.</w:t>
      </w:r>
    </w:p>
    <w:p>
      <w:pPr>
        <w:spacing w:after="40"/>
        <w:ind w:left="680" w:hanging="283"/>
      </w:pPr>
      <w:r>
        <w:rPr/>
        <w:t xml:space="preserve">3. </w:t>
      </w:r>
      <w:r>
        <w:rPr>
          <w:i/>
        </w:rPr>
        <w:t>Toksisitas Seluler Format:</w:t>
      </w:r>
      <w:r>
        <w:rPr/>
        <w:t xml:space="preserve"> Eliminasi format melalui jalur tetrahidrofolat berlangsung sangat lambat pada primata/manusia, sehingga ion format terakumulasi masif. Format menginhibisi secara spesifik enzim </w:t>
      </w:r>
      <w:r>
        <w:rPr>
          <w:b/>
        </w:rPr>
        <w:t>sitokrom c oksidase (Kompleks IV)</w:t>
      </w:r>
      <w:r>
        <w:rPr/>
        <w:t xml:space="preserve"> pada rantai transpor elektron mitokondria, menyebabkan histotoksik hipoksia dan asidosis laktat.</w:t>
      </w:r>
    </w:p>
    <w:p>
      <w:pPr>
        <w:pStyle w:val="ListBullet"/>
        <w:spacing w:after="20"/>
      </w:pPr>
      <w:r>
        <w:rPr>
          <w:b/>
        </w:rPr>
        <w:t>Implikasi Klinis &amp; Patologi Okupasi:</w:t>
      </w:r>
    </w:p>
    <w:p>
      <w:pPr>
        <w:pStyle w:val="ListBullet2"/>
        <w:spacing w:after="20"/>
      </w:pPr>
      <w:r>
        <w:rPr>
          <w:b/>
        </w:rPr>
        <w:t>Asidosis Metabolik Berat:</w:t>
      </w:r>
      <w:r>
        <w:rPr/>
        <w:t xml:space="preserve"> Ditandai dengan </w:t>
      </w:r>
      <w:r>
        <w:rPr>
          <w:i/>
        </w:rPr>
        <w:t>High Anion Gap Metabolic Acidosis</w:t>
      </w:r>
      <w:r>
        <w:rPr/>
        <w:t xml:space="preserve"> (HAGMA) dan peningkatan </w:t>
      </w:r>
      <w:r>
        <w:rPr>
          <w:i/>
        </w:rPr>
        <w:t>osmolar gap</w:t>
      </w:r>
      <w:r>
        <w:rPr/>
        <w:t>.</w:t>
      </w:r>
    </w:p>
    <w:p>
      <w:pPr>
        <w:pStyle w:val="ListBullet2"/>
        <w:spacing w:after="20"/>
      </w:pPr>
      <w:r>
        <w:rPr>
          <w:b/>
        </w:rPr>
        <w:t>Toksisitas Okular Spesifik:</w:t>
      </w:r>
      <w:r>
        <w:rPr/>
        <w:t xml:space="preserve"> Pembengkakan aksonal, edema diskus optikus, degenerasi sel ganglion retina, hingga atrofi nervus optikus yang mengakibatkan </w:t>
      </w:r>
      <w:r>
        <w:rPr>
          <w:b/>
        </w:rPr>
        <w:t>kebutaan permanen</w:t>
      </w:r>
      <w:r>
        <w:rPr/>
        <w:t xml:space="preserve"> (</w:t>
      </w:r>
      <w:r>
        <w:rPr>
          <w:i/>
        </w:rPr>
        <w:t>snowfield vision</w:t>
      </w:r>
      <w:r>
        <w:rPr/>
        <w:t>).</w:t>
      </w:r>
    </w:p>
    <w:p>
      <w:pPr>
        <w:pStyle w:val="ListBullet2"/>
        <w:spacing w:after="20"/>
      </w:pPr>
      <w:r>
        <w:rPr>
          <w:b/>
        </w:rPr>
        <w:t>Nekrosis Ganglia Basalis:</w:t>
      </w:r>
      <w:r>
        <w:rPr/>
        <w:t xml:space="preserve"> Terutama nekrosis bilateral putamen otak, memicu defisit neurologis ekstrapiramidal permanen.</w:t>
      </w:r>
    </w:p>
    <w:p>
      <w:pPr>
        <w:pStyle w:val="ListBullet2"/>
        <w:spacing w:after="20"/>
      </w:pPr>
      <w:r>
        <w:rPr>
          <w:i/>
        </w:rPr>
        <w:t>Prinsip Terapi Okupasi:</w:t>
      </w:r>
      <w:r>
        <w:rPr/>
        <w:t xml:space="preserve"> Pemberian </w:t>
      </w:r>
      <w:r>
        <w:rPr>
          <w:b/>
        </w:rPr>
        <w:t>etanol</w:t>
      </w:r>
      <w:r>
        <w:rPr/>
        <w:t xml:space="preserve"> atau </w:t>
      </w:r>
      <w:r>
        <w:rPr>
          <w:b/>
        </w:rPr>
        <w:t>fomepizol</w:t>
      </w:r>
      <w:r>
        <w:rPr/>
        <w:t xml:space="preserve"> yang bekerja sebagai inhibitor kompetitif enzim ADH (afinitas etanol terhadap ADH 10–20 kali lebih kuat dibanding metanol), memblokade bioaktivasi pembentukan format hingga metanol utuh dapat diekskresikan atau dibuang lewat hemodialisis.</w:t>
      </w:r>
    </w:p>
    <w:p>
      <w:pPr>
        <w:pStyle w:val="ListBullet"/>
        <w:spacing w:after="20"/>
      </w:pPr>
      <w:r>
        <w:rPr>
          <w:b/>
        </w:rPr>
        <w:t>Biomarker Pemantauan Biologis (ACGIH BEI):</w:t>
      </w:r>
    </w:p>
    <w:p>
      <w:pPr>
        <w:pStyle w:val="ListBullet2"/>
        <w:spacing w:after="20"/>
      </w:pPr>
      <w:r>
        <w:rPr>
          <w:b/>
        </w:rPr>
        <w:t>Metanol dalam urin:</w:t>
      </w:r>
      <w:r>
        <w:rPr/>
        <w:t xml:space="preserve"> </w:t>
      </w:r>
      <w:r>
        <w:rPr>
          <w:i/>
        </w:rPr>
        <w:t>Waktu sampling:</w:t>
      </w:r>
      <w:r>
        <w:rPr/>
        <w:t xml:space="preserve"> Akhir shift kerja. </w:t>
      </w:r>
      <w:r>
        <w:rPr>
          <w:i/>
        </w:rPr>
        <w:t>Nilai BEI:</w:t>
      </w:r>
      <w:r>
        <w:rPr/>
        <w:t xml:space="preserve"> </w:t>
      </w:r>
      <w:r>
        <w:rPr>
          <w:b/>
        </w:rPr>
        <w:t>15 mg/L</w:t>
      </w:r>
      <w:r>
        <w:rPr/>
        <w:t xml:space="preserve"> (Notasi B, Ns).</w:t>
      </w:r>
    </w:p>
    <w:p>
      <w:pPr>
        <w:pStyle w:val="ListBullet2"/>
        <w:spacing w:after="20"/>
      </w:pPr>
      <w:r>
        <w:rPr>
          <w:i/>
        </w:rPr>
        <w:t>Biomarker Efek Klinis:</w:t>
      </w:r>
      <w:r>
        <w:rPr/>
        <w:t xml:space="preserve"> Peningkatan asam format serum/urin, defisit basa (</w:t>
      </w:r>
      <w:r>
        <w:rPr>
          <w:i/>
        </w:rPr>
        <w:t>base deficit</w:t>
      </w:r>
      <w:r>
        <w:rPr/>
        <w:t>), dan penurunan pH darah arterial.</w:t>
      </w:r>
    </w:p>
    <w:p>
      <w:pPr>
        <w:pStyle w:val="Heading4"/>
      </w:pPr>
      <w:r>
        <w:t>5. Etilen Glikol → Glikolat → Asam Oksalat (Oksalat)</w:t>
      </w:r>
    </w:p>
    <w:p>
      <w:pPr>
        <w:pStyle w:val="ListBullet"/>
        <w:spacing w:after="20"/>
      </w:pPr>
      <w:r>
        <w:rPr>
          <w:b/>
        </w:rPr>
        <w:t>Enzim Kunci:</w:t>
      </w:r>
    </w:p>
    <w:p>
      <w:pPr>
        <w:pStyle w:val="ListBullet2"/>
        <w:spacing w:after="20"/>
      </w:pPr>
      <w:r>
        <w:rPr>
          <w:b/>
        </w:rPr>
        <w:t>Alkohol Dehidrogenase (ADH)</w:t>
      </w:r>
      <w:r>
        <w:rPr/>
        <w:t xml:space="preserve"> di sitosol hepar.</w:t>
      </w:r>
    </w:p>
    <w:p>
      <w:pPr>
        <w:pStyle w:val="ListBullet2"/>
        <w:spacing w:after="20"/>
      </w:pPr>
      <w:r>
        <w:rPr>
          <w:b/>
        </w:rPr>
        <w:t>Aldehida Dehidrogenase (ALDH)</w:t>
      </w:r>
      <w:r>
        <w:rPr/>
        <w:t xml:space="preserve"> / Aldehida Oksidase.</w:t>
      </w:r>
    </w:p>
    <w:p>
      <w:pPr>
        <w:pStyle w:val="ListBullet2"/>
        <w:spacing w:after="20"/>
      </w:pPr>
      <w:r>
        <w:rPr>
          <w:b/>
        </w:rPr>
        <w:t>Glikolat Oksidase / Laktat Dehidrogenase (LDH)</w:t>
      </w:r>
      <w:r>
        <w:rPr/>
        <w:t>.</w:t>
      </w:r>
    </w:p>
    <w:p>
      <w:pPr>
        <w:pStyle w:val="ListBullet"/>
        <w:spacing w:after="20"/>
      </w:pPr>
      <w:r>
        <w:rPr>
          <w:b/>
        </w:rPr>
        <w:t>Jalur Bioaktivasi Molekuler:</w:t>
      </w:r>
    </w:p>
    <w:p>
      <w:pPr>
        <w:spacing w:after="40"/>
        <w:ind w:left="680" w:hanging="283"/>
      </w:pPr>
      <w:r>
        <w:rPr/>
        <w:t xml:space="preserve">1. Etilen glikol (pelarut komponen pendingin dan cairan hidrolik) dioksidasi oleh ADH menjadi </w:t>
      </w:r>
      <w:r>
        <w:rPr>
          <w:b/>
        </w:rPr>
        <w:t>glikolaldehida</w:t>
      </w:r>
      <w:r>
        <w:rPr/>
        <w:t>.</w:t>
      </w:r>
    </w:p>
    <w:p>
      <w:pPr>
        <w:spacing w:after="40"/>
        <w:ind w:left="680" w:hanging="283"/>
      </w:pPr>
      <w:r>
        <w:rPr/>
        <w:t xml:space="preserve">2. Glikolaldehida dioksidasi cepat oleh ALDH menjadi </w:t>
      </w:r>
      <w:r>
        <w:rPr>
          <w:b/>
        </w:rPr>
        <w:t>asam glikolat (</w:t>
      </w:r>
      <w:r>
        <w:rPr>
          <w:b/>
          <w:i/>
        </w:rPr>
        <w:t>glycolic acid</w:t>
      </w:r>
      <w:r>
        <w:rPr>
          <w:b/>
        </w:rPr>
        <w:t>)</w:t>
      </w:r>
      <w:r>
        <w:rPr/>
        <w:t>. Asam glikolat adalah agen primer penyebab asidosis metabolik sistemik berat.</w:t>
      </w:r>
    </w:p>
    <w:p>
      <w:pPr>
        <w:spacing w:after="40"/>
        <w:ind w:left="680" w:hanging="283"/>
      </w:pPr>
      <w:r>
        <w:rPr/>
        <w:t xml:space="preserve">3. Asam glikolat dioksidasi menjadi asam glioksilat, yang selanjutnya dikonversi menjadi </w:t>
      </w:r>
      <w:r>
        <w:rPr>
          <w:b/>
        </w:rPr>
        <w:t>asam oksalat (</w:t>
      </w:r>
      <w:r>
        <w:rPr>
          <w:b/>
          <w:i/>
        </w:rPr>
        <w:t>oxalic acid / oxalate</w:t>
      </w:r>
      <w:r>
        <w:rPr>
          <w:b/>
        </w:rPr>
        <w:t>)</w:t>
      </w:r>
      <w:r>
        <w:rPr/>
        <w:t>.</w:t>
      </w:r>
    </w:p>
    <w:p>
      <w:pPr>
        <w:spacing w:after="40"/>
        <w:ind w:left="680" w:hanging="283"/>
      </w:pPr>
      <w:r>
        <w:rPr/>
        <w:t xml:space="preserve">4. </w:t>
      </w:r>
      <w:r>
        <w:rPr>
          <w:i/>
        </w:rPr>
        <w:t>Pengendapan Kristal di Ginjal:</w:t>
      </w:r>
      <w:r>
        <w:rPr/>
        <w:t xml:space="preserve"> Ion oksalat bebas di sirkulasi berikatan dengan kalsium plasma (Ca²⁺) membentuk garam </w:t>
      </w:r>
      <w:r>
        <w:rPr>
          <w:b/>
        </w:rPr>
        <w:t>kalsium oksalat (</w:t>
      </w:r>
      <w:r>
        <w:rPr>
          <w:b/>
          <w:i/>
        </w:rPr>
        <w:t>calcium oxalate</w:t>
      </w:r>
      <w:r>
        <w:rPr>
          <w:b/>
        </w:rPr>
        <w:t>)</w:t>
      </w:r>
      <w:r>
        <w:rPr/>
        <w:t xml:space="preserve"> yang kelarutannya sangat buruk di air. Kristal kalsium oksalat monohidrat mengendap di lumen tubulus ginjal, merusak mikrovili epitel secara mekanik dan sitotoksik langsung, serta menyumbat aliran urin.</w:t>
      </w:r>
    </w:p>
    <w:p>
      <w:pPr>
        <w:pStyle w:val="ListBullet"/>
        <w:spacing w:after="20"/>
      </w:pPr>
      <w:r>
        <w:rPr>
          <w:b/>
        </w:rPr>
        <w:t>Implikasi Klinis &amp; Patologi Okupasi:</w:t>
      </w:r>
    </w:p>
    <w:p>
      <w:pPr>
        <w:pStyle w:val="ListBullet2"/>
        <w:spacing w:after="20"/>
      </w:pPr>
      <w:r>
        <w:rPr>
          <w:b/>
        </w:rPr>
        <w:t>Gagal Ginjal Akut (</w:t>
      </w:r>
      <w:r>
        <w:rPr>
          <w:b/>
          <w:i/>
        </w:rPr>
        <w:t>Acute Tubular Necrosis</w:t>
      </w:r>
      <w:r>
        <w:rPr>
          <w:b/>
        </w:rPr>
        <w:t>):</w:t>
      </w:r>
      <w:r>
        <w:rPr/>
        <w:t xml:space="preserve"> Oliguria, anuria, dan uremia akibat obstruksi intratubular kristal oksalat dan nekrosis sel tubulus proksimal.</w:t>
      </w:r>
    </w:p>
    <w:p>
      <w:pPr>
        <w:pStyle w:val="ListBullet2"/>
        <w:spacing w:after="20"/>
      </w:pPr>
      <w:r>
        <w:rPr>
          <w:b/>
        </w:rPr>
        <w:t>Hipokalsemia Akut:</w:t>
      </w:r>
      <w:r>
        <w:rPr/>
        <w:t xml:space="preserve"> Terjadi akibat presipitasi masif kalsium plasma menjadi kristal oksalat, memicu iritabilitas neuromuskular, tetani, dan disritmia jantung.</w:t>
      </w:r>
    </w:p>
    <w:p>
      <w:pPr>
        <w:pStyle w:val="ListBullet2"/>
        <w:spacing w:after="20"/>
      </w:pPr>
      <w:r>
        <w:rPr>
          <w:i/>
        </w:rPr>
        <w:t>Prinsip Terapi Okupasi:</w:t>
      </w:r>
      <w:r>
        <w:rPr/>
        <w:t xml:space="preserve"> Infus etanol atau fomepizol untuk menginhibisi enzim ADH secara kompetitif guna mencegah konversi etilen glikol menjadi glikolat dan oksalat.</w:t>
      </w:r>
    </w:p>
    <w:p>
      <w:pPr>
        <w:pStyle w:val="ListBullet"/>
        <w:spacing w:after="20"/>
      </w:pPr>
      <w:r>
        <w:rPr>
          <w:b/>
        </w:rPr>
        <w:t>Biomarker Pemantauan &amp; Diagnostik:</w:t>
      </w:r>
    </w:p>
    <w:p>
      <w:pPr>
        <w:pStyle w:val="ListBullet2"/>
        <w:spacing w:after="20"/>
      </w:pPr>
      <w:r>
        <w:rPr>
          <w:i/>
        </w:rPr>
        <w:t>Sedimen Urin:</w:t>
      </w:r>
      <w:r>
        <w:rPr/>
        <w:t xml:space="preserve"> Ditemukannya </w:t>
      </w:r>
      <w:r>
        <w:rPr>
          <w:b/>
        </w:rPr>
        <w:t>kristal kalsium oksalat monohidrat (berbentuk jarum/spindel) atau dihidrat (berbentuk amplop)</w:t>
      </w:r>
      <w:r>
        <w:rPr/>
        <w:t>.</w:t>
      </w:r>
    </w:p>
    <w:p>
      <w:pPr>
        <w:pStyle w:val="ListBullet2"/>
        <w:spacing w:after="20"/>
      </w:pPr>
      <w:r>
        <w:rPr>
          <w:i/>
        </w:rPr>
        <w:t>Biomarker Laboratorium:</w:t>
      </w:r>
      <w:r>
        <w:rPr/>
        <w:t xml:space="preserve"> Peningkatan asam oksalat urin/darah, peningkatan asam glikolat serum, penurunan kalsium ion serum, serta peningkatan kadar serum kreatinin dan BUN.</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6 (Metabolism of Toxicants):</w:t>
      </w:r>
      <w:r>
        <w:rPr>
          <w:color w:val="595959"/>
          <w:sz w:val="16"/>
        </w:rPr>
        <w:t xml:space="preserve"> Fase I Monooksigenasi CYP450, Siklus Katalitik, FMO, Reaksi Hidrolisis Esterase &amp; Epoxide Hydrolase (hlm. 115–143); Reaksi Fase II Glukuronidasi UGT, Sulfasi SULT, Konjugasi Glutation GST &amp; Asam Merkapturat, Asetilasi NAT, Metilasi (hlm. 143–154).</w:t>
      </w:r>
    </w:p>
    <w:p>
      <w:pPr>
        <w:spacing w:after="0"/>
        <w:ind w:left="283"/>
      </w:pPr>
      <w:r>
        <w:rPr>
          <w:i/>
          <w:color w:val="595959"/>
          <w:sz w:val="16"/>
        </w:rPr>
        <w:t>Bab 7 (Reactive Metabolites &amp; Bioactivation):</w:t>
      </w:r>
      <w:r>
        <w:rPr>
          <w:color w:val="595959"/>
          <w:sz w:val="16"/>
        </w:rPr>
        <w:t xml:space="preserve"> Konsep Bioaktivasi, Bioaktivasi CCl₄ menjadi radikal triklorometil &amp; peroksidasi lipid, Desulfurasi Organofosfat Chlorpyrifos/Parathion, Oksidasi Metanol menjadi Asam Format, Benzo(a)pirena (hlm. 157–170).</w:t>
      </w:r>
    </w:p>
    <w:p>
      <w:pPr>
        <w:spacing w:after="0"/>
        <w:ind w:left="283"/>
      </w:pPr>
      <w:r>
        <w:rPr>
          <w:i/>
          <w:color w:val="595959"/>
          <w:sz w:val="16"/>
        </w:rPr>
        <w:t>Bab 8 (Chemical and Physiological Effects):</w:t>
      </w:r>
      <w:r>
        <w:rPr>
          <w:color w:val="595959"/>
          <w:sz w:val="16"/>
        </w:rPr>
        <w:t xml:space="preserve"> Induksi &amp; Inhibisi Enzim, Suicide Inactivation, Polimorfisme Toksikogenetik (hlm. 173–204).</w:t>
      </w:r>
    </w:p>
    <w:p>
      <w:pPr>
        <w:spacing w:after="0"/>
        <w:ind w:left="283"/>
      </w:pPr>
      <w:r>
        <w:rPr>
          <w:i/>
          <w:color w:val="595959"/>
          <w:sz w:val="16"/>
        </w:rPr>
        <w:t>Bab 14 (Toxicology of the Kidney):</w:t>
      </w:r>
      <w:r>
        <w:rPr>
          <w:color w:val="595959"/>
          <w:sz w:val="16"/>
        </w:rPr>
        <w:t xml:space="preserve"> Nefrotoksisitas Etilen Glikol menjadi Asam Glikolat dan Kristal Kalsium Oksalat, serta Bioaktivasi Toksik Konjugat GSH oleh Cysteine Conjugate β-lyase (hlm. 297–299).</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1.07 (Biotransformation of Toxicants by G.L. Kedderis):</w:t>
      </w:r>
      <w:r>
        <w:rPr>
          <w:color w:val="595959"/>
          <w:sz w:val="16"/>
        </w:rPr>
        <w:t xml:space="preserve"> Pembagian Fase I, Fase II, Transporter Fase III; Stoikiometri CYP450, Karakterisasi UGT, SULT, GST, Induksi CYP2E1 oleh Etanol (hlm. 107–120).</w:t>
      </w:r>
    </w:p>
    <w:p>
      <w:pPr>
        <w:spacing w:after="0"/>
        <w:ind w:left="283"/>
      </w:pPr>
      <w:r>
        <w:rPr>
          <w:i/>
          <w:color w:val="595959"/>
          <w:sz w:val="16"/>
        </w:rPr>
        <w:t>Bagian 1.15 (Reactive Electrophiles and Metabolic Activation by R.S. Obach &amp; A.S. Kalgutkar):</w:t>
      </w:r>
      <w:r>
        <w:rPr>
          <w:color w:val="595959"/>
          <w:sz w:val="16"/>
        </w:rPr>
        <w:t xml:space="preserve"> Pembentukan Elektrofil Reaktif, Arene Oxide, Muconaldehyde, Bioaktivasi Asam Karboksilat via Asil Glukuronida (hlm. 309–347).</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3 (Xenobiotic Metabolism &amp; Disposition by G. Chen):</w:t>
      </w:r>
      <w:r>
        <w:rPr>
          <w:color w:val="595959"/>
          <w:sz w:val="16"/>
        </w:rPr>
        <w:t xml:space="preserve"> Struktur Hemeprotein CYP450, Siklus Monooksigenasi, Perbedaan SULT vs UGT (K_m dan Kapasitas), Nomenklatur GST (hlm. 29–42).</w:t>
      </w:r>
    </w:p>
    <w:p>
      <w:pPr>
        <w:spacing w:after="0"/>
        <w:ind w:left="283"/>
      </w:pPr>
      <w:r>
        <w:rPr>
          <w:i/>
          <w:color w:val="595959"/>
          <w:sz w:val="16"/>
        </w:rPr>
        <w:t>Bab 4 &amp; Bab 21:</w:t>
      </w:r>
      <w:r>
        <w:rPr>
          <w:color w:val="595959"/>
          <w:sz w:val="16"/>
        </w:rPr>
        <w:t xml:space="preserve"> Toksikokinetik &amp; Bioaktivasi Paration menjadi Paraokson via CYP450, Inaktivasi Enzim Target AChE, Detoksifikasi oleh PON1 dan Karboksilesterase, Kompetisi Etanol pada Toksisitas Etilen Glikol (hlm. 45–56, 285–292).</w:t>
      </w:r>
    </w:p>
    <w:p>
      <w:pPr>
        <w:spacing w:after="0"/>
        <w:ind w:left="283"/>
      </w:pPr>
      <w:r>
        <w:rPr>
          <w:b/>
          <w:color w:val="595959"/>
          <w:sz w:val="16"/>
        </w:rPr>
        <w:t>Kim, Yangwoo (2026).</w:t>
      </w:r>
      <w:r>
        <w:rPr>
          <w:color w:val="595959"/>
          <w:sz w:val="16"/>
        </w:rPr>
        <w:t xml:space="preserve"> </w:t>
      </w:r>
      <w:r>
        <w:rPr>
          <w:i/>
          <w:color w:val="595959"/>
          <w:sz w:val="16"/>
        </w:rPr>
        <w:t>What a biological exposure index is not: lessons from benzene.</w:t>
      </w:r>
      <w:r>
        <w:rPr>
          <w:color w:val="595959"/>
          <w:sz w:val="16"/>
        </w:rPr>
        <w:t xml:space="preserve"> Industrial Health:</w:t>
      </w:r>
    </w:p>
    <w:p>
      <w:pPr>
        <w:spacing w:after="0"/>
        <w:ind w:left="283"/>
      </w:pPr>
      <w:r>
        <w:rPr>
          <w:i/>
          <w:color w:val="595959"/>
          <w:sz w:val="16"/>
        </w:rPr>
        <w:t>Mekanisme Biotransformasi Benzena:</w:t>
      </w:r>
      <w:r>
        <w:rPr>
          <w:color w:val="595959"/>
          <w:sz w:val="16"/>
        </w:rPr>
        <w:t xml:space="preserve"> Oksidasi CYP2E1 hepatik vs CYP2F1/CYP2A13 respiratori dosis rendah, Penataan Ulang Fenol, Oksidasi MPO sumsum tulang menjadi Benzoquinon, Pembukaan Cincin Trans,trans-muconaldehyde, Konjugasi GSTT1/GSTM1 menjadi S-PMA (hlm. 9–14 &amp; Gambar 1).</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 (Wiley)</w:t>
      </w:r>
      <w:r>
        <w:rPr>
          <w:color w:val="595959"/>
          <w:sz w:val="16"/>
        </w:rPr>
        <w:t>:</w:t>
      </w:r>
    </w:p>
    <w:p>
      <w:pPr>
        <w:spacing w:after="0"/>
        <w:ind w:left="283"/>
      </w:pPr>
      <w:r>
        <w:rPr>
          <w:i/>
          <w:color w:val="595959"/>
          <w:sz w:val="16"/>
        </w:rPr>
        <w:t>Bab 7, 8, dan 9:</w:t>
      </w:r>
      <w:r>
        <w:rPr>
          <w:color w:val="595959"/>
          <w:sz w:val="16"/>
        </w:rPr>
        <w:t xml:space="preserve"> Induksi dan Polimorfisme CYP2E1, Reaksi UGT, GSTM1/GSTT1 null pada Kerentanan Toksisitas Benzena, Enzim PON1 dan Epoxide Hydrolase (hlm. 95–176).</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w:t>
      </w:r>
    </w:p>
    <w:p>
      <w:pPr>
        <w:spacing w:after="0"/>
        <w:ind w:left="283"/>
      </w:pPr>
      <w:r>
        <w:rPr>
          <w:i/>
          <w:color w:val="595959"/>
          <w:sz w:val="16"/>
        </w:rPr>
        <w:t>Bab 4 (ADME):</w:t>
      </w:r>
      <w:r>
        <w:rPr>
          <w:color w:val="595959"/>
          <w:sz w:val="16"/>
        </w:rPr>
        <w:t xml:space="preserve"> Klasifikasi Enzim Biotransformasi Fase I &amp; Fase II, Tabel Reaksi CYP450, dan Pembentukan Konjugat Polar.</w:t>
      </w:r>
    </w:p>
    <w:p>
      <w:pPr>
        <w:spacing w:after="0"/>
        <w:ind w:left="283"/>
      </w:pPr>
      <w:r>
        <w:rPr>
          <w:b/>
          <w:color w:val="595959"/>
          <w:sz w:val="16"/>
        </w:rPr>
        <w:t>ACGIH (2026 Edition).</w:t>
      </w:r>
      <w:r>
        <w:rPr>
          <w:color w:val="595959"/>
          <w:sz w:val="16"/>
        </w:rPr>
        <w:t xml:space="preserve"> </w:t>
      </w:r>
      <w:r>
        <w:rPr>
          <w:i/>
          <w:color w:val="595959"/>
          <w:sz w:val="16"/>
        </w:rPr>
        <w:t>TLVs® and BEIs®</w:t>
      </w:r>
      <w:r>
        <w:rPr>
          <w:color w:val="595959"/>
          <w:sz w:val="16"/>
        </w:rPr>
        <w:t>:</w:t>
      </w:r>
    </w:p>
    <w:p>
      <w:pPr>
        <w:spacing w:after="0"/>
        <w:ind w:left="283"/>
      </w:pPr>
      <w:r>
        <w:rPr>
          <w:color w:val="595959"/>
          <w:sz w:val="16"/>
        </w:rPr>
        <w:t>Tabel Determinan Biologis Adopsi untuk Benzena (S-PMA dan t,t-MA), Paration (AChE dan p-Nitrofenol), dan Metanol.</w:t>
      </w:r>
    </w:p>
    <w:p>
      <w:pPr>
        <w:pStyle w:val="Heading2"/>
      </w:pPr>
      <w:bookmarkStart w:id="110" w:name="toc_010"/>
      <w:r>
        <w:t>1.10 Toksikokinetik umum</w:t>
      </w:r>
      <w:bookmarkEnd w:id="110"/>
    </w:p>
    <w:p>
      <w:pPr>
        <w:pStyle w:val="Heading3"/>
      </w:pPr>
      <w:r>
        <w:t>1. Rute Pajanan Utama dan Faktor Penentu Absorpsi</w:t>
      </w:r>
    </w:p>
    <w:p>
      <w:pPr>
        <w:spacing w:after="80"/>
      </w:pPr>
      <w:r>
        <w:rPr/>
        <w:t>Agar memicu toksisitas sistemik, suatu xenobiotik di tempat kerja harus diserap menembus membran biologis menuju sirkulasi sistemik.</w:t>
      </w:r>
    </w:p>
    <w:p>
      <w:pPr>
        <w:spacing w:after="120"/>
        <w:ind w:left="170"/>
      </w:pPr>
      <w:r>
        <w:rPr>
          <w:rFonts w:ascii="Consolas" w:hAnsi="Consolas" w:eastAsia="Consolas"/>
          <w:sz w:val="13"/>
        </w:rPr>
        <w:t xml:space="preserve">                                  [ RUTE ABSORPSI TOKSIKAN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INHALASI ]                            [ KULIT ]                       [ SALURAN CERNA ]</w:t>
      </w:r>
      <w:r>
        <w:br/>
      </w:r>
      <w:r>
        <w:rPr>
          <w:rFonts w:ascii="Consolas" w:hAnsi="Consolas" w:eastAsia="Consolas"/>
          <w:sz w:val="13"/>
        </w:rPr>
        <w:t>• Rute okupasi paling utama             • Menembus stratum corneum         • Ingesti sekunder / higienitas</w:t>
      </w:r>
      <w:r>
        <w:br/>
      </w:r>
      <w:r>
        <w:rPr>
          <w:rFonts w:ascii="Consolas" w:hAnsi="Consolas" w:eastAsia="Consolas"/>
          <w:sz w:val="13"/>
        </w:rPr>
        <w:t>• Luas alveoli masif (~100–140 m²)        (hambatan difusi 80%)            • Dipengaruhi pH lambung–usus</w:t>
      </w:r>
      <w:r>
        <w:br/>
      </w:r>
      <w:r>
        <w:rPr>
          <w:rFonts w:ascii="Consolas" w:hAnsi="Consolas" w:eastAsia="Consolas"/>
          <w:sz w:val="13"/>
        </w:rPr>
        <w:t>• Membran tipis (0,2–0,5 µm)            • Luas ~1,8 m², tebal 10–20 µm     • Efek lintas pertama hepar</w:t>
      </w:r>
      <w:r>
        <w:br/>
      </w:r>
      <w:r>
        <w:rPr>
          <w:rFonts w:ascii="Consolas" w:hAnsi="Consolas" w:eastAsia="Consolas"/>
          <w:sz w:val="13"/>
        </w:rPr>
        <w:t>• Tanpa efek lintas pertama             • Bergantung lipofilisitas         (First-Pass Effect masif)</w:t>
      </w:r>
    </w:p>
    <w:p>
      <w:pPr>
        <w:pStyle w:val="Heading4"/>
      </w:pPr>
      <w:r>
        <w:t>a. Rute Inhalasi (Respiratory Penetration)</w:t>
      </w:r>
    </w:p>
    <w:p>
      <w:pPr>
        <w:pStyle w:val="ListBullet"/>
        <w:spacing w:after="20"/>
      </w:pPr>
      <w:r>
        <w:rPr>
          <w:b/>
        </w:rPr>
        <w:t>Signifikansi Okupasi:</w:t>
      </w:r>
      <w:r>
        <w:rPr/>
        <w:t xml:space="preserve"> Merupakan rute masuk zat kimia industri yang paling umum, cepat, dan berbahaya (gas, uap solven, </w:t>
      </w:r>
      <w:r>
        <w:rPr>
          <w:i/>
        </w:rPr>
        <w:t>fume</w:t>
      </w:r>
      <w:r>
        <w:rPr/>
        <w:t>, aerosol, dan debu partikulat).</w:t>
      </w:r>
    </w:p>
    <w:p>
      <w:pPr>
        <w:pStyle w:val="ListBullet"/>
        <w:spacing w:after="20"/>
      </w:pPr>
      <w:r>
        <w:rPr>
          <w:b/>
        </w:rPr>
        <w:t>Karakteristik Fisiologis:</w:t>
      </w:r>
      <w:r>
        <w:rPr/>
        <w:t xml:space="preserve"> Memiliki luas permukaan alveoli yang masif (mencapai </w:t>
      </w:r>
      <w:r>
        <w:rPr>
          <w:b/>
        </w:rPr>
        <w:t>100--140 m²</w:t>
      </w:r>
      <w:r>
        <w:rPr/>
        <w:t xml:space="preserve"> pada paru dewasa) dengan sawar pemisah alveolo-kapiler yang sangat tipis (</w:t>
      </w:r>
      <w:r>
        <w:rPr>
          <w:b/>
        </w:rPr>
        <w:t>0,2--0,5 µm</w:t>
      </w:r>
      <w:r>
        <w:rPr/>
        <w:t>) serta perfusi aliran darah kapiler yang sangat tinggi.</w:t>
      </w:r>
    </w:p>
    <w:p>
      <w:pPr>
        <w:pStyle w:val="ListBullet"/>
        <w:spacing w:after="20"/>
      </w:pPr>
      <w:r>
        <w:rPr>
          <w:b/>
        </w:rPr>
        <w:t>Kecepatan Absorpsi:</w:t>
      </w:r>
      <w:r>
        <w:rPr/>
        <w:t xml:space="preserve"> Penyerapan gas dan uap lipofilik terjadi secara difusi pasif instan langsung ke sirkulasi kapiler pulmonal, memintas (</w:t>
      </w:r>
      <w:r>
        <w:rPr>
          <w:i/>
        </w:rPr>
        <w:t>bypass</w:t>
      </w:r>
      <w:r>
        <w:rPr/>
        <w:t>) metabolisme lintas pertama di hepar (</w:t>
      </w:r>
      <w:r>
        <w:rPr>
          <w:i/>
        </w:rPr>
        <w:t>no first-pass hepatic effect</w:t>
      </w:r>
      <w:r>
        <w:rPr/>
        <w:t>) sehingga seluruh dosis langsung didistribusikan ke organ vital.</w:t>
      </w:r>
    </w:p>
    <w:p>
      <w:pPr>
        <w:pStyle w:val="ListBullet"/>
        <w:spacing w:after="20"/>
      </w:pPr>
      <w:r>
        <w:rPr>
          <w:b/>
        </w:rPr>
        <w:t>Faktor Penentu:</w:t>
      </w:r>
    </w:p>
    <w:p>
      <w:pPr>
        <w:spacing w:after="40"/>
        <w:ind w:left="680" w:hanging="283"/>
      </w:pPr>
      <w:r>
        <w:rPr/>
        <w:t xml:space="preserve">1. </w:t>
      </w:r>
      <w:r>
        <w:rPr>
          <w:i/>
        </w:rPr>
        <w:t>Koefisien Partisi Darah:Udara (*Blood:Air Partition Coefficient</w:t>
      </w:r>
      <w:r>
        <w:rPr/>
        <w:t>, λ_(ba)):* Gas dengan kelarutan tinggi dalam darah dibatasi oleh ventilasi semenit (</w:t>
      </w:r>
      <w:r>
        <w:rPr>
          <w:i/>
        </w:rPr>
        <w:t>ventilation-limited</w:t>
      </w:r>
      <w:r>
        <w:rPr/>
        <w:t>); gas dengan kelarutan rendah dibatasi oleh aliran perfusi kardiak (</w:t>
      </w:r>
      <w:r>
        <w:rPr>
          <w:i/>
        </w:rPr>
        <w:t>perfusion-limited</w:t>
      </w:r>
      <w:r>
        <w:rPr/>
        <w:t>).</w:t>
      </w:r>
    </w:p>
    <w:p>
      <w:pPr>
        <w:spacing w:after="40"/>
        <w:ind w:left="680" w:hanging="283"/>
      </w:pPr>
      <w:r>
        <w:rPr/>
        <w:t xml:space="preserve">2. </w:t>
      </w:r>
      <w:r>
        <w:rPr>
          <w:i/>
        </w:rPr>
        <w:t>Aerodinamika Partikulat:</w:t>
      </w:r>
      <w:r>
        <w:rPr/>
        <w:t xml:space="preserve"> Ukuran fraksi partikel (</w:t>
      </w:r>
      <w:r>
        <w:rPr>
          <w:i/>
        </w:rPr>
        <w:t>inhalable</w:t>
      </w:r>
      <w:r>
        <w:rPr/>
        <w:t xml:space="preserve"> &lt;100 µm, </w:t>
      </w:r>
      <w:r>
        <w:rPr>
          <w:i/>
        </w:rPr>
        <w:t>thoracic</w:t>
      </w:r>
      <w:r>
        <w:rPr/>
        <w:t xml:space="preserve"> &lt;10 µm, dan </w:t>
      </w:r>
      <w:r>
        <w:rPr>
          <w:i/>
        </w:rPr>
        <w:t>respirable</w:t>
      </w:r>
      <w:r>
        <w:rPr/>
        <w:t xml:space="preserve"> &lt;4 µm) menentukan lokasi deposisi fisik di saluran napas.</w:t>
      </w:r>
    </w:p>
    <w:p>
      <w:pPr>
        <w:pStyle w:val="Heading4"/>
      </w:pPr>
      <w:r>
        <w:t>b. Rute Kulit / Perkutan (Dermal Absorption)</w:t>
      </w:r>
    </w:p>
    <w:p>
      <w:pPr>
        <w:pStyle w:val="ListBullet"/>
        <w:spacing w:after="20"/>
      </w:pPr>
      <w:r>
        <w:rPr>
          <w:b/>
        </w:rPr>
        <w:t>Sawar Primer:</w:t>
      </w:r>
      <w:r>
        <w:rPr/>
        <w:t xml:space="preserve"> Stratum korneum (SC) adalah lapisan sel korneosit anukleat yang padat keratin dan terikat dalam matriks lipid interseluler bilayer; lapisan ini menyumbang hingga </w:t>
      </w:r>
      <w:r>
        <w:rPr>
          <w:b/>
        </w:rPr>
        <w:t>80% resistensi difusi kulit</w:t>
      </w:r>
      <w:r>
        <w:rPr/>
        <w:t>.</w:t>
      </w:r>
    </w:p>
    <w:p>
      <w:pPr>
        <w:pStyle w:val="ListBullet"/>
        <w:spacing w:after="20"/>
      </w:pPr>
      <w:r>
        <w:rPr>
          <w:b/>
        </w:rPr>
        <w:t>Faktor Penentu Penetrasi Dermal:</w:t>
      </w:r>
    </w:p>
    <w:p>
      <w:pPr>
        <w:spacing w:after="40"/>
        <w:ind w:left="680" w:hanging="283"/>
      </w:pPr>
      <w:r>
        <w:rPr/>
        <w:t xml:space="preserve">1. </w:t>
      </w:r>
      <w:r>
        <w:rPr>
          <w:i/>
        </w:rPr>
        <w:t>Lipofilisitas (*Partition Coefficient</w:t>
      </w:r>
      <w:r>
        <w:rPr/>
        <w:t xml:space="preserve">, log K_(ow) / P_c):* Nilai optimal penembusan SC berada pada rentang </w:t>
      </w:r>
      <w:r>
        <w:rPr>
          <w:b/>
        </w:rPr>
        <w:t>log K_(ow) = 1 s.d. 3</w:t>
      </w:r>
      <w:r>
        <w:rPr/>
        <w:t>. Zat terlampau lipofilik (log K_(ow) &gt; 4--5) akan tertahan di stratum korneum dan lambat memasuki dermis yang hidrofilik.</w:t>
      </w:r>
    </w:p>
    <w:p>
      <w:pPr>
        <w:spacing w:after="40"/>
        <w:ind w:left="680" w:hanging="283"/>
      </w:pPr>
      <w:r>
        <w:rPr/>
        <w:t xml:space="preserve">2. </w:t>
      </w:r>
      <w:r>
        <w:rPr>
          <w:i/>
        </w:rPr>
        <w:t>Berat Molekul (BM):</w:t>
      </w:r>
      <w:r>
        <w:rPr/>
        <w:t xml:space="preserve"> Penetrasi menurun drastis pada molekul besar (</w:t>
      </w:r>
      <w:r>
        <w:rPr>
          <w:b/>
        </w:rPr>
        <w:t>BM &gt; 500 Da</w:t>
      </w:r>
      <w:r>
        <w:rPr/>
        <w:t>.</w:t>
      </w:r>
    </w:p>
    <w:p>
      <w:pPr>
        <w:spacing w:after="40"/>
        <w:ind w:left="680" w:hanging="283"/>
      </w:pPr>
      <w:r>
        <w:rPr/>
        <w:t xml:space="preserve">3. </w:t>
      </w:r>
      <w:r>
        <w:rPr>
          <w:i/>
        </w:rPr>
        <w:t>Integritas dan Hidrasi Kulit:</w:t>
      </w:r>
      <w:r>
        <w:rPr/>
        <w:t xml:space="preserve"> Kulit yang lembap/berkeringat atau mengalami abrasi/dermatitis memiliki daya tembus yang meningkat tajam. Pelarut organik polar (seperti DMSO) dapat merusak matriks lipid SC dan mempercepat absorpsi zat kimia lain (</w:t>
      </w:r>
      <w:r>
        <w:rPr>
          <w:i/>
        </w:rPr>
        <w:t>carrier effect</w:t>
      </w:r>
      <w:r>
        <w:rPr/>
        <w:t>).</w:t>
      </w:r>
    </w:p>
    <w:p>
      <w:pPr>
        <w:spacing w:after="40"/>
        <w:ind w:left="680" w:hanging="283"/>
      </w:pPr>
      <w:r>
        <w:rPr/>
        <w:t xml:space="preserve">4. </w:t>
      </w:r>
      <w:r>
        <w:rPr>
          <w:i/>
        </w:rPr>
        <w:t>Luas Permukaan Kontak dan Durasi Pajanan</w:t>
      </w:r>
      <w:r>
        <w:rPr/>
        <w:t>.</w:t>
      </w:r>
    </w:p>
    <w:p>
      <w:pPr>
        <w:pStyle w:val="Heading4"/>
      </w:pPr>
      <w:r>
        <w:t>c. Rute Saluran Cerna (Gastrointestinal Absorption)</w:t>
      </w:r>
    </w:p>
    <w:p>
      <w:pPr>
        <w:pStyle w:val="ListBullet"/>
        <w:spacing w:after="20"/>
      </w:pPr>
      <w:r>
        <w:rPr>
          <w:b/>
        </w:rPr>
        <w:t>Konteks Okupasi:</w:t>
      </w:r>
      <w:r>
        <w:rPr/>
        <w:t xml:space="preserve"> Umumnya terjadi secara tidak sengaja (</w:t>
      </w:r>
      <w:r>
        <w:rPr>
          <w:i/>
        </w:rPr>
        <w:t>incidental ingestion</w:t>
      </w:r>
      <w:r>
        <w:rPr/>
        <w:t>) akibat kontaminasi tangan saat makan, minum, atau merokok di area kerja dengan higienitas buruk, atau melalui klirens mukosiliar eskalator paru di mana partikulat yang dibatukkan tertelan ke esofagus.</w:t>
      </w:r>
    </w:p>
    <w:p>
      <w:pPr>
        <w:pStyle w:val="ListBullet"/>
        <w:spacing w:after="20"/>
      </w:pPr>
      <w:r>
        <w:rPr>
          <w:b/>
        </w:rPr>
        <w:t>Faktor Penentu:</w:t>
      </w:r>
    </w:p>
    <w:p>
      <w:pPr>
        <w:spacing w:after="40"/>
        <w:ind w:left="680" w:hanging="283"/>
      </w:pPr>
      <w:r>
        <w:rPr/>
        <w:t xml:space="preserve">1. </w:t>
      </w:r>
      <w:r>
        <w:rPr>
          <w:i/>
        </w:rPr>
        <w:t>Derajat Ionisasi dan pKa (Teori Henderson-Hasselbalch):</w:t>
      </w:r>
      <w:r>
        <w:rPr/>
        <w:t xml:space="preserve"> Hanya fraksi zat kimia yang </w:t>
      </w:r>
      <w:r>
        <w:rPr>
          <w:b/>
        </w:rPr>
        <w:t>tidak terionisasi (</w:t>
      </w:r>
      <w:r>
        <w:rPr>
          <w:b/>
          <w:i/>
        </w:rPr>
        <w:t>non-ionized / uncharged</w:t>
      </w:r>
      <w:r>
        <w:rPr>
          <w:b/>
        </w:rPr>
        <w:t>)</w:t>
      </w:r>
      <w:r>
        <w:rPr/>
        <w:t xml:space="preserve"> yang dapat berdifusi melintasi lipid bilayer membran enterosit.</w:t>
      </w:r>
    </w:p>
    <w:p>
      <w:pPr>
        <w:spacing w:after="40"/>
        <w:ind w:left="680" w:hanging="283"/>
      </w:pPr>
      <w:r>
        <w:rPr/>
        <w:t xml:space="preserve">2. </w:t>
      </w:r>
      <w:r>
        <w:rPr>
          <w:i/>
        </w:rPr>
        <w:t>Metabolisme Lintas Pertama (*First-Pass Hepatic Elimination</w:t>
      </w:r>
      <w:r>
        <w:rPr/>
        <w:t>):* Senyawa yang diserap di lambung dan usus halus dialirkan melalui vena porta langsung ke hepar. Bioavailabilitas oral (F_(oral)) dipangkas oleh fraksi ekstraksi usus (E_G) dan hepar (E_H):</w:t>
      </w:r>
    </w:p>
    <w:p>
      <w:pPr>
        <w:spacing w:after="60"/>
        <w:jc w:val="center"/>
      </w:pPr>
      <w:r>
        <w:rPr>
          <w:i/>
        </w:rPr>
        <w:t>F_(oral) = F_a × (1 - E_G) × (1 - E_H) = F_a × F_G × F_H</w:t>
      </w:r>
    </w:p>
    <w:p>
      <w:pPr>
        <w:spacing w:after="80"/>
      </w:pPr>
      <w:r>
        <w:rPr/>
        <w:t>Zat yang mengalami klirens hepatik tinggi akan kehilangan sebagian besar dosis aktifnya sebelum mencapai sirkulasi sistemik.</w:t>
      </w:r>
    </w:p>
    <w:p>
      <w:pPr>
        <w:pStyle w:val="Heading4"/>
      </w:pPr>
      <w:r>
        <w:t>d. Formulasi Biofisika Difusi Pasif (Hukum Difusi Fick)</w:t>
      </w:r>
    </w:p>
    <w:p>
      <w:pPr>
        <w:spacing w:after="80"/>
      </w:pPr>
      <w:r>
        <w:rPr/>
        <w:t xml:space="preserve">Sebagian besar xenobiotik melintasi sawar biologis melalui proses </w:t>
      </w:r>
      <w:r>
        <w:rPr>
          <w:b/>
        </w:rPr>
        <w:t>difusi pasif</w:t>
      </w:r>
      <w:r>
        <w:rPr/>
        <w:t>, yang dirumuskan oleh Adolf Fick:</w:t>
      </w:r>
    </w:p>
    <w:p>
      <w:pPr>
        <w:spacing w:after="60"/>
        <w:jc w:val="center"/>
      </w:pPr>
      <w:r>
        <w:rPr>
          <w:i/>
        </w:rPr>
        <w:t>Laju Difusi ((dA)/(dt)) = (D · S_a · P_c)/(d) · (C_H - C_L) = k_p · S_a · Δ C</w:t>
      </w:r>
    </w:p>
    <w:p>
      <w:pPr>
        <w:spacing w:after="80"/>
      </w:pPr>
      <w:r>
        <w:rPr/>
        <w:t>Di mana:</w:t>
      </w:r>
    </w:p>
    <w:p>
      <w:pPr>
        <w:pStyle w:val="ListBullet"/>
        <w:spacing w:after="20"/>
      </w:pPr>
      <w:r>
        <w:rPr/>
        <w:t>D = Koefisien difusi zat dalam membran.</w:t>
      </w:r>
    </w:p>
    <w:p>
      <w:pPr>
        <w:pStyle w:val="ListBullet"/>
        <w:spacing w:after="20"/>
      </w:pPr>
      <w:r>
        <w:rPr/>
        <w:t>S_a = Luas permukaan absorpsi membran biologis.</w:t>
      </w:r>
    </w:p>
    <w:p>
      <w:pPr>
        <w:pStyle w:val="ListBullet"/>
        <w:spacing w:after="20"/>
      </w:pPr>
      <w:r>
        <w:rPr/>
        <w:t>P_c = Koefisien partisi membran:vehikel (</w:t>
      </w:r>
      <w:r>
        <w:rPr>
          <w:i/>
        </w:rPr>
        <w:t>partition coefficient</w:t>
      </w:r>
      <w:r>
        <w:rPr/>
        <w:t>).</w:t>
      </w:r>
    </w:p>
    <w:p>
      <w:pPr>
        <w:pStyle w:val="ListBullet"/>
        <w:spacing w:after="20"/>
      </w:pPr>
      <w:r>
        <w:rPr/>
        <w:t>d = Ketebalan membran difusi.</w:t>
      </w:r>
    </w:p>
    <w:p>
      <w:pPr>
        <w:pStyle w:val="ListBullet"/>
        <w:spacing w:after="20"/>
      </w:pPr>
      <w:r>
        <w:rPr/>
        <w:t>k_p = (D · P_c)/(d) = Koefisien permeabilitas (</w:t>
      </w:r>
      <w:r>
        <w:rPr>
          <w:i/>
        </w:rPr>
        <w:t>permeability coefficient</w:t>
      </w:r>
      <w:r>
        <w:rPr/>
        <w:t>, dengan satuan kecepatan: cm/jam).</w:t>
      </w:r>
    </w:p>
    <w:p>
      <w:pPr>
        <w:pStyle w:val="ListBullet"/>
        <w:spacing w:after="20"/>
      </w:pPr>
      <w:r>
        <w:rPr/>
        <w:t>C_H - C_L atau Δ C = Gradien konsentrasi antara kompartemen donor dan penerima.</w:t>
      </w:r>
    </w:p>
    <w:p>
      <w:pPr>
        <w:pStyle w:val="Heading3"/>
      </w:pPr>
      <w:r>
        <w:t>2. Volume Distribusi (Volume of Distribution / V_d)</w:t>
      </w:r>
    </w:p>
    <w:p>
      <w:pPr>
        <w:pStyle w:val="Heading4"/>
      </w:pPr>
      <w:r>
        <w:t>a. Definisi Matematis dan Konsep Fisiologis</w:t>
      </w:r>
    </w:p>
    <w:p>
      <w:pPr>
        <w:spacing w:after="80"/>
      </w:pPr>
      <w:r>
        <w:rPr/>
        <w:t>Volume Distribusi (V_d) adalah parameter kesetimbangan kinetik semu (</w:t>
      </w:r>
      <w:r>
        <w:rPr>
          <w:i/>
        </w:rPr>
        <w:t>apparent volume</w:t>
      </w:r>
      <w:r>
        <w:rPr/>
        <w:t xml:space="preserve">) yang menghubungkan </w:t>
      </w:r>
      <w:r>
        <w:rPr>
          <w:b/>
        </w:rPr>
        <w:t>jumlah total toksikan di dalam tubuh (</w:t>
      </w:r>
      <w:r>
        <w:rPr>
          <w:b/>
          <w:i/>
        </w:rPr>
        <w:t>body burden</w:t>
      </w:r>
      <w:r>
        <w:rPr>
          <w:b/>
        </w:rPr>
        <w:t>, A) dengan konsentrasi toksikan yang terukur di dalam plasma darah (C_p)</w:t>
      </w:r>
      <w:r>
        <w:rPr/>
        <w:t>:</w:t>
      </w:r>
    </w:p>
    <w:p>
      <w:pPr>
        <w:spacing w:after="60"/>
        <w:jc w:val="center"/>
      </w:pPr>
      <w:r>
        <w:rPr>
          <w:i/>
        </w:rPr>
        <w:t>V_d = (A)/(C_p) = (Dosis)/(C₀)</w:t>
      </w:r>
    </w:p>
    <w:p>
      <w:pPr>
        <w:spacing w:after="80"/>
      </w:pPr>
      <w:r>
        <w:rPr/>
        <w:t>Di mana C₀ adalah konsentrasi plasma pada waktu nol yang diekstrapolasikan dari fase eliminasi.</w:t>
      </w:r>
    </w:p>
    <w:p>
      <w:pPr>
        <w:pStyle w:val="Heading4"/>
      </w:pPr>
      <w:r>
        <w:t>b. Kompartemen Cairan Tubuh Manusia (Standar 70 kg)</w:t>
      </w:r>
    </w:p>
    <w:p>
      <w:pPr>
        <w:spacing w:after="80"/>
      </w:pPr>
      <w:r>
        <w:rPr/>
        <w:t>Sebagai pembanding fisiologis, volume cairan tubuh total (</w:t>
      </w:r>
      <w:r>
        <w:rPr>
          <w:i/>
        </w:rPr>
        <w:t>Total Body Water</w:t>
      </w:r>
      <w:r>
        <w:rPr/>
        <w:t xml:space="preserve"> / TBW) adalah sekitar </w:t>
      </w:r>
      <w:r>
        <w:rPr>
          <w:b/>
        </w:rPr>
        <w:t>57% dari berat badan (~40–42 L)</w:t>
      </w:r>
      <w:r>
        <w:rPr/>
        <w:t>:</w:t>
      </w:r>
    </w:p>
    <w:p>
      <w:pPr>
        <w:pStyle w:val="ListBullet"/>
        <w:spacing w:after="20"/>
      </w:pPr>
      <w:r>
        <w:rPr>
          <w:b/>
        </w:rPr>
        <w:t>Plasma Darah:</w:t>
      </w:r>
      <w:r>
        <w:rPr/>
        <w:t xml:space="preserve"> ~5% BB (~3–3,5 L).</w:t>
      </w:r>
    </w:p>
    <w:p>
      <w:pPr>
        <w:pStyle w:val="ListBullet"/>
        <w:spacing w:after="20"/>
      </w:pPr>
      <w:r>
        <w:rPr>
          <w:b/>
        </w:rPr>
        <w:t>Cairan Ekstraseluler (ECF):</w:t>
      </w:r>
      <w:r>
        <w:rPr/>
        <w:t xml:space="preserve"> ~20–22% BB (~14–15 L, gabungan plasma dan cairan interstisial).</w:t>
      </w:r>
    </w:p>
    <w:p>
      <w:pPr>
        <w:pStyle w:val="ListBullet"/>
        <w:spacing w:after="20"/>
      </w:pPr>
      <w:r>
        <w:rPr>
          <w:b/>
        </w:rPr>
        <w:t>Cairan Intraseluler (ICF):</w:t>
      </w:r>
      <w:r>
        <w:rPr/>
        <w:t xml:space="preserve"> ~35% BB (~25–28 L).</w:t>
      </w:r>
    </w:p>
    <w:p>
      <w:pPr>
        <w:spacing w:after="120"/>
        <w:ind w:left="170"/>
      </w:pPr>
      <w:r>
        <w:rPr>
          <w:rFonts w:ascii="Consolas" w:hAnsi="Consolas" w:eastAsia="Consolas"/>
          <w:sz w:val="13"/>
        </w:rPr>
        <w:t xml:space="preserve">                                [ NILAI Semu Vd DAN ARTI KLINIS ]</w:t>
      </w:r>
      <w:r>
        <w:br/>
      </w:r>
      <w:r>
        <w:rPr>
          <w:rFonts w:ascii="Consolas" w:hAnsi="Consolas" w:eastAsia="Consolas"/>
          <w:sz w:val="13"/>
        </w:rPr>
      </w:r>
      <w:r>
        <w:br/>
      </w:r>
      <w:r>
        <w:rPr>
          <w:rFonts w:ascii="Consolas" w:hAnsi="Consolas" w:eastAsia="Consolas"/>
          <w:sz w:val="13"/>
        </w:rPr>
        <w:t xml:space="preserve">       Vd Rendah (&lt; 0,2 L/kg / &lt; 14 L)         Vd Sedang (~0,6 L/kg / ~42 L)       Vd Sangat Besar (&gt; 1–5 L/kg / &gt; 70–500 L)</w:t>
      </w:r>
      <w:r>
        <w:br/>
      </w:r>
      <w:r>
        <w:rPr>
          <w:rFonts w:ascii="Consolas" w:hAnsi="Consolas" w:eastAsia="Consolas"/>
          <w:sz w:val="13"/>
        </w:rPr>
        <w:t xml:space="preserve">               │                                       │                                      │</w:t>
      </w:r>
      <w:r>
        <w:br/>
      </w:r>
      <w:r>
        <w:rPr>
          <w:rFonts w:ascii="Consolas" w:hAnsi="Consolas" w:eastAsia="Consolas"/>
          <w:sz w:val="13"/>
        </w:rPr>
        <w:t xml:space="preserve">               ▼                                       ▼                                      ▼</w:t>
      </w:r>
      <w:r>
        <w:br/>
      </w:r>
      <w:r>
        <w:rPr>
          <w:rFonts w:ascii="Consolas" w:hAnsi="Consolas" w:eastAsia="Consolas"/>
          <w:sz w:val="13"/>
        </w:rPr>
        <w:t xml:space="preserve">    Tertahan di Vaskular                    Terdistribusi Merata                   Terkonsentrasi di Jaringan</w:t>
      </w:r>
      <w:r>
        <w:br/>
      </w:r>
      <w:r>
        <w:rPr>
          <w:rFonts w:ascii="Consolas" w:hAnsi="Consolas" w:eastAsia="Consolas"/>
          <w:sz w:val="13"/>
        </w:rPr>
        <w:t xml:space="preserve">    • Terikat protein plasma tinggi         • Larut dalam TBW                      • Lipofilik tinggi (jaringan lemak)</w:t>
      </w:r>
      <w:r>
        <w:br/>
      </w:r>
      <w:r>
        <w:rPr>
          <w:rFonts w:ascii="Consolas" w:hAnsi="Consolas" w:eastAsia="Consolas"/>
          <w:sz w:val="13"/>
        </w:rPr>
        <w:t xml:space="preserve">    • Polar / berat molekul besar           • Melewati ECF dan ICF                 • Afinitas organ target masif (tulang/hati)</w:t>
      </w:r>
      <w:r>
        <w:br/>
      </w:r>
      <w:r>
        <w:rPr>
          <w:rFonts w:ascii="Consolas" w:hAnsi="Consolas" w:eastAsia="Consolas"/>
          <w:sz w:val="13"/>
        </w:rPr>
        <w:t xml:space="preserve">    • Sangat mudah dieleminasi via dialisis • Misal: Etanol, Litium                • Misal: POPs, Logam Timbal, Digoksin</w:t>
      </w:r>
    </w:p>
    <w:p>
      <w:pPr>
        <w:pStyle w:val="Heading4"/>
      </w:pPr>
      <w:r>
        <w:t>c. Faktor Penentu V_d (Fraksi Bebas Protein)</w:t>
      </w:r>
    </w:p>
    <w:p>
      <w:pPr>
        <w:spacing w:after="80"/>
      </w:pPr>
      <w:r>
        <w:rPr/>
        <w:t>Secara mekanistik, V_d ditentukan oleh rasio fraksi toksikan yang tidak terikat protein di plasma (f_u) terhadap fraksi bebas di jaringan (f_(uT)):</w:t>
      </w:r>
    </w:p>
    <w:p>
      <w:pPr>
        <w:spacing w:after="60"/>
        <w:jc w:val="center"/>
      </w:pPr>
      <w:r>
        <w:rPr>
          <w:i/>
        </w:rPr>
        <w:t>V_d = V_p + V_(TW) × ( (f_u)/(f_(uT)) )</w:t>
      </w:r>
    </w:p>
    <w:p>
      <w:pPr>
        <w:spacing w:after="80"/>
      </w:pPr>
      <w:r>
        <w:rPr/>
        <w:t>Di mana V_p adalah volume plasma riil dan V_(TW) adalah volume air jaringan.</w:t>
      </w:r>
    </w:p>
    <w:p>
      <w:pPr>
        <w:pStyle w:val="ListBullet"/>
        <w:spacing w:after="20"/>
      </w:pPr>
      <w:r>
        <w:rPr>
          <w:b/>
        </w:rPr>
        <w:t>Jika toksikan terikat kuat pada albumin plasma (f_u sangat kecil):</w:t>
      </w:r>
      <w:r>
        <w:rPr/>
        <w:t xml:space="preserve"> Toksikan tertahan di vaskular, menghasilkan C_p tinggi dan </w:t>
      </w:r>
      <w:r>
        <w:rPr>
          <w:b/>
        </w:rPr>
        <w:t>V_d sangat kecil</w:t>
      </w:r>
      <w:r>
        <w:rPr/>
        <w:t xml:space="preserve"> (contoh: senyawa asam kuat, warfarin).</w:t>
      </w:r>
    </w:p>
    <w:p>
      <w:pPr>
        <w:pStyle w:val="ListBullet"/>
        <w:spacing w:after="20"/>
      </w:pPr>
      <w:r>
        <w:rPr>
          <w:b/>
        </w:rPr>
        <w:t>Jika toksikan sangat lipofilik atau terikat kuat pada komponen intraseluler (f_(uT) sangat kecil):</w:t>
      </w:r>
      <w:r>
        <w:rPr/>
        <w:t xml:space="preserve"> Konsentrasi di plasma sangat rendah karena molekul bermigrasi ke lipid perifer atau matriks tulang, menghasilkan </w:t>
      </w:r>
      <w:r>
        <w:rPr>
          <w:b/>
        </w:rPr>
        <w:t>V_d yang dapat melebihi ribuan liter</w:t>
      </w:r>
      <w:r>
        <w:rPr/>
        <w:t xml:space="preserve"> jauh melampaui volume fisik tubuh manusia (contoh: insektisida organoklorin, dioksin, pestisida parakuat, serta logam berat timbal dan kadmium).</w:t>
      </w:r>
    </w:p>
    <w:p>
      <w:pPr>
        <w:pStyle w:val="Heading3"/>
      </w:pPr>
      <w:r>
        <w:t>3. Klirens (Clearance / Cl)</w:t>
      </w:r>
    </w:p>
    <w:p>
      <w:pPr>
        <w:pStyle w:val="Heading4"/>
      </w:pPr>
      <w:r>
        <w:t>a. Definisi Fisiologis</w:t>
      </w:r>
    </w:p>
    <w:p>
      <w:pPr>
        <w:spacing w:after="80"/>
      </w:pPr>
      <w:r>
        <w:rPr/>
        <w:t>Klirens total (</w:t>
      </w:r>
      <w:r>
        <w:rPr>
          <w:i/>
        </w:rPr>
        <w:t>systemic clearance</w:t>
      </w:r>
      <w:r>
        <w:rPr/>
        <w:t xml:space="preserve">) adalah </w:t>
      </w:r>
      <w:r>
        <w:rPr>
          <w:b/>
        </w:rPr>
        <w:t>volume plasma atau darah yang dibersihkan secara tuntas dari zat kimia per satuan waktu</w:t>
      </w:r>
      <w:r>
        <w:rPr/>
        <w:t xml:space="preserve">. Satuan baku klirens dinyatakan dalam unit aliran: </w:t>
      </w:r>
      <w:r>
        <w:rPr>
          <w:b/>
        </w:rPr>
        <w:t>L/jam atau mL/menit</w:t>
      </w:r>
      <w:r>
        <w:rPr/>
        <w:t>.</w:t>
      </w:r>
    </w:p>
    <w:p>
      <w:pPr>
        <w:pStyle w:val="Heading4"/>
      </w:pPr>
      <w:r>
        <w:t>b. Hubungan Matematis Klirens</w:t>
      </w:r>
    </w:p>
    <w:p>
      <w:pPr>
        <w:spacing w:after="80"/>
      </w:pPr>
      <w:r>
        <w:rPr/>
        <w:t>Klirens merupakan faktor proporsionalitas antara laju eliminasi toksikan (v_(el)) dengan konsentrasi plasma (C_p):</w:t>
      </w:r>
    </w:p>
    <w:p>
      <w:pPr>
        <w:spacing w:after="60"/>
        <w:jc w:val="center"/>
      </w:pPr>
      <w:r>
        <w:rPr>
          <w:i/>
        </w:rPr>
        <w:t>v_(el) = Cl × C_p ⇒ Cl = (v_(el))/(C_p) = (Laju Ekskresi)/(C_p)</w:t>
      </w:r>
    </w:p>
    <w:p>
      <w:pPr>
        <w:spacing w:after="80"/>
      </w:pPr>
      <w:r>
        <w:rPr/>
        <w:t>Dalam model kinetik linear satu kompartemen, klirens berkaitan langsung dengan konstanta laju eliminasi (K_(el)) dan volume distribusi (V_d):</w:t>
      </w:r>
    </w:p>
    <w:p>
      <w:pPr>
        <w:spacing w:after="60"/>
        <w:jc w:val="center"/>
      </w:pPr>
      <w:r>
        <w:rPr>
          <w:i/>
        </w:rPr>
        <w:t>Cl = K_(el) × V_d</w:t>
      </w:r>
    </w:p>
    <w:p>
      <w:pPr>
        <w:spacing w:after="80"/>
      </w:pPr>
      <w:r>
        <w:rPr/>
        <w:t>Atau dihitung dari kurva konsentrasi-waktu (</w:t>
      </w:r>
      <w:r>
        <w:rPr>
          <w:i/>
        </w:rPr>
        <w:t>Area Under the Curve</w:t>
      </w:r>
      <w:r>
        <w:rPr/>
        <w:t xml:space="preserve"> / AUC) pasca-dosis tunggal:</w:t>
      </w:r>
    </w:p>
    <w:p>
      <w:pPr>
        <w:spacing w:after="60"/>
        <w:jc w:val="center"/>
      </w:pPr>
      <w:r>
        <w:rPr>
          <w:i/>
        </w:rPr>
        <w:t>Cl = (Dosis_(IV))/(AUC₀^∞)</w:t>
      </w:r>
    </w:p>
    <w:p>
      <w:pPr>
        <w:pStyle w:val="Heading4"/>
      </w:pPr>
      <w:r>
        <w:t>c. Aditivitas Organ Eliminasi</w:t>
      </w:r>
    </w:p>
    <w:p>
      <w:pPr>
        <w:spacing w:after="80"/>
      </w:pPr>
      <w:r>
        <w:rPr/>
        <w:t>Klirens sistemik total adalah penjumlahan skalar dari kemampuan eliminasi masing-masing organ eliminator:</w:t>
      </w:r>
    </w:p>
    <w:p>
      <w:pPr>
        <w:spacing w:after="60"/>
        <w:jc w:val="center"/>
      </w:pPr>
      <w:r>
        <w:rPr>
          <w:i/>
        </w:rPr>
        <w:t>Cl_(total) = Cl_(renal) + Cl_(hepatik) + Cl_(pulmonal) + Cl_(lainnya)</w:t>
      </w:r>
    </w:p>
    <w:p>
      <w:pPr>
        <w:pStyle w:val="ListBullet"/>
        <w:spacing w:after="20"/>
      </w:pPr>
      <w:r>
        <w:rPr>
          <w:i/>
        </w:rPr>
        <w:t>Klirens Renal:</w:t>
      </w:r>
      <w:r>
        <w:rPr/>
        <w:t xml:space="preserve"> Ditentukan oleh filtrasi glomerulus, sekresi aktif tubulus, dan reabsorpsi pasif.</w:t>
      </w:r>
    </w:p>
    <w:p>
      <w:pPr>
        <w:pStyle w:val="ListBullet"/>
        <w:spacing w:after="20"/>
      </w:pPr>
      <w:r>
        <w:rPr>
          <w:i/>
        </w:rPr>
        <w:t>Klirens Hepatik:</w:t>
      </w:r>
      <w:r>
        <w:rPr/>
        <w:t xml:space="preserve"> Ditentukan oleh aliran darah hepar (Q_H) dan rasio ekstraksi intrinsik hepatosit (E_H) via metabolisme CYP450 atau sekresi empedu.</w:t>
      </w:r>
    </w:p>
    <w:p>
      <w:pPr>
        <w:pStyle w:val="Heading3"/>
      </w:pPr>
      <w:r>
        <w:t>4. Kinetika Orde-1 vs. Orde-0 dan Model Michaelis-Menten</w:t>
      </w:r>
    </w:p>
    <w:p>
      <w:pPr>
        <w:spacing w:after="80"/>
      </w:pPr>
      <w:r>
        <w:rPr/>
        <w:t>Dalam toksikologi okupasi, transisi dari kinetika linear ke non-linear merupakan batas kritis di mana risiko intoksikasi fatal melonjak tajam.</w:t>
      </w:r>
    </w:p>
    <w:p>
      <w:pPr>
        <w:spacing w:after="120"/>
        <w:ind w:left="170"/>
      </w:pPr>
      <w:r>
        <w:rPr>
          <w:rFonts w:ascii="Consolas" w:hAnsi="Consolas" w:eastAsia="Consolas"/>
          <w:sz w:val="13"/>
        </w:rPr>
        <w:t xml:space="preserve">                KINETIKA ORDE-1 (Linear)                   KINETIKA ORDE-0 (Non-Linear)</w:t>
      </w:r>
      <w:r>
        <w:br/>
      </w:r>
      <w:r>
        <w:rPr>
          <w:rFonts w:ascii="Consolas" w:hAnsi="Consolas" w:eastAsia="Consolas"/>
          <w:sz w:val="13"/>
        </w:rPr>
        <w:t xml:space="preserve">                 Dosis Terkendali / Normal                      Dosis Tinggi / Overexposure</w:t>
      </w:r>
      <w:r>
        <w:br/>
      </w:r>
      <w:r>
        <w:rPr>
          <w:rFonts w:ascii="Consolas" w:hAnsi="Consolas" w:eastAsia="Consolas"/>
          <w:sz w:val="13"/>
        </w:rPr>
        <w:t xml:space="preserve">           ┌────────────────────────────────────┐         ┌────────────────────────────────────┐</w:t>
      </w:r>
      <w:r>
        <w:br/>
      </w:r>
      <w:r>
        <w:rPr>
          <w:rFonts w:ascii="Consolas" w:hAnsi="Consolas" w:eastAsia="Consolas"/>
          <w:sz w:val="13"/>
        </w:rPr>
        <w:t>Laju       │ Laju eliminasi SEBANDING           │         │ Laju eliminasi KONSTAN             │</w:t>
      </w:r>
      <w:r>
        <w:br/>
      </w:r>
      <w:r>
        <w:rPr>
          <w:rFonts w:ascii="Consolas" w:hAnsi="Consolas" w:eastAsia="Consolas"/>
          <w:sz w:val="13"/>
        </w:rPr>
        <w:t>Eliminasi  │ dengan konsentrasi (dA/dt = -k·A)  │         │ tidak tergantung konsentrasi       │</w:t>
      </w:r>
      <w:r>
        <w:br/>
      </w:r>
      <w:r>
        <w:rPr>
          <w:rFonts w:ascii="Consolas" w:hAnsi="Consolas" w:eastAsia="Consolas"/>
          <w:sz w:val="13"/>
        </w:rPr>
        <w:t xml:space="preserve">           │                                    │         │ (dA/dt = -k0)                      │</w:t>
      </w:r>
      <w:r>
        <w:br/>
      </w:r>
      <w:r>
        <w:rPr>
          <w:rFonts w:ascii="Consolas" w:hAnsi="Consolas" w:eastAsia="Consolas"/>
          <w:sz w:val="13"/>
        </w:rPr>
        <w:t xml:space="preserve">           ├────────────────────────────────────┤         ├────────────────────────────────────┤</w:t>
      </w:r>
      <w:r>
        <w:br/>
      </w:r>
      <w:r>
        <w:rPr>
          <w:rFonts w:ascii="Consolas" w:hAnsi="Consolas" w:eastAsia="Consolas"/>
          <w:sz w:val="13"/>
        </w:rPr>
        <w:t>Fraksi /   │ Fraksi konstan per satuan waktu    │         │ Jumlah massa konstan tereliminasi  │</w:t>
      </w:r>
      <w:r>
        <w:br/>
      </w:r>
      <w:r>
        <w:rPr>
          <w:rFonts w:ascii="Consolas" w:hAnsi="Consolas" w:eastAsia="Consolas"/>
          <w:sz w:val="13"/>
        </w:rPr>
        <w:t>Jumlah     │ diekskresikan (misal 10%/jam)      │         │ (misal 10 mg/jam)                  │</w:t>
      </w:r>
      <w:r>
        <w:br/>
      </w:r>
      <w:r>
        <w:rPr>
          <w:rFonts w:ascii="Consolas" w:hAnsi="Consolas" w:eastAsia="Consolas"/>
          <w:sz w:val="13"/>
        </w:rPr>
        <w:t xml:space="preserve">           ├────────────────────────────────────┤         ├────────────────────────────────────┤</w:t>
      </w:r>
      <w:r>
        <w:br/>
      </w:r>
      <w:r>
        <w:rPr>
          <w:rFonts w:ascii="Consolas" w:hAnsi="Consolas" w:eastAsia="Consolas"/>
          <w:sz w:val="13"/>
        </w:rPr>
        <w:t>Waktu      │ Konstan, independen dari dosis     │         │ Memanjang seiring bertambahnya     │</w:t>
      </w:r>
      <w:r>
        <w:br/>
      </w:r>
      <w:r>
        <w:rPr>
          <w:rFonts w:ascii="Consolas" w:hAnsi="Consolas" w:eastAsia="Consolas"/>
          <w:sz w:val="13"/>
        </w:rPr>
        <w:t>Paruh      │ (T1/2 = 0,693 / Kel)               │         │ dosis awal yang masuk              │</w:t>
      </w:r>
      <w:r>
        <w:br/>
      </w:r>
      <w:r>
        <w:rPr>
          <w:rFonts w:ascii="Consolas" w:hAnsi="Consolas" w:eastAsia="Consolas"/>
          <w:sz w:val="13"/>
        </w:rPr>
        <w:t xml:space="preserve">           ├────────────────────────────────────┤         ├────────────────────────────────────┤</w:t>
      </w:r>
      <w:r>
        <w:br/>
      </w:r>
      <w:r>
        <w:rPr>
          <w:rFonts w:ascii="Consolas" w:hAnsi="Consolas" w:eastAsia="Consolas"/>
          <w:sz w:val="13"/>
        </w:rPr>
        <w:t>Plot       │ Garis LURUS pada skala semilog     │         │ Garis LENGKUNG pada semilog;       │</w:t>
      </w:r>
      <w:r>
        <w:br/>
      </w:r>
      <w:r>
        <w:rPr>
          <w:rFonts w:ascii="Consolas" w:hAnsi="Consolas" w:eastAsia="Consolas"/>
          <w:sz w:val="13"/>
        </w:rPr>
        <w:t>Semilog    │ (kemiringan slope = -Kel)          │         │ lurus pada skala kartesian biasa   │</w:t>
      </w:r>
      <w:r>
        <w:br/>
      </w:r>
      <w:r>
        <w:rPr>
          <w:rFonts w:ascii="Consolas" w:hAnsi="Consolas" w:eastAsia="Consolas"/>
          <w:sz w:val="13"/>
        </w:rPr>
        <w:t xml:space="preserve">           └────────────────────────────────────┘         └────────────────────────────────────┘</w:t>
      </w:r>
    </w:p>
    <w:p>
      <w:pPr>
        <w:pStyle w:val="Heading4"/>
      </w:pPr>
      <w:r>
        <w:t>a. Kinetika Michaelis-Menten (Kinetika Kapasitas Terbatas / Saturable Kinetics)</w:t>
      </w:r>
    </w:p>
    <w:p>
      <w:pPr>
        <w:spacing w:after="80"/>
      </w:pPr>
      <w:r>
        <w:rPr/>
        <w:t>Proses biotransformasi hepatik dan transpor aktif melibatkan enzim atau protein pembawa (</w:t>
      </w:r>
      <w:r>
        <w:rPr>
          <w:i/>
        </w:rPr>
        <w:t>carrier</w:t>
      </w:r>
      <w:r>
        <w:rPr/>
        <w:t>) dengan jumlah situs aktif yang terbatas di dalam sel. Laju metabolisme mengikuti persamaan Henri-Michaelis-Menten:</w:t>
      </w:r>
    </w:p>
    <w:p>
      <w:pPr>
        <w:spacing w:after="60"/>
        <w:jc w:val="center"/>
      </w:pPr>
      <w:r>
        <w:rPr>
          <w:i/>
        </w:rPr>
        <w:t>v = -(dC)/(dt) = (V_(max) · C)/(K_m + C)</w:t>
      </w:r>
    </w:p>
    <w:p>
      <w:pPr>
        <w:spacing w:after="80"/>
      </w:pPr>
      <w:r>
        <w:rPr/>
        <w:t>Di mana:</w:t>
      </w:r>
    </w:p>
    <w:p>
      <w:pPr>
        <w:pStyle w:val="ListBullet"/>
        <w:spacing w:after="20"/>
      </w:pPr>
      <w:r>
        <w:rPr/>
        <w:t>V_(max) = Kecepatan reaksi maksimum saat seluruh enzim tersaturasi penuh.</w:t>
      </w:r>
    </w:p>
    <w:p>
      <w:pPr>
        <w:pStyle w:val="ListBullet"/>
        <w:spacing w:after="20"/>
      </w:pPr>
      <w:r>
        <w:rPr/>
        <w:t>K_m = Konstanta Michaelis-Menten, yaitu konsentrasi substrat yang menghasilkan laju eliminasi separuh dari V_(max) (0,5 V_(max)); mencerminkan afinitas ikatan enzim-substrat.</w:t>
      </w:r>
    </w:p>
    <w:p>
      <w:pPr>
        <w:spacing w:after="120"/>
        <w:ind w:left="170"/>
      </w:pPr>
      <w:r>
        <w:rPr>
          <w:rFonts w:ascii="Consolas" w:hAnsi="Consolas" w:eastAsia="Consolas"/>
          <w:sz w:val="13"/>
        </w:rPr>
        <w:t xml:space="preserve">                     Kecepatan (v)</w:t>
      </w:r>
      <w:r>
        <w:br/>
      </w:r>
      <w:r>
        <w:rPr>
          <w:rFonts w:ascii="Consolas" w:hAnsi="Consolas" w:eastAsia="Consolas"/>
          <w:sz w:val="13"/>
        </w:rPr>
        <w:t xml:space="preserve">                          ▲</w:t>
      </w:r>
      <w:r>
        <w:br/>
      </w:r>
      <w:r>
        <w:rPr>
          <w:rFonts w:ascii="Consolas" w:hAnsi="Consolas" w:eastAsia="Consolas"/>
          <w:sz w:val="13"/>
        </w:rPr>
        <w:t xml:space="preserve">                   Vmax ──┼───────────────────────- - - - (Orde-0: Laju Jenuh = Vmax)</w:t>
      </w:r>
      <w:r>
        <w:br/>
      </w:r>
      <w:r>
        <w:rPr>
          <w:rFonts w:ascii="Consolas" w:hAnsi="Consolas" w:eastAsia="Consolas"/>
          <w:sz w:val="13"/>
        </w:rPr>
        <w:t xml:space="preserve">                          │                   .  •  •  •</w:t>
      </w:r>
      <w:r>
        <w:br/>
      </w:r>
      <w:r>
        <w:rPr>
          <w:rFonts w:ascii="Consolas" w:hAnsi="Consolas" w:eastAsia="Consolas"/>
          <w:sz w:val="13"/>
        </w:rPr>
        <w:t xml:space="preserve">                          │             .  •</w:t>
      </w:r>
      <w:r>
        <w:br/>
      </w:r>
      <w:r>
        <w:rPr>
          <w:rFonts w:ascii="Consolas" w:hAnsi="Consolas" w:eastAsia="Consolas"/>
          <w:sz w:val="13"/>
        </w:rPr>
        <w:t xml:space="preserve">             0.5 Vmax ────┼───────.  •</w:t>
      </w:r>
      <w:r>
        <w:br/>
      </w:r>
      <w:r>
        <w:rPr>
          <w:rFonts w:ascii="Consolas" w:hAnsi="Consolas" w:eastAsia="Consolas"/>
          <w:sz w:val="13"/>
        </w:rPr>
        <w:t xml:space="preserve">                          │     • │</w:t>
      </w:r>
      <w:r>
        <w:br/>
      </w:r>
      <w:r>
        <w:rPr>
          <w:rFonts w:ascii="Consolas" w:hAnsi="Consolas" w:eastAsia="Consolas"/>
          <w:sz w:val="13"/>
        </w:rPr>
        <w:t xml:space="preserve">                          │   •   │</w:t>
      </w:r>
      <w:r>
        <w:br/>
      </w:r>
      <w:r>
        <w:rPr>
          <w:rFonts w:ascii="Consolas" w:hAnsi="Consolas" w:eastAsia="Consolas"/>
          <w:sz w:val="13"/>
        </w:rPr>
        <w:t xml:space="preserve">                          │ •     │ (Orde-1: v sebanding konsentrasi)</w:t>
      </w:r>
      <w:r>
        <w:br/>
      </w:r>
      <w:r>
        <w:rPr>
          <w:rFonts w:ascii="Consolas" w:hAnsi="Consolas" w:eastAsia="Consolas"/>
          <w:sz w:val="13"/>
        </w:rPr>
        <w:t xml:space="preserve">                          └───────┴─────────────────────► Konsentrasi [C]</w:t>
      </w:r>
      <w:r>
        <w:br/>
      </w:r>
      <w:r>
        <w:rPr>
          <w:rFonts w:ascii="Consolas" w:hAnsi="Consolas" w:eastAsia="Consolas"/>
          <w:sz w:val="13"/>
        </w:rPr>
        <w:t xml:space="preserve">                                 Km</w:t>
      </w:r>
    </w:p>
    <w:p>
      <w:pPr>
        <w:spacing w:after="40"/>
        <w:ind w:left="340" w:hanging="283"/>
      </w:pPr>
      <w:r>
        <w:rPr/>
        <w:t xml:space="preserve">1. </w:t>
      </w:r>
      <w:r>
        <w:rPr>
          <w:b/>
        </w:rPr>
        <w:t>Kondisi Dosis Rendah (C ≪ K_m / Kinetika Orde Pertama):</w:t>
      </w:r>
    </w:p>
    <w:p>
      <w:pPr>
        <w:spacing w:after="80"/>
      </w:pPr>
      <w:r>
        <w:rPr/>
        <w:t>Konsentrasi zat kimia jauh di bawah kapasitas penjenuhan enzim. Suku C pada penyebut dapat diabaikan terhadap K_m, sehingga persamaan tereduksi menjadi:</w:t>
      </w:r>
    </w:p>
    <w:p>
      <w:pPr>
        <w:spacing w:after="60"/>
        <w:jc w:val="center"/>
      </w:pPr>
      <w:r>
        <w:rPr>
          <w:i/>
        </w:rPr>
        <w:t>-(dC)/(dt) = ( (V_(max))/(K_m) ) · C = K_(pseudo-1) · C</w:t>
      </w:r>
    </w:p>
    <w:p>
      <w:pPr>
        <w:spacing w:after="80"/>
      </w:pPr>
      <w:r>
        <w:rPr/>
        <w:t>Laju metabolisme berlangsung proporsional linear terhadap dosis.</w:t>
      </w:r>
    </w:p>
    <w:p>
      <w:pPr>
        <w:spacing w:after="40"/>
        <w:ind w:left="340" w:hanging="283"/>
      </w:pPr>
      <w:r>
        <w:rPr/>
        <w:t xml:space="preserve">2. </w:t>
      </w:r>
      <w:r>
        <w:rPr>
          <w:b/>
        </w:rPr>
        <w:t>Kondisi Dosis Tinggi / Overexposure Industri (C ≫ K_m / Kinetika Orde Nol):</w:t>
      </w:r>
    </w:p>
    <w:p>
      <w:pPr>
        <w:spacing w:after="80"/>
      </w:pPr>
      <w:r>
        <w:rPr/>
        <w:t>Konsentrasi xenobiotik melampaui ketersediaan enzim, sehingga seluruh situs katalitik jenuh terisi. Nilai K_m pada penyebut dapat diabaikan terhadap C, sehingga persamaan tereduksi menjadi:</w:t>
      </w:r>
    </w:p>
    <w:p>
      <w:pPr>
        <w:spacing w:after="60"/>
        <w:jc w:val="center"/>
      </w:pPr>
      <w:r>
        <w:rPr>
          <w:i/>
        </w:rPr>
        <w:t>-(dC)/(dt) = (V_(max) · C)/(C) = V_(max) = K₀</w:t>
      </w:r>
    </w:p>
    <w:p>
      <w:pPr>
        <w:spacing w:after="80"/>
      </w:pPr>
      <w:r>
        <w:rPr/>
        <w:t>Laju eliminasi menjadi konstan (maksimal) dan tidak dapat bertambah lagi.</w:t>
      </w:r>
    </w:p>
    <w:p>
      <w:pPr>
        <w:pStyle w:val="ListBullet"/>
        <w:spacing w:after="20"/>
      </w:pPr>
      <w:r>
        <w:rPr>
          <w:b/>
        </w:rPr>
        <w:t>Implikasi Okupasi yang Fatal:</w:t>
      </w:r>
      <w:r>
        <w:rPr/>
        <w:t xml:space="preserve"> Pada paparan kerja berlebih (misalnya tumpahan uap toluena atau intoksikasi metanol/etanol), sistem detoksifikasi beralih ke orde-0. Hal ini memicu akumulasi mendadak toksikan utuh di dalam darah, pemanjangan waktu paruh secara progresif, dan lonjakan toksisitas organ yang disproporsional.</w:t>
      </w:r>
    </w:p>
    <w:p>
      <w:pPr>
        <w:pStyle w:val="Heading3"/>
      </w:pPr>
      <w:r>
        <w:t>5. Waktu Paruh Eliminasi (Elimination Half-Life / T_(1/2))</w:t>
      </w:r>
    </w:p>
    <w:p>
      <w:pPr>
        <w:pStyle w:val="Heading4"/>
      </w:pPr>
      <w:r>
        <w:t>a. Definisi</w:t>
      </w:r>
    </w:p>
    <w:p>
      <w:pPr>
        <w:spacing w:after="80"/>
      </w:pPr>
      <w:r>
        <w:rPr/>
        <w:t xml:space="preserve">Waktu paruh biologis (T_(1/2)) adalah </w:t>
      </w:r>
      <w:r>
        <w:rPr>
          <w:b/>
        </w:rPr>
        <w:t>waktu yang dibutuhkan oleh tubuh untuk mengeliminasi atau menurunkan konsentrasi toksikan di dalam plasma/darah menjadi separuh (50%) dari nilai semula</w:t>
      </w:r>
      <w:r>
        <w:rPr/>
        <w:t>.</w:t>
      </w:r>
    </w:p>
    <w:p>
      <w:pPr>
        <w:pStyle w:val="Heading4"/>
      </w:pPr>
      <w:r>
        <w:t>b. Penurunan Rumus Waktu Paruh (Orde Pertama)</w:t>
      </w:r>
    </w:p>
    <w:p>
      <w:pPr>
        <w:spacing w:after="80"/>
      </w:pPr>
      <w:r>
        <w:rPr/>
        <w:t>Dalam model linear satu kompartemen:</w:t>
      </w:r>
    </w:p>
    <w:p>
      <w:pPr>
        <w:spacing w:after="60"/>
        <w:jc w:val="center"/>
      </w:pPr>
      <w:r>
        <w:rPr>
          <w:i/>
        </w:rPr>
        <w:t>C(t) = C₀ · e^(-K_(el) · t)</w:t>
      </w:r>
    </w:p>
    <w:p>
      <w:pPr>
        <w:spacing w:after="80"/>
      </w:pPr>
      <w:r>
        <w:rPr/>
        <w:t>Pada saat t = T_(1/2), maka C(t) = (C₀)/(2):</w:t>
      </w:r>
    </w:p>
    <w:p>
      <w:pPr>
        <w:spacing w:after="60"/>
        <w:jc w:val="center"/>
      </w:pPr>
      <w:r>
        <w:rPr>
          <w:i/>
        </w:rPr>
        <w:t>(C₀)/(2) = C₀ · e^(-K_(el) · T_(1/2)) ⇒ (1)/(2) = e^(-K_(el) · T_(1/2))</w:t>
      </w:r>
    </w:p>
    <w:p>
      <w:pPr>
        <w:spacing w:after="80"/>
      </w:pPr>
      <w:r>
        <w:rPr/>
        <w:t>Ambil logaritma natural (ln) pada kedua sisi:</w:t>
      </w:r>
    </w:p>
    <w:p>
      <w:pPr>
        <w:spacing w:after="60"/>
        <w:jc w:val="center"/>
      </w:pPr>
      <w:r>
        <w:rPr>
          <w:i/>
        </w:rPr>
        <w:t>ln(0,5) = -K_(el) · T_(1/2) ⇒ -0,693 = -K_(el) · T_(1/2)</w:t>
      </w:r>
    </w:p>
    <w:p>
      <w:pPr>
        <w:spacing w:after="60"/>
        <w:jc w:val="center"/>
      </w:pPr>
      <w:r>
        <w:rPr>
          <w:i/>
        </w:rPr>
        <w:t>T_(1/2) = (ln(2))/(K_(el)) = (0,693)/(K_(el))</w:t>
      </w:r>
    </w:p>
    <w:p>
      <w:pPr>
        <w:spacing w:after="80"/>
      </w:pPr>
      <w:r>
        <w:rPr/>
        <w:t>Karena K_(el) = (Cl)/(V_d), maka substitusinya menghasilkan rumus komprehensif:</w:t>
      </w:r>
    </w:p>
    <w:p>
      <w:pPr>
        <w:spacing w:after="60"/>
        <w:jc w:val="center"/>
      </w:pPr>
      <w:r>
        <w:rPr>
          <w:i/>
        </w:rPr>
        <w:t>T_(1/2) = (0,693 × V_d)/(Cl)</w:t>
      </w:r>
    </w:p>
    <w:p>
      <w:pPr>
        <w:pStyle w:val="ListBullet"/>
        <w:spacing w:after="20"/>
      </w:pPr>
      <w:r>
        <w:rPr>
          <w:i/>
        </w:rPr>
        <w:t>Analisis Penguji:</w:t>
      </w:r>
      <w:r>
        <w:rPr/>
        <w:t xml:space="preserve"> Waktu paruh berbanding lurus dengan Volume Distribusi dan berbanding terbalik dengan Klirens. Toksikan dengan V_d sangat besar (seperti kadmium atau timbal tulang) akan memiliki waktu paruh eliminasi yang mencapai </w:t>
      </w:r>
      <w:r>
        <w:rPr>
          <w:b/>
        </w:rPr>
        <w:t>puluhan tahun</w:t>
      </w:r>
      <w:r>
        <w:rPr/>
        <w:t>, meskipun klirens organnya berjalan normal.</w:t>
      </w:r>
    </w:p>
    <w:p>
      <w:pPr>
        <w:pStyle w:val="Heading3"/>
      </w:pPr>
      <w:r>
        <w:t>6. Akumulasi dan Waktu Mencapai Kondisi Tunak (Steady State / C_(ss))</w:t>
      </w:r>
    </w:p>
    <w:p>
      <w:pPr>
        <w:pStyle w:val="Heading4"/>
      </w:pPr>
      <w:r>
        <w:t>a. Konsep Steady State</w:t>
      </w:r>
    </w:p>
    <w:p>
      <w:pPr>
        <w:spacing w:after="80"/>
      </w:pPr>
      <w:r>
        <w:rPr/>
        <w:t xml:space="preserve">Ketika seorang pekerja terpajan zat kimia secara berulang pada setiap shift kerja (pemberian dosis intermiten konstan) atau terpajan terus-menerus di atmosfer kerja, zat tersebut akan mengalami </w:t>
      </w:r>
      <w:r>
        <w:rPr>
          <w:b/>
        </w:rPr>
        <w:t>akumulasi bertingkat (</w:t>
      </w:r>
      <w:r>
        <w:rPr>
          <w:b/>
          <w:i/>
        </w:rPr>
        <w:t>cumulative body burden</w:t>
      </w:r>
      <w:r>
        <w:rPr>
          <w:b/>
        </w:rPr>
        <w:t>)</w:t>
      </w:r>
      <w:r>
        <w:rPr/>
        <w:t xml:space="preserve"> hingga tercapai kondisi di mana </w:t>
      </w:r>
      <w:r>
        <w:rPr>
          <w:b/>
        </w:rPr>
        <w:t>laju asupan (</w:t>
      </w:r>
      <w:r>
        <w:rPr>
          <w:b/>
          <w:i/>
        </w:rPr>
        <w:t>rate of input / uptake</w:t>
      </w:r>
      <w:r>
        <w:rPr>
          <w:b/>
        </w:rPr>
        <w:t>) persis setara dengan laju pengeluaran (</w:t>
      </w:r>
      <w:r>
        <w:rPr>
          <w:b/>
          <w:i/>
        </w:rPr>
        <w:t>rate of elimination</w:t>
      </w:r>
      <w:r>
        <w:rPr>
          <w:b/>
        </w:rPr>
        <w:t>)</w:t>
      </w:r>
      <w:r>
        <w:rPr/>
        <w:t>. Pada titik ini, konsentrasi rata-rata dalam plasma berada pada fase plato konstan (C_(ss)).</w:t>
      </w:r>
    </w:p>
    <w:p>
      <w:pPr>
        <w:spacing w:after="120"/>
        <w:ind w:left="170"/>
      </w:pPr>
      <w:r>
        <w:rPr>
          <w:rFonts w:ascii="Consolas" w:hAnsi="Consolas" w:eastAsia="Consolas"/>
          <w:sz w:val="13"/>
        </w:rPr>
        <w:t xml:space="preserve"> Konsentrasi (C)</w:t>
      </w:r>
      <w:r>
        <w:br/>
      </w:r>
      <w:r>
        <w:rPr>
          <w:rFonts w:ascii="Consolas" w:hAnsi="Consolas" w:eastAsia="Consolas"/>
          <w:sz w:val="13"/>
        </w:rPr>
        <w:t xml:space="preserve">      ▲</w:t>
      </w:r>
      <w:r>
        <w:br/>
      </w:r>
      <w:r>
        <w:rPr>
          <w:rFonts w:ascii="Consolas" w:hAnsi="Consolas" w:eastAsia="Consolas"/>
          <w:sz w:val="13"/>
        </w:rPr>
        <w:t xml:space="preserve">      │                                                Steady State Plateau (Css)</w:t>
      </w:r>
      <w:r>
        <w:br/>
      </w:r>
      <w:r>
        <w:rPr>
          <w:rFonts w:ascii="Consolas" w:hAnsi="Consolas" w:eastAsia="Consolas"/>
          <w:sz w:val="13"/>
        </w:rPr>
        <w:t xml:space="preserve">  Css ┼ - - - - - - - - - - - - - - -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                               │     │     │     │</w:t>
      </w:r>
      <w:r>
        <w:br/>
      </w:r>
      <w:r>
        <w:rPr>
          <w:rFonts w:ascii="Consolas" w:hAnsi="Consolas" w:eastAsia="Consolas"/>
          <w:sz w:val="13"/>
        </w:rPr>
        <w:t xml:space="preserve">      └─────────┴─────────────┴─────────────┴─────────┴─────┴─────┴─────┴──────► Waktu</w:t>
      </w:r>
      <w:r>
        <w:br/>
      </w:r>
      <w:r>
        <w:rPr>
          <w:rFonts w:ascii="Consolas" w:hAnsi="Consolas" w:eastAsia="Consolas"/>
          <w:sz w:val="13"/>
        </w:rPr>
        <w:t xml:space="preserve">                1 x T1/2      2 x T1/2      3 x T1/2  4 x T1/2    5 x T1/2</w:t>
      </w:r>
      <w:r>
        <w:br/>
      </w:r>
      <w:r>
        <w:rPr>
          <w:rFonts w:ascii="Consolas" w:hAnsi="Consolas" w:eastAsia="Consolas"/>
          <w:sz w:val="13"/>
        </w:rPr>
        <w:t xml:space="preserve">                 (50%)         (75%)        (87,5%)   (93,8%)     (96,9% ~ 97%)</w:t>
      </w:r>
    </w:p>
    <w:p>
      <w:pPr>
        <w:pStyle w:val="Heading4"/>
      </w:pPr>
      <w:r>
        <w:t>b. Dinamika Waktu Menuju Steady State</w:t>
      </w:r>
    </w:p>
    <w:p>
      <w:pPr>
        <w:spacing w:after="80"/>
      </w:pPr>
      <w:r>
        <w:rPr/>
        <w:t>Fraksi pencapaian konsentrasi tunak terhadap waktu paruh eliminasi mengikuti formula eksponensial:</w:t>
      </w:r>
    </w:p>
    <w:p>
      <w:pPr>
        <w:spacing w:after="60"/>
        <w:jc w:val="center"/>
      </w:pPr>
      <w:r>
        <w:rPr>
          <w:i/>
        </w:rPr>
        <w:t>Fraksi C_(ss) = 1 - ( (1)/(2) )^n = 1 - e^(-K_(el) · t)</w:t>
      </w:r>
    </w:p>
    <w:p>
      <w:pPr>
        <w:spacing w:after="80"/>
      </w:pPr>
      <w:r>
        <w:rPr/>
        <w:t>Di mana n adalah kelipatan waktu paruh (t / T_(1/2)):</w:t>
      </w:r>
    </w:p>
    <w:p>
      <w:pPr>
        <w:pStyle w:val="ListBullet"/>
        <w:spacing w:after="20"/>
      </w:pPr>
      <w:r>
        <w:rPr>
          <w:b/>
        </w:rPr>
        <w:t>1 × T_(1/2)</w:t>
      </w:r>
      <w:r>
        <w:rPr/>
        <w:t xml:space="preserve"> → mencapai </w:t>
      </w:r>
      <w:r>
        <w:rPr>
          <w:b/>
        </w:rPr>
        <w:t>50,0%</w:t>
      </w:r>
      <w:r>
        <w:rPr/>
        <w:t xml:space="preserve"> dari C_(ss)</w:t>
      </w:r>
    </w:p>
    <w:p>
      <w:pPr>
        <w:pStyle w:val="ListBullet"/>
        <w:spacing w:after="20"/>
      </w:pPr>
      <w:r>
        <w:rPr>
          <w:b/>
        </w:rPr>
        <w:t>2 × T_(1/2)</w:t>
      </w:r>
      <w:r>
        <w:rPr/>
        <w:t xml:space="preserve"> → mencapai </w:t>
      </w:r>
      <w:r>
        <w:rPr>
          <w:b/>
        </w:rPr>
        <w:t>75,0%</w:t>
      </w:r>
      <w:r>
        <w:rPr/>
        <w:t xml:space="preserve"> dari C_(ss)</w:t>
      </w:r>
    </w:p>
    <w:p>
      <w:pPr>
        <w:pStyle w:val="ListBullet"/>
        <w:spacing w:after="20"/>
      </w:pPr>
      <w:r>
        <w:rPr>
          <w:b/>
        </w:rPr>
        <w:t>3 × T_(1/2)</w:t>
      </w:r>
      <w:r>
        <w:rPr/>
        <w:t xml:space="preserve"> → mencapai </w:t>
      </w:r>
      <w:r>
        <w:rPr>
          <w:b/>
        </w:rPr>
        <w:t>87,5%</w:t>
      </w:r>
      <w:r>
        <w:rPr/>
        <w:t xml:space="preserve"> dari C_(ss)</w:t>
      </w:r>
    </w:p>
    <w:p>
      <w:pPr>
        <w:pStyle w:val="ListBullet"/>
        <w:spacing w:after="20"/>
      </w:pPr>
      <w:r>
        <w:rPr>
          <w:b/>
        </w:rPr>
        <w:t>4 × T_(1/2)</w:t>
      </w:r>
      <w:r>
        <w:rPr/>
        <w:t xml:space="preserve"> → mencapai </w:t>
      </w:r>
      <w:r>
        <w:rPr>
          <w:b/>
        </w:rPr>
        <w:t>93,75%</w:t>
      </w:r>
      <w:r>
        <w:rPr/>
        <w:t xml:space="preserve"> dari C_(ss)</w:t>
      </w:r>
    </w:p>
    <w:p>
      <w:pPr>
        <w:pStyle w:val="ListBullet"/>
        <w:spacing w:after="20"/>
      </w:pPr>
      <w:r>
        <w:rPr>
          <w:b/>
        </w:rPr>
        <w:t>5 × T_(1/2)</w:t>
      </w:r>
      <w:r>
        <w:rPr/>
        <w:t xml:space="preserve"> → mencapai </w:t>
      </w:r>
      <w:r>
        <w:rPr>
          <w:b/>
        </w:rPr>
        <w:t>96,875% (~97%)</w:t>
      </w:r>
      <w:r>
        <w:rPr/>
        <w:t xml:space="preserve"> dari C_(ss)</w:t>
      </w:r>
    </w:p>
    <w:p>
      <w:pPr>
        <w:pStyle w:val="ListBullet"/>
        <w:spacing w:after="20"/>
      </w:pPr>
      <w:r>
        <w:rPr>
          <w:b/>
        </w:rPr>
        <w:t>6 × T_(1/2)</w:t>
      </w:r>
      <w:r>
        <w:rPr/>
        <w:t xml:space="preserve"> → mencapai </w:t>
      </w:r>
      <w:r>
        <w:rPr>
          <w:b/>
        </w:rPr>
        <w:t>98,4%</w:t>
      </w:r>
      <w:r>
        <w:rPr/>
        <w:t xml:space="preserve"> dari C_(ss)</w:t>
      </w:r>
    </w:p>
    <w:p>
      <w:pPr>
        <w:ind w:left="454"/>
      </w:pPr>
      <w:r>
        <w:rPr>
          <w:b/>
          <w:i/>
        </w:rPr>
        <w:t>Kaidah Emas Toksikologi Okupasi (</w:t>
      </w:r>
      <w:r>
        <w:rPr>
          <w:b/>
          <w:i/>
        </w:rPr>
        <w:t>Rule of Thumb</w:t>
      </w:r>
      <w:r>
        <w:rPr>
          <w:b/>
          <w:i/>
        </w:rPr>
        <w:t>):</w:t>
      </w:r>
    </w:p>
    <w:p>
      <w:pPr>
        <w:ind w:left="454"/>
      </w:pPr>
      <w:r>
        <w:rPr>
          <w:i/>
        </w:rPr>
        <w:t>Secara klinis dan regulasi, kondisi tunak (</w:t>
      </w:r>
      <w:r>
        <w:rPr>
          <w:i/>
        </w:rPr>
        <w:t>steady state</w:t>
      </w:r>
      <w:r>
        <w:rPr>
          <w:i/>
        </w:rPr>
        <w:t xml:space="preserve">) diakui tercapai secara praktis setelah </w:t>
      </w:r>
      <w:r>
        <w:rPr>
          <w:b/>
          <w:i/>
        </w:rPr>
        <w:t>sekitar 5 kali waktu paruh (≈ 5 × T_(1/2))</w:t>
      </w:r>
      <w:r>
        <w:rPr>
          <w:i/>
        </w:rPr>
        <w:t>.</w:t>
      </w:r>
    </w:p>
    <w:p>
      <w:pPr>
        <w:pStyle w:val="Heading4"/>
      </w:pPr>
      <w:r>
        <w:t>c. Hubungan dengan Desain Shift Kerja dan Biomonitoring</w:t>
      </w:r>
    </w:p>
    <w:p>
      <w:pPr>
        <w:spacing w:after="40"/>
        <w:ind w:left="340" w:hanging="283"/>
      </w:pPr>
      <w:r>
        <w:rPr/>
        <w:t xml:space="preserve">1. </w:t>
      </w:r>
      <w:r>
        <w:rPr>
          <w:b/>
        </w:rPr>
        <w:t>Zat dengan T_(1/2) Pendek (&lt; 2–4 jam):</w:t>
      </w:r>
    </w:p>
    <w:p>
      <w:pPr>
        <w:spacing w:after="80"/>
      </w:pPr>
      <w:r>
        <w:rPr/>
        <w:t xml:space="preserve">Contoh: Aseton, Toluena. Mencapai steady state dalam hitungan jam selama shift berjalan dan segera dieliminasi tuntas selama 16 jam masa istirahat di rumah. Akumulasi antar-hari tidak terjadi; pengambilan sampel biomarker urin dilakukan pada </w:t>
      </w:r>
      <w:r>
        <w:rPr>
          <w:b/>
        </w:rPr>
        <w:t>akhir shift (</w:t>
      </w:r>
      <w:r>
        <w:rPr>
          <w:b/>
          <w:i/>
        </w:rPr>
        <w:t>End of Shift</w:t>
      </w:r>
      <w:r>
        <w:rPr>
          <w:b/>
        </w:rPr>
        <w:t>)</w:t>
      </w:r>
      <w:r>
        <w:rPr/>
        <w:t>.</w:t>
      </w:r>
    </w:p>
    <w:p>
      <w:pPr>
        <w:spacing w:after="40"/>
        <w:ind w:left="340" w:hanging="283"/>
      </w:pPr>
      <w:r>
        <w:rPr/>
        <w:t xml:space="preserve">2. </w:t>
      </w:r>
      <w:r>
        <w:rPr>
          <w:b/>
        </w:rPr>
        <w:t>Zat dengan T_(1/2) Sedang (12–24 jam):</w:t>
      </w:r>
    </w:p>
    <w:p>
      <w:pPr>
        <w:spacing w:after="80"/>
      </w:pPr>
      <w:r>
        <w:rPr/>
        <w:t xml:space="preserve">Contoh: Trikloroetilen, Etilbenzena. Tidak tereliminasi sempurna dalam 16 jam masa istirahat. Terjadi penumpukan harian bertingkat dari Senin hingga puncaknya tercapai pada hari Jumat. Pengambilan sampel biologis wajib dijadwalkan pada </w:t>
      </w:r>
      <w:r>
        <w:rPr>
          <w:b/>
        </w:rPr>
        <w:t>akhir minggu kerja (</w:t>
      </w:r>
      <w:r>
        <w:rPr>
          <w:b/>
          <w:i/>
        </w:rPr>
        <w:t>End of the Workweek</w:t>
      </w:r>
      <w:r>
        <w:rPr>
          <w:b/>
        </w:rPr>
        <w:t>)</w:t>
      </w:r>
      <w:r>
        <w:rPr/>
        <w:t>.</w:t>
      </w:r>
    </w:p>
    <w:p>
      <w:pPr>
        <w:spacing w:after="40"/>
        <w:ind w:left="340" w:hanging="283"/>
      </w:pPr>
      <w:r>
        <w:rPr/>
        <w:t xml:space="preserve">3. </w:t>
      </w:r>
      <w:r>
        <w:rPr>
          <w:b/>
        </w:rPr>
        <w:t>Zat dengan T_(1/2) Sangat Panjang (minggu hingga dekade):</w:t>
      </w:r>
    </w:p>
    <w:p>
      <w:pPr>
        <w:spacing w:after="80"/>
      </w:pPr>
      <w:r>
        <w:rPr/>
        <w:t>Contoh: Timbal (tulang T_(1/2) &gt; 10--20 tahun), Kadmium (ginjal T_(1/2) = 10--30 tahun). Waktu untuk mencapai steady state membutuhkan waktu puluhan hingga ratusan bulan. Pengambilan sampel biologis bersifat sewaktu (</w:t>
      </w:r>
      <w:r>
        <w:rPr>
          <w:b/>
        </w:rPr>
        <w:t>discretionary / not critical</w:t>
      </w:r>
      <w:r>
        <w:rPr/>
        <w:t>).</w:t>
      </w:r>
    </w:p>
    <w:p>
      <w:pPr>
        <w:pStyle w:val="Heading3"/>
      </w:pPr>
      <w:r>
        <w:t>7. Polimorfisme Genetik Relevan dan Kerentanan Pekerja (Ecogenetics)</w:t>
      </w:r>
    </w:p>
    <w:p>
      <w:pPr>
        <w:spacing w:after="80"/>
      </w:pPr>
      <w:r>
        <w:rPr/>
        <w:t xml:space="preserve">Bidang </w:t>
      </w:r>
      <w:r>
        <w:rPr>
          <w:b/>
        </w:rPr>
        <w:t>ekogenetika okupasi (</w:t>
      </w:r>
      <w:r>
        <w:rPr>
          <w:b/>
          <w:i/>
        </w:rPr>
        <w:t>occupational ecogenetics</w:t>
      </w:r>
      <w:r>
        <w:rPr>
          <w:b/>
        </w:rPr>
        <w:t>)</w:t>
      </w:r>
      <w:r>
        <w:rPr/>
        <w:t xml:space="preserve"> mempelajari bagaimana variasi sekuens DNA bawaan pada gen pengkode enzim biotransformasi memodulasi respons biologis dan toksikokinetik pekerja, menggeser kurva kerentanan dosis-respons.</w:t>
      </w:r>
    </w:p>
    <w:p>
      <w:pPr>
        <w:spacing w:after="120"/>
        <w:ind w:left="170"/>
      </w:pPr>
      <w:r>
        <w:rPr>
          <w:rFonts w:ascii="Consolas" w:hAnsi="Consolas" w:eastAsia="Consolas"/>
          <w:sz w:val="13"/>
        </w:rPr>
        <w:t xml:space="preserve">                                [ POLIMORFISME &amp; KERENTANAN OKUPASI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FASE I &amp; OKSIDATIF ]                  [ FASE II / DETOKSIFIKASI ]               [ PROTEIN TARGET ]</w:t>
      </w:r>
      <w:r>
        <w:br/>
      </w:r>
      <w:r>
        <w:rPr>
          <w:rFonts w:ascii="Consolas" w:hAnsi="Consolas" w:eastAsia="Consolas"/>
          <w:sz w:val="13"/>
        </w:rPr>
        <w:t>• CYP2E1 (Bioaktivasi Solven)            • NAT2 (Asetilator Lambat &amp; Cepat)       • G6PD (Sawar Eritrosit)</w:t>
      </w:r>
      <w:r>
        <w:br/>
      </w:r>
      <w:r>
        <w:rPr>
          <w:rFonts w:ascii="Consolas" w:hAnsi="Consolas" w:eastAsia="Consolas"/>
          <w:sz w:val="13"/>
        </w:rPr>
        <w:t>• ALDH2 (Klirens Aldehida)               • GSTM1/GSTT1 (Konjugasi Glutation)      • ALAD (Toksisitas Timbal)</w:t>
      </w:r>
      <w:r>
        <w:br/>
      </w:r>
      <w:r>
        <w:rPr>
          <w:rFonts w:ascii="Consolas" w:hAnsi="Consolas" w:eastAsia="Consolas"/>
          <w:sz w:val="13"/>
        </w:rPr>
        <w:t xml:space="preserve">                                         • PON1 (Hidrolisis Organofosfat)</w:t>
      </w:r>
    </w:p>
    <w:p>
      <w:pPr>
        <w:pStyle w:val="Heading4"/>
      </w:pPr>
      <w:r>
        <w:t>a. G6PD (Glucose-6-Phosphate Dehydrogenase)</w:t>
      </w:r>
    </w:p>
    <w:p>
      <w:pPr>
        <w:pStyle w:val="ListBullet"/>
        <w:spacing w:after="20"/>
      </w:pPr>
      <w:r>
        <w:rPr>
          <w:b/>
        </w:rPr>
        <w:t>Letak Gen &amp; Mekanisme:</w:t>
      </w:r>
      <w:r>
        <w:rPr/>
        <w:t xml:space="preserve"> Terletak pada kromosom X (</w:t>
      </w:r>
      <w:r>
        <w:rPr>
          <w:i/>
        </w:rPr>
        <w:t>X-linked</w:t>
      </w:r>
      <w:r>
        <w:rPr/>
        <w:t>). G6PD adalah enzim kunci jalur pentosa fosfat (</w:t>
      </w:r>
      <w:r>
        <w:rPr>
          <w:i/>
        </w:rPr>
        <w:t>hexose monophosphate shunt</w:t>
      </w:r>
      <w:r>
        <w:rPr/>
        <w:t xml:space="preserve">) yang memproduksi NADPH intraseluler eritrosit. NADPH diperlukan oleh enzim glutation reduktase untuk meregenerasi </w:t>
      </w:r>
      <w:r>
        <w:rPr>
          <w:b/>
        </w:rPr>
        <w:t>glutation tereduksi (GSH)</w:t>
      </w:r>
      <w:r>
        <w:rPr/>
        <w:t xml:space="preserve"> dari glutation teroksidasi (GSSG).</w:t>
      </w:r>
    </w:p>
    <w:p>
      <w:pPr>
        <w:pStyle w:val="ListBullet"/>
        <w:spacing w:after="20"/>
      </w:pPr>
      <w:r>
        <w:rPr>
          <w:b/>
        </w:rPr>
        <w:t>Dampak pada Kerentanan Pekerja:</w:t>
      </w:r>
      <w:r>
        <w:rPr/>
        <w:t xml:space="preserve"> Eritrosit matang tidak memiliki inti dan mitokondria, sehingga sepenuhnya bergantung pada G6PD untuk memelihara pertahanan antioksidan GSH.</w:t>
      </w:r>
    </w:p>
    <w:p>
      <w:pPr>
        <w:pStyle w:val="ListBullet2"/>
        <w:spacing w:after="20"/>
      </w:pPr>
      <w:r>
        <w:rPr/>
        <w:t xml:space="preserve">Pekerja dengan defisiensi G6PD yang terpajan senyawa kimia industri pengoksidasi kuat seperti </w:t>
      </w:r>
      <w:r>
        <w:rPr>
          <w:b/>
        </w:rPr>
        <w:t>amina aromatik (anilin), senyawa nitrobenzena, naftalen, serta gas arsin (AsH₃)</w:t>
      </w:r>
      <w:r>
        <w:rPr/>
        <w:t xml:space="preserve"> akan mengalami stres oksidatif hebat, denaturasi hemoglobin (pembentukan </w:t>
      </w:r>
      <w:r>
        <w:rPr>
          <w:i/>
        </w:rPr>
        <w:t>Heinz bodies</w:t>
      </w:r>
      <w:r>
        <w:rPr/>
        <w:t xml:space="preserve">), kerusakan membran sel darah merah, dan </w:t>
      </w:r>
      <w:r>
        <w:rPr>
          <w:b/>
        </w:rPr>
        <w:t>krisis anemia hemolitik akut masif</w:t>
      </w:r>
      <w:r>
        <w:rPr/>
        <w:t xml:space="preserve"> disertai gagal ginjal hemoglobinurik.</w:t>
      </w:r>
    </w:p>
    <w:p>
      <w:pPr>
        <w:pStyle w:val="Heading4"/>
      </w:pPr>
      <w:r>
        <w:t>b. ALDH2 (Aldehyde Dehydrogenase 2)</w:t>
      </w:r>
    </w:p>
    <w:p>
      <w:pPr>
        <w:pStyle w:val="ListBullet"/>
        <w:spacing w:after="20"/>
      </w:pPr>
      <w:r>
        <w:rPr>
          <w:b/>
        </w:rPr>
        <w:t>Karakteristik Alel:</w:t>
      </w:r>
      <w:r>
        <w:rPr/>
        <w:t xml:space="preserve"> Terletak di mitokondria hepatosit. Polimorfisme dominan negatif yang sangat umum pada populasi Asia Timur adalah alel </w:t>
      </w:r>
      <w:r>
        <w:rPr>
          <w:b/>
        </w:rPr>
        <w:t>ALDH2*2</w:t>
      </w:r>
      <w:r>
        <w:rPr/>
        <w:t xml:space="preserve"> (substitusi asam glutamat menjadi lisin pada kodon 487/504).</w:t>
      </w:r>
    </w:p>
    <w:p>
      <w:pPr>
        <w:pStyle w:val="ListBullet"/>
        <w:spacing w:after="20"/>
      </w:pPr>
      <w:r>
        <w:rPr>
          <w:b/>
        </w:rPr>
        <w:t>Dampak pada Kerentanan Pekerja:</w:t>
      </w:r>
    </w:p>
    <w:p>
      <w:pPr>
        <w:pStyle w:val="ListBullet2"/>
        <w:spacing w:after="20"/>
      </w:pPr>
      <w:r>
        <w:rPr/>
        <w:t>Individu heterozigot atau homozigot kehilangan hampir seluruh aktivitas enzimatik ALDH2.</w:t>
      </w:r>
    </w:p>
    <w:p>
      <w:pPr>
        <w:pStyle w:val="ListBullet2"/>
        <w:spacing w:after="20"/>
      </w:pPr>
      <w:r>
        <w:rPr/>
        <w:t xml:space="preserve">Pajanan terhadap uap pelarut industri yang menghasilkan intermediat aldehida (seperti metabolit kloroetanol dari vinil klorida, atau asetaldehida) serta konsumsi alkohol rekreasional menyebabkan </w:t>
      </w:r>
      <w:r>
        <w:rPr>
          <w:b/>
        </w:rPr>
        <w:t>akumulasi masif asetaldehida di sirkulasi darah</w:t>
      </w:r>
      <w:r>
        <w:rPr/>
        <w:t>.</w:t>
      </w:r>
    </w:p>
    <w:p>
      <w:pPr>
        <w:pStyle w:val="ListBullet2"/>
        <w:spacing w:after="20"/>
      </w:pPr>
      <w:r>
        <w:rPr/>
        <w:t>Menghasilkan sindrom klinis berupa vasodilatasi perifer, eritema wajah mendadak (</w:t>
      </w:r>
      <w:r>
        <w:rPr>
          <w:i/>
        </w:rPr>
        <w:t>facial flushing</w:t>
      </w:r>
      <w:r>
        <w:rPr/>
        <w:t xml:space="preserve">), takikardia, mual hebat, vertigo, serta </w:t>
      </w:r>
      <w:r>
        <w:rPr>
          <w:b/>
        </w:rPr>
        <w:t>peningkatan risiko mutagenisitas DNA (pembentukan aduk DNA) dan kanker saluran aerodigestif bagian atas</w:t>
      </w:r>
      <w:r>
        <w:rPr/>
        <w:t>.</w:t>
      </w:r>
    </w:p>
    <w:p>
      <w:pPr>
        <w:pStyle w:val="Heading4"/>
      </w:pPr>
      <w:r>
        <w:t>c. CYP2E1 (Cytochrome P450 2E1)</w:t>
      </w:r>
    </w:p>
    <w:p>
      <w:pPr>
        <w:pStyle w:val="ListBullet"/>
        <w:spacing w:after="20"/>
      </w:pPr>
      <w:r>
        <w:rPr>
          <w:b/>
        </w:rPr>
        <w:t>Karakteristik Genetik &amp; Induksi:</w:t>
      </w:r>
      <w:r>
        <w:rPr/>
        <w:t xml:space="preserve"> Terletak pada membran retikulum endoplasma hepar. Memiliki polimorfisme pada regio promotor/regulator 5' (alel CYP2E1*5B via restriksi RsaI/PstI dan alel CYP2E1*1D) yang memodifikasi laju transkripsi enzim basal.</w:t>
      </w:r>
    </w:p>
    <w:p>
      <w:pPr>
        <w:pStyle w:val="ListBullet"/>
        <w:spacing w:after="20"/>
      </w:pPr>
      <w:r>
        <w:rPr>
          <w:b/>
        </w:rPr>
        <w:t>Dampak pada Kerentanan Pekerja:</w:t>
      </w:r>
    </w:p>
    <w:p>
      <w:pPr>
        <w:pStyle w:val="ListBullet2"/>
        <w:spacing w:after="20"/>
      </w:pPr>
      <w:r>
        <w:rPr/>
        <w:t xml:space="preserve">CYP2E1 adalah enzim bioaktivasi primer dari berbagai senyawa pelarut organik volatil berat molekul rendah: </w:t>
      </w:r>
      <w:r>
        <w:rPr>
          <w:b/>
        </w:rPr>
        <w:t>Benzena (menjadi benzena oksida), Karbon Tetraklorida (menjadi radikal ·CCl₃), Vinil Klorida (menjadi kloroetilen oksida), dan Trikloroetilen</w:t>
      </w:r>
      <w:r>
        <w:rPr/>
        <w:t>.</w:t>
      </w:r>
    </w:p>
    <w:p>
      <w:pPr>
        <w:pStyle w:val="ListBullet2"/>
        <w:spacing w:after="20"/>
      </w:pPr>
      <w:r>
        <w:rPr/>
        <w:t xml:space="preserve">Pekerja pembawa varian genetik dengan ekspresi tinggi atau pekerja dengan </w:t>
      </w:r>
      <w:r>
        <w:rPr>
          <w:b/>
        </w:rPr>
        <w:t>induksi CYP2E1 akibat konsumsi alkohol kronis atau pajanan aseton</w:t>
      </w:r>
      <w:r>
        <w:rPr/>
        <w:t xml:space="preserve"> akan memproduksi metabolit elektrofilik dan radikal bebas peroksidasi lipid dalam jumlah yang jauh lebih banyak, meningkatkan risiko </w:t>
      </w:r>
      <w:r>
        <w:rPr>
          <w:b/>
        </w:rPr>
        <w:t>nekrosis hepatoseluler sentrilobular akut, toksisitas mieloid sumsum tulang, serta pembentukan mikronukleus dan leukemia</w:t>
      </w:r>
      <w:r>
        <w:rPr/>
        <w:t>.</w:t>
      </w:r>
    </w:p>
    <w:p>
      <w:pPr>
        <w:pStyle w:val="Heading4"/>
      </w:pPr>
      <w:r>
        <w:t>d. NAT2 (N-Acetyltransferase 2)</w:t>
      </w:r>
    </w:p>
    <w:p>
      <w:pPr>
        <w:pStyle w:val="ListBullet"/>
        <w:spacing w:after="20"/>
      </w:pPr>
      <w:r>
        <w:rPr>
          <w:b/>
        </w:rPr>
        <w:t>Karakteristik Fenotipe:</w:t>
      </w:r>
      <w:r>
        <w:rPr/>
        <w:t xml:space="preserve"> Gen sitosolik yang mengkatalisis transfer gugus asetil dari Asetil-CoA ke gugus amino primer. Terbagi tegas menjadi dua kelompok populasi: </w:t>
      </w:r>
      <w:r>
        <w:rPr>
          <w:b/>
        </w:rPr>
        <w:t>Asetilator Lambat (</w:t>
      </w:r>
      <w:r>
        <w:rPr>
          <w:b/>
          <w:i/>
        </w:rPr>
        <w:t>Slow Acetylator</w:t>
      </w:r>
      <w:r>
        <w:rPr>
          <w:b/>
        </w:rPr>
        <w:t>)</w:t>
      </w:r>
      <w:r>
        <w:rPr/>
        <w:t xml:space="preserve"> (mencakup 50% populasi Kaukasia dan hingga 90% populasi Afrika Utara) dan </w:t>
      </w:r>
      <w:r>
        <w:rPr>
          <w:b/>
        </w:rPr>
        <w:t>Asetilator Cepat (</w:t>
      </w:r>
      <w:r>
        <w:rPr>
          <w:b/>
          <w:i/>
        </w:rPr>
        <w:t>Rapid Acetylator</w:t>
      </w:r>
      <w:r>
        <w:rPr>
          <w:b/>
        </w:rPr>
        <w:t>)</w:t>
      </w:r>
      <w:r>
        <w:rPr/>
        <w:t>.</w:t>
      </w:r>
    </w:p>
    <w:p>
      <w:pPr>
        <w:pStyle w:val="ListBullet"/>
        <w:spacing w:after="20"/>
      </w:pPr>
      <w:r>
        <w:rPr>
          <w:b/>
        </w:rPr>
        <w:t>Dampak pada Kerentanan Okupasi:</w:t>
      </w:r>
    </w:p>
    <w:p>
      <w:pPr>
        <w:pStyle w:val="ListBullet2"/>
        <w:spacing w:after="20"/>
      </w:pPr>
      <w:r>
        <w:rPr>
          <w:i/>
        </w:rPr>
        <w:t>Asetilator Lambat:</w:t>
      </w:r>
      <w:r>
        <w:rPr/>
        <w:t xml:space="preserve"> Mengalami kegagalan inaktivasi metabolik saat terpajan senyawa </w:t>
      </w:r>
      <w:r>
        <w:rPr>
          <w:b/>
        </w:rPr>
        <w:t>amina aromatik industri</w:t>
      </w:r>
      <w:r>
        <w:rPr/>
        <w:t xml:space="preserve"> (misalnya pada industri zat warna tekstil, karet, dan kimia: </w:t>
      </w:r>
      <w:r>
        <w:rPr>
          <w:b/>
        </w:rPr>
        <w:t>benzidin, 2-naftilamin, 4-aminobifenil</w:t>
      </w:r>
      <w:r>
        <w:rPr/>
        <w:t>).</w:t>
      </w:r>
    </w:p>
    <w:p>
      <w:pPr>
        <w:pStyle w:val="ListBullet2"/>
        <w:spacing w:after="20"/>
      </w:pPr>
      <w:r>
        <w:rPr/>
        <w:t>Karena jalur asetilasi hepar berjalan lambat, amina aromatik bebas dialihkan ke oksidasi sitokrom CYP1A2 menghasilkan turunan N-hidroksilamin. Senyawa ini difiltrasi ke kandung kemih dan mengalami hidrolisis asam menjadi ion nitrenium elektrofilik yang merusak DNA uroterm secara kovalen.</w:t>
      </w:r>
    </w:p>
    <w:p>
      <w:pPr>
        <w:pStyle w:val="ListBullet2"/>
        <w:spacing w:after="20"/>
      </w:pPr>
      <w:r>
        <w:rPr/>
        <w:t xml:space="preserve">Akibatnya, pekerja bertipe asetilator lambat memiliki </w:t>
      </w:r>
      <w:r>
        <w:rPr>
          <w:b/>
        </w:rPr>
        <w:t>risiko melipatgandakan kejadian Karsinoma Sel Transisional Kandung Kemih (</w:t>
      </w:r>
      <w:r>
        <w:rPr>
          <w:b/>
          <w:i/>
        </w:rPr>
        <w:t>Occupational Bladder Cancer</w:t>
      </w:r>
      <w:r>
        <w:rPr>
          <w:b/>
        </w:rPr>
        <w:t>)</w:t>
      </w:r>
      <w:r>
        <w:rPr/>
        <w:t>.</w:t>
      </w:r>
    </w:p>
    <w:p>
      <w:pPr>
        <w:pStyle w:val="Heading4"/>
      </w:pPr>
      <w:r>
        <w:t>e. PON1 (Paraoxonase 1)</w:t>
      </w:r>
    </w:p>
    <w:p>
      <w:pPr>
        <w:pStyle w:val="ListBullet"/>
        <w:spacing w:after="20"/>
      </w:pPr>
      <w:r>
        <w:rPr>
          <w:b/>
        </w:rPr>
        <w:t>Karakteristik Varian:</w:t>
      </w:r>
      <w:r>
        <w:rPr/>
        <w:t xml:space="preserve"> Enzim plasma darah esterase kalsium-dependen yang disintesis di hepar. Memiliki polimorfisme kodon eksonik kritis: </w:t>
      </w:r>
      <w:r>
        <w:rPr>
          <w:b/>
        </w:rPr>
        <w:t>Q192R</w:t>
      </w:r>
      <w:r>
        <w:rPr/>
        <w:t xml:space="preserve"> (substitusi Glutamin [Q] menjadi Arginin [R] pada posisi 192) serta polimorfisme promoter </w:t>
      </w:r>
      <w:r>
        <w:rPr>
          <w:b/>
        </w:rPr>
        <w:t>-108C/T</w:t>
      </w:r>
      <w:r>
        <w:rPr/>
        <w:t xml:space="preserve"> yang menentukan tingkat konsentrasi enzim plasma.</w:t>
      </w:r>
    </w:p>
    <w:p>
      <w:pPr>
        <w:pStyle w:val="ListBullet"/>
        <w:spacing w:after="20"/>
      </w:pPr>
      <w:r>
        <w:rPr>
          <w:b/>
        </w:rPr>
        <w:t>Dampak pada Kerentanan Okupasi:</w:t>
      </w:r>
    </w:p>
    <w:p>
      <w:pPr>
        <w:pStyle w:val="ListBullet2"/>
        <w:spacing w:after="20"/>
      </w:pPr>
      <w:r>
        <w:rPr/>
        <w:t>PON1 berfungsi menghidrolisis dan mendetoksifikasi metabolit aktif "okson" dari pestisida organofosfat (seperti paraokson, klorpirifos-okson, dan diazokson) sebelum molekul tersebut sempat memfosforilasi asetilkolinesterase saraf.</w:t>
      </w:r>
    </w:p>
    <w:p>
      <w:pPr>
        <w:pStyle w:val="ListBullet2"/>
        <w:spacing w:after="20"/>
      </w:pPr>
      <w:r>
        <w:rPr/>
        <w:t xml:space="preserve">Alel </w:t>
      </w:r>
      <w:r>
        <w:rPr>
          <w:b/>
        </w:rPr>
        <w:t>192Q</w:t>
      </w:r>
      <w:r>
        <w:rPr/>
        <w:t xml:space="preserve"> memiliki efisiensi hidrolisis yang jauh lebih rendah terhadap klorpirifos-okson dan paraokson dibanding alel 192R.</w:t>
      </w:r>
    </w:p>
    <w:p>
      <w:pPr>
        <w:pStyle w:val="ListBullet2"/>
        <w:spacing w:after="20"/>
      </w:pPr>
      <w:r>
        <w:rPr/>
        <w:t xml:space="preserve">Pekerja pertanian atau aplikator pestisida yang memiliki </w:t>
      </w:r>
      <w:r>
        <w:rPr>
          <w:b/>
        </w:rPr>
        <w:t>alel PON1 192Q dan/atau memiliki ekspresi promoter rendah (-108T)</w:t>
      </w:r>
      <w:r>
        <w:rPr/>
        <w:t xml:space="preserve"> memiliki kapasitas detoksifikasi plasma yang sangat buruk, sehingga sangat rentan mengalami </w:t>
      </w:r>
      <w:r>
        <w:rPr>
          <w:b/>
        </w:rPr>
        <w:t>penurunan kolinesterase darah dan krisis intoksikasi neurotoksik organofosfat akut</w:t>
      </w:r>
      <w:r>
        <w:rPr/>
        <w:t xml:space="preserve"> pada dosis paparan lingkungan yang bagi pekerja normal masih dapat ditoleransi.</w:t>
      </w:r>
    </w:p>
    <w:p>
      <w:pPr>
        <w:pStyle w:val="Heading4"/>
      </w:pPr>
      <w:r>
        <w:t>f. GST (Glutathione S-Transferase: GSTM1 dan GSTT1)</w:t>
      </w:r>
    </w:p>
    <w:p>
      <w:pPr>
        <w:pStyle w:val="ListBullet"/>
        <w:spacing w:after="20"/>
      </w:pPr>
      <w:r>
        <w:rPr>
          <w:b/>
        </w:rPr>
        <w:t>Karakteristik Genetik:</w:t>
      </w:r>
      <w:r>
        <w:rPr/>
        <w:t xml:space="preserve"> Enzim konjugasi Fase II sitosolik yang mengikatkan glutation tereduksi (GSH) ke substrat elektrofilik. Memiliki polimorfisme berupa </w:t>
      </w:r>
      <w:r>
        <w:rPr>
          <w:b/>
        </w:rPr>
        <w:t>delesi gen homozigot penuh (</w:t>
      </w:r>
      <w:r>
        <w:rPr>
          <w:b/>
          <w:i/>
        </w:rPr>
        <w:t>null genotype</w:t>
      </w:r>
      <w:r>
        <w:rPr>
          <w:b/>
        </w:rPr>
        <w:t>)</w:t>
      </w:r>
      <w:r>
        <w:rPr/>
        <w:t xml:space="preserve">, yaitu </w:t>
      </w:r>
      <w:r>
        <w:rPr>
          <w:b/>
        </w:rPr>
        <w:t>GSTM1\*0</w:t>
      </w:r>
      <w:r>
        <w:rPr/>
        <w:t xml:space="preserve"> (prevalensi ~50% populasi) dan </w:t>
      </w:r>
      <w:r>
        <w:rPr>
          <w:b/>
        </w:rPr>
        <w:t>GSTT1\*0</w:t>
      </w:r>
      <w:r>
        <w:rPr/>
        <w:t xml:space="preserve"> (prevalensi 20–50% populasi).</w:t>
      </w:r>
    </w:p>
    <w:p>
      <w:pPr>
        <w:pStyle w:val="ListBullet"/>
        <w:spacing w:after="20"/>
      </w:pPr>
      <w:r>
        <w:rPr>
          <w:b/>
        </w:rPr>
        <w:t>Dampak pada Kerentanan Okupasi:</w:t>
      </w:r>
    </w:p>
    <w:p>
      <w:pPr>
        <w:pStyle w:val="ListBullet2"/>
        <w:spacing w:after="20"/>
      </w:pPr>
      <w:r>
        <w:rPr/>
        <w:t xml:space="preserve">Pekerja bertipe </w:t>
      </w:r>
      <w:r>
        <w:rPr>
          <w:i/>
        </w:rPr>
        <w:t>GSTM1-null</w:t>
      </w:r>
      <w:r>
        <w:rPr/>
        <w:t xml:space="preserve"> dan </w:t>
      </w:r>
      <w:r>
        <w:rPr>
          <w:i/>
        </w:rPr>
        <w:t>GSTT1-null</w:t>
      </w:r>
      <w:r>
        <w:rPr/>
        <w:t xml:space="preserve"> </w:t>
      </w:r>
      <w:r>
        <w:rPr>
          <w:b/>
        </w:rPr>
        <w:t>sama sekali tidak memiliki protein fungsional transferase tersebut</w:t>
      </w:r>
      <w:r>
        <w:rPr/>
        <w:t>, sehingga kehilangan kapasitas detoksifikasi terhadap senyawa epoksida, metabolit diol-epoksida dari hidrokarbon aromatik polisiklik (PAH), serta benzena oksida.</w:t>
      </w:r>
    </w:p>
    <w:p>
      <w:pPr>
        <w:pStyle w:val="ListBullet2"/>
        <w:spacing w:after="20"/>
      </w:pPr>
      <w:r>
        <w:rPr/>
        <w:t xml:space="preserve">Pada pekerja pabrik petrokimia yang terpajan benzena, fenotipe null ini menyebabkan </w:t>
      </w:r>
      <w:r>
        <w:rPr>
          <w:b/>
        </w:rPr>
        <w:t>penurunan ekskresi metabolit protektif asam S-fenilmerkapturat urin (U-S-PMA)</w:t>
      </w:r>
      <w:r>
        <w:rPr/>
        <w:t xml:space="preserve"> dan pengalihan metabolit ke pembentukan benzokuinon di sumsum tulang. Hal ini memicu peningkatan frekuensi aberasi kromosom, kerusakan DNA limfosit, serta </w:t>
      </w:r>
      <w:r>
        <w:rPr>
          <w:b/>
        </w:rPr>
        <w:t>peningkatan risiko leukemia mieloblastik dan anemia aplastik</w:t>
      </w:r>
      <w:r>
        <w:rPr/>
        <w:t>.</w:t>
      </w:r>
    </w:p>
    <w:p>
      <w:pPr>
        <w:pStyle w:val="ListBullet2"/>
        <w:spacing w:after="20"/>
      </w:pPr>
      <w:r>
        <w:rPr>
          <w:i/>
        </w:rPr>
        <w:t>Paradoks Karsinogenik Diklorometana (DCM):</w:t>
      </w:r>
      <w:r>
        <w:rPr/>
        <w:t xml:space="preserve"> Sebaliknya, pada pajanan pelarut DCM, enzim GSTT1 justru memicu bioaktivasi menjadi intermediat mutagenik (klorometil glutation); sehingga pekerja dengan gen GSTT1 fungsional justru lebih rentan mengalami karsinogenisitas hati/paru dibanding individu null.</w:t>
      </w:r>
    </w:p>
    <w:p>
      <w:pPr>
        <w:pStyle w:val="Heading4"/>
      </w:pPr>
      <w:r>
        <w:t>g. ALAD (Delta-Aminolevulinic Acid Dehydratase)</w:t>
      </w:r>
    </w:p>
    <w:p>
      <w:pPr>
        <w:pStyle w:val="ListBullet"/>
        <w:spacing w:after="20"/>
      </w:pPr>
      <w:r>
        <w:rPr>
          <w:b/>
        </w:rPr>
        <w:t>Karakteristik Polimorfisme:</w:t>
      </w:r>
      <w:r>
        <w:rPr/>
        <w:t xml:space="preserve"> Enzim kedua dalam jalur biosintesis heme yang dikode oleh gen pada kromosom 9q34. Memiliki dua alel kodominan utama: </w:t>
      </w:r>
      <w:r>
        <w:rPr>
          <w:b/>
        </w:rPr>
        <w:t>ALAD1 dan ALAD2</w:t>
      </w:r>
      <w:r>
        <w:rPr/>
        <w:t xml:space="preserve"> (alel ALAD2 timbul akibat mutasi titik transversi G-ke-C yang menggantikan lisin netral menjadi asparagin basa pada residu 59). Frekuensi alel ALAD2 berkisar 7–11% pada populasi dunia.</w:t>
      </w:r>
    </w:p>
    <w:p>
      <w:pPr>
        <w:pStyle w:val="ListBullet"/>
        <w:spacing w:after="20"/>
      </w:pPr>
      <w:r>
        <w:rPr>
          <w:b/>
        </w:rPr>
        <w:t>Dampak pada Kerentanan Okupasi (Toksikokinetik Logam Timbal):</w:t>
      </w:r>
    </w:p>
    <w:p>
      <w:pPr>
        <w:pStyle w:val="ListBullet2"/>
        <w:spacing w:after="20"/>
      </w:pPr>
      <w:r>
        <w:rPr/>
        <w:t xml:space="preserve">Protein produk </w:t>
      </w:r>
      <w:r>
        <w:rPr>
          <w:b/>
        </w:rPr>
        <w:t>ALAD2 mengikat ion timbal (Pb²⁺) dengan afinitas elektrostatik yang jauh lebih kuat</w:t>
      </w:r>
      <w:r>
        <w:rPr/>
        <w:t xml:space="preserve"> dibandingkan protein ALAD1.</w:t>
      </w:r>
    </w:p>
    <w:p>
      <w:pPr>
        <w:pStyle w:val="ListBullet2"/>
        <w:spacing w:after="20"/>
      </w:pPr>
      <w:r>
        <w:rPr/>
        <w:t xml:space="preserve">Akibatnya, pekerja pabrik peleburan timbal atau aki yang membawa alel </w:t>
      </w:r>
      <w:r>
        <w:rPr>
          <w:b/>
        </w:rPr>
        <w:t>ALAD2 menunjukkan kadar Timbal Darah (</w:t>
      </w:r>
      <w:r>
        <w:rPr>
          <w:b/>
          <w:i/>
        </w:rPr>
        <w:t>Blood Lead Level</w:t>
      </w:r>
      <w:r>
        <w:rPr>
          <w:b/>
        </w:rPr>
        <w:t xml:space="preserve"> / Pb-B) yang lebih tinggi secara signifikan</w:t>
      </w:r>
      <w:r>
        <w:rPr/>
        <w:t xml:space="preserve"> dibanding pekerja ALAD1-1 pada tingkat pajanan udara yang sama, karena timbal terperangkap di dalam eritrosit.</w:t>
      </w:r>
    </w:p>
    <w:p>
      <w:pPr>
        <w:pStyle w:val="ListBullet2"/>
        <w:spacing w:after="20"/>
      </w:pPr>
      <w:r>
        <w:rPr/>
        <w:t xml:space="preserve">Sebaliknya, pekerja homozigot </w:t>
      </w:r>
      <w:r>
        <w:rPr>
          <w:b/>
        </w:rPr>
        <w:t>ALAD1-1</w:t>
      </w:r>
      <w:r>
        <w:rPr/>
        <w:t xml:space="preserve"> memiliki fraksi timbal bebas dalam plasma yang lebih tinggi, sehingga lebih rentan mengalami gangguan biosintesis heme jaringan dini (menghasilkan kadar akumulasi </w:t>
      </w:r>
      <w:r>
        <w:rPr>
          <w:b/>
        </w:rPr>
        <w:t>ZPP/FEP dan asam delta-aminolevulinat plasma/urin yang lebih tinggi</w:t>
      </w:r>
      <w:r>
        <w:rPr/>
        <w:t>) serta memiliki risiko akumulasi toksik timbal ke kompartemen parenkim ginjal dan susunan saraf pusat.</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5 (Absorption and Distribution of Toxicants):</w:t>
      </w:r>
      <w:r>
        <w:rPr>
          <w:color w:val="595959"/>
          <w:sz w:val="16"/>
        </w:rPr>
        <w:t xml:space="preserve"> Sifat Fisikokimia Difusi, Ionisasi, Koefisien Partisi, Hukum Difusi Fick, Absorpsi Inhalasi/Dermal/GIT (hlm. 87–99); Volume Distribusi V_d dan Fraksi Bebas Protein f_u/f_(uT) (hlm. 106–108); Toksikokinetik, Kinetika Orde-1 vs Orde-0, Klirens Cl = K_(el) × V_d, Waktu Paruh T_(1/2) (hlm. 108–112).</w:t>
      </w:r>
    </w:p>
    <w:p>
      <w:pPr>
        <w:spacing w:after="0"/>
        <w:ind w:left="283"/>
      </w:pPr>
      <w:r>
        <w:rPr>
          <w:i/>
          <w:color w:val="595959"/>
          <w:sz w:val="16"/>
        </w:rPr>
        <w:t>Bab 6 (Metabolism of Toxicants):</w:t>
      </w:r>
      <w:r>
        <w:rPr>
          <w:color w:val="595959"/>
          <w:sz w:val="16"/>
        </w:rPr>
        <w:t xml:space="preserve"> Polimorfisme ALDH2 Locus (hlm. 124–125).</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1.05 &amp; 1.07:</w:t>
      </w:r>
      <w:r>
        <w:rPr>
          <w:color w:val="595959"/>
          <w:sz w:val="16"/>
        </w:rPr>
        <w:t xml:space="preserve"> Bioavailabilitas Oral F_(oral) = F_a × F_G × F_H &amp; First Pass Effect (hlm. 68–70); Kinetika Michaelis-Menten Saturasi, Persamaan V_(max) dan K_m, Inhibisi Enzim (hlm. 129–133).</w:t>
      </w:r>
    </w:p>
    <w:p>
      <w:pPr>
        <w:spacing w:after="0"/>
        <w:ind w:left="283"/>
      </w:pPr>
      <w:r>
        <w:rPr>
          <w:i/>
          <w:color w:val="595959"/>
          <w:sz w:val="16"/>
        </w:rPr>
        <w:t>Bagian 1.09 (Toxicokinetics and Modeling by G. Johanson):</w:t>
      </w:r>
      <w:r>
        <w:rPr>
          <w:color w:val="595959"/>
          <w:sz w:val="16"/>
        </w:rPr>
        <w:t xml:space="preserve"> Model Satu Kompartemen, Eliminasi Orde-1 (dA/dt = -K_(el) · A), Penurunan Rumus T_(1/2) = ln 2 / K_(el), Klirens Sistemik Cl = v_(el)/C, Kinetika Akumulasi &amp; Asimptotik Steady State Plato (hlm. 166–172).</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2 &amp; Bab 4:</w:t>
      </w:r>
      <w:r>
        <w:rPr>
          <w:color w:val="595959"/>
          <w:sz w:val="16"/>
        </w:rPr>
        <w:t xml:space="preserve"> Sawar Membran Kapiler, Driving Force Gradien Konsentrasi, Laju Pemindahan Orde Pertama T_(1/2) = 0,693/K, Kinetika Penjenuhan Enzimatik Michaelis-Menten (hlm. 17–22, 49–54).</w:t>
      </w:r>
    </w:p>
    <w:p>
      <w:pPr>
        <w:spacing w:after="0"/>
        <w:ind w:left="283"/>
      </w:pPr>
      <w:r>
        <w:rPr>
          <w:b/>
          <w:color w:val="595959"/>
          <w:sz w:val="16"/>
        </w:rPr>
        <w:t>Lucio G. Costa &amp; David L. Eaton (2006).</w:t>
      </w:r>
      <w:r>
        <w:rPr>
          <w:color w:val="595959"/>
          <w:sz w:val="16"/>
        </w:rPr>
        <w:t xml:space="preserve"> </w:t>
      </w:r>
      <w:r>
        <w:rPr>
          <w:i/>
          <w:color w:val="595959"/>
          <w:sz w:val="16"/>
        </w:rPr>
        <w:t>Gene-Environment Interactions: Fundamentals of Ecogenetics (John Wiley &amp; Sons)</w:t>
      </w:r>
      <w:r>
        <w:rPr>
          <w:color w:val="595959"/>
          <w:sz w:val="16"/>
        </w:rPr>
        <w:t>:</w:t>
      </w:r>
    </w:p>
    <w:p>
      <w:pPr>
        <w:spacing w:after="0"/>
        <w:ind w:left="283"/>
      </w:pPr>
      <w:r>
        <w:rPr>
          <w:i/>
          <w:color w:val="595959"/>
          <w:sz w:val="16"/>
        </w:rPr>
        <w:t>Bab 2, 7, 8, 9, 13, 19:</w:t>
      </w:r>
      <w:r>
        <w:rPr>
          <w:color w:val="595959"/>
          <w:sz w:val="16"/>
        </w:rPr>
        <w:t xml:space="preserve"> Definisi Ekogenetika Okupasi (hlm. 1–12); Defisiensi G6PD &amp; Kerentanan Sel Darah Merah (hlm. 12); Polimorfisme CYP2E1 pada Keracunan Benzena &amp; Toksisitas Hati (hlm. 110–111); Polimorfisme NAT2 Asetilator Lambat &amp; Karsinoma Kandung Kemih (hlm. 139–143); Polimorfisme Paraoxonase PON1 Q192R &amp; Kerentanan Pestisida Organofosfat (hlm. 159–165); Delesi GSTM1/GSTT1 Null Genotype (hlm. 140, 227, 434).</w:t>
      </w:r>
    </w:p>
    <w:p>
      <w:pPr>
        <w:spacing w:after="0"/>
        <w:ind w:left="283"/>
      </w:pPr>
      <w:r>
        <w:rPr>
          <w:b/>
          <w:color w:val="595959"/>
          <w:sz w:val="16"/>
        </w:rPr>
        <w:t>T. Sakai (Biomarkers of Lead Exposure).</w:t>
      </w:r>
      <w:r>
        <w:rPr>
          <w:color w:val="595959"/>
          <w:sz w:val="16"/>
        </w:rPr>
        <w:t xml:space="preserve"> </w:t>
      </w:r>
      <w:r>
        <w:rPr>
          <w:i/>
          <w:color w:val="595959"/>
          <w:sz w:val="16"/>
        </w:rPr>
        <w:t>Industrial Health</w:t>
      </w:r>
      <w:r>
        <w:rPr>
          <w:color w:val="595959"/>
          <w:sz w:val="16"/>
        </w:rPr>
        <w:t>:</w:t>
      </w:r>
    </w:p>
    <w:p>
      <w:pPr>
        <w:spacing w:after="0"/>
        <w:ind w:left="283"/>
      </w:pPr>
      <w:r>
        <w:rPr>
          <w:color w:val="595959"/>
          <w:sz w:val="16"/>
        </w:rPr>
        <w:t>Hubungan Polimorfisme Gen ALAD1 dan ALAD2 terhadap Afinitas Pengikatan Timbal Darah (Pb-B), Indeks Biosintesis Heme (ZPP, ALA-P, ALAD), serta Kerentanan Toksisitas Logam (hlm. 1–8).</w:t>
      </w:r>
    </w:p>
    <w:p>
      <w:pPr>
        <w:spacing w:after="0"/>
        <w:ind w:left="283"/>
      </w:pPr>
      <w:r>
        <w:rPr>
          <w:b/>
          <w:color w:val="595959"/>
          <w:sz w:val="16"/>
        </w:rPr>
        <w:t>R. Rahimpoor et al. (2023) &amp; Kim, Yangwoo (2026).</w:t>
      </w:r>
      <w:r>
        <w:rPr>
          <w:color w:val="595959"/>
          <w:sz w:val="16"/>
        </w:rPr>
        <w:t xml:space="preserve"> </w:t>
      </w:r>
      <w:r>
        <w:rPr>
          <w:i/>
          <w:color w:val="595959"/>
          <w:sz w:val="16"/>
        </w:rPr>
        <w:t>Industrial Health</w:t>
      </w:r>
      <w:r>
        <w:rPr>
          <w:color w:val="595959"/>
          <w:sz w:val="16"/>
        </w:rPr>
        <w:t>:</w:t>
      </w:r>
    </w:p>
    <w:p>
      <w:pPr>
        <w:spacing w:after="0"/>
        <w:ind w:left="283"/>
      </w:pPr>
      <w:r>
        <w:rPr>
          <w:color w:val="595959"/>
          <w:sz w:val="16"/>
        </w:rPr>
        <w:t>Pengaruh Polimorfisme GSTT1 dan GSTM1 terhadap Penurunan Ekskresi Biomarker S-PMA Urin pada Pekerja Terpajan Benzena.</w:t>
      </w:r>
    </w:p>
    <w:p>
      <w:pPr>
        <w:spacing w:after="0"/>
        <w:ind w:left="283"/>
      </w:pPr>
      <w:r>
        <w:rPr>
          <w:b/>
          <w:color w:val="595959"/>
          <w:sz w:val="16"/>
        </w:rPr>
        <w:t>Engelbrecht et al. (2024) / Safety Science.</w:t>
      </w:r>
      <w:r>
        <w:rPr>
          <w:color w:val="595959"/>
          <w:sz w:val="16"/>
        </w:rPr>
        <w:t xml:space="preserve"> </w:t>
      </w:r>
      <w:r>
        <w:rPr>
          <w:i/>
          <w:color w:val="595959"/>
          <w:sz w:val="16"/>
        </w:rPr>
        <w:t>Beyond the Clock: Revisiting OELs for unusual work schedules</w:t>
      </w:r>
      <w:r>
        <w:rPr>
          <w:color w:val="595959"/>
          <w:sz w:val="16"/>
        </w:rPr>
        <w:t>:</w:t>
      </w:r>
    </w:p>
    <w:p>
      <w:pPr>
        <w:spacing w:after="0"/>
        <w:ind w:left="283"/>
      </w:pPr>
      <w:r>
        <w:rPr>
          <w:color w:val="595959"/>
          <w:sz w:val="16"/>
        </w:rPr>
        <w:t>Konstanta Laju Eliminasi Biologis (k = ln 2 / T_(1/2)), Farmakokinetik Akumulasi Body Burden, dan Perhitungan Siklus Kerja.</w:t>
      </w:r>
    </w:p>
    <w:p>
      <w:pPr>
        <w:spacing w:after="0"/>
        <w:ind w:left="283"/>
      </w:pPr>
      <w:r>
        <w:rPr>
          <w:b/>
          <w:color w:val="595959"/>
          <w:sz w:val="16"/>
        </w:rPr>
        <w:t>US-EPA (RAGS Part E &amp; Part F).</w:t>
      </w:r>
      <w:r>
        <w:rPr>
          <w:color w:val="595959"/>
          <w:sz w:val="16"/>
        </w:rPr>
        <w:t xml:space="preserve"> </w:t>
      </w:r>
      <w:r>
        <w:rPr>
          <w:i/>
          <w:color w:val="595959"/>
          <w:sz w:val="16"/>
        </w:rPr>
        <w:t>Supplemental Guidance for Dermal &amp; Inhalation Risk Assessment</w:t>
      </w:r>
      <w:r>
        <w:rPr>
          <w:color w:val="595959"/>
          <w:sz w:val="16"/>
        </w:rPr>
        <w:t>:</w:t>
      </w:r>
    </w:p>
    <w:p>
      <w:pPr>
        <w:spacing w:after="0"/>
        <w:ind w:left="283"/>
      </w:pPr>
      <w:r>
        <w:rPr>
          <w:color w:val="595959"/>
          <w:sz w:val="16"/>
        </w:rPr>
        <w:t>Hukum Difusi Fick untuk Dermal Permeability (k_p, J_(ss)), Absorpsi Fraksi Inhalasi, serta Fraksi Deposisi Respiratorik.</w:t>
      </w:r>
    </w:p>
    <w:p>
      <w:pPr>
        <w:pStyle w:val="Heading2"/>
      </w:pPr>
      <w:bookmarkStart w:id="111" w:name="toc_011"/>
      <w:r>
        <w:t>1.11 Mekanisme toksisitas</w:t>
      </w:r>
      <w:bookmarkEnd w:id="111"/>
    </w:p>
    <w:p>
      <w:pPr>
        <w:pStyle w:val="Heading3"/>
      </w:pPr>
      <w:r>
        <w:t>1. Stres Oksidatif (Oxidative Stress)</w:t>
      </w:r>
    </w:p>
    <w:p>
      <w:pPr>
        <w:spacing w:after="80"/>
      </w:pPr>
      <w:r>
        <w:rPr/>
        <w:t xml:space="preserve">Stres oksidatif didefinisikan secara biokimiawi sebagai ketidakseimbangan kritis antara </w:t>
      </w:r>
      <w:r>
        <w:rPr>
          <w:b/>
        </w:rPr>
        <w:t>kecepatan produksi spesies oksigen/nitrogen reaktif (</w:t>
      </w:r>
      <w:r>
        <w:rPr>
          <w:b/>
          <w:i/>
        </w:rPr>
        <w:t>pro-oxidants</w:t>
      </w:r>
      <w:r>
        <w:rPr>
          <w:b/>
        </w:rPr>
        <w:t>)</w:t>
      </w:r>
      <w:r>
        <w:rPr/>
        <w:t xml:space="preserve"> dengan </w:t>
      </w:r>
      <w:r>
        <w:rPr>
          <w:b/>
        </w:rPr>
        <w:t>kapasitas eliminasi sistem pertahanan antioksidan endogen tubuh</w:t>
      </w:r>
      <w:r>
        <w:rPr/>
        <w:t>, yang berujung pada kerusakan fungsi dan integritas biologis.</w:t>
      </w:r>
    </w:p>
    <w:p>
      <w:pPr>
        <w:spacing w:after="120"/>
        <w:ind w:left="170"/>
      </w:pPr>
      <w:r>
        <w:rPr>
          <w:rFonts w:ascii="Consolas" w:hAnsi="Consolas" w:eastAsia="Consolas"/>
          <w:sz w:val="13"/>
        </w:rPr>
        <w:t xml:space="preserve">                          [ JALUR GENERASI DAN KASKADE STRES OKSIDATIF ]</w:t>
      </w:r>
      <w:r>
        <w:br/>
      </w:r>
      <w:r>
        <w:rPr>
          <w:rFonts w:ascii="Consolas" w:hAnsi="Consolas" w:eastAsia="Consolas"/>
          <w:sz w:val="13"/>
        </w:rPr>
        <w:t xml:space="preserve">                                                │</w:t>
      </w:r>
      <w:r>
        <w:br/>
      </w:r>
      <w:r>
        <w:rPr>
          <w:rFonts w:ascii="Consolas" w:hAnsi="Consolas" w:eastAsia="Consolas"/>
          <w:sz w:val="13"/>
        </w:rPr>
        <w:t xml:space="preserve">                          Oksigen Molekuler (O2) / Hipoksia-Toksikan</w:t>
      </w:r>
      <w:r>
        <w:br/>
      </w:r>
      <w:r>
        <w:rPr>
          <w:rFonts w:ascii="Consolas" w:hAnsi="Consolas" w:eastAsia="Consolas"/>
          <w:sz w:val="13"/>
        </w:rPr>
        <w:t xml:space="preserve">                                                │  (NADPH Oksidase, CYP2E1, Kompleks I/III)</w:t>
      </w:r>
      <w:r>
        <w:br/>
      </w:r>
      <w:r>
        <w:rPr>
          <w:rFonts w:ascii="Consolas" w:hAnsi="Consolas" w:eastAsia="Consolas"/>
          <w:sz w:val="13"/>
        </w:rPr>
        <w:t xml:space="preserve">                                                ▼</w:t>
      </w:r>
      <w:r>
        <w:br/>
      </w:r>
      <w:r>
        <w:rPr>
          <w:rFonts w:ascii="Consolas" w:hAnsi="Consolas" w:eastAsia="Consolas"/>
          <w:sz w:val="13"/>
        </w:rPr>
        <w:t xml:space="preserve">                                    Radikal Superoksida (•O2-)</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(Superoxide Dismutase / SOD)           │ (+ •NO)</w:t>
      </w:r>
      <w:r>
        <w:br/>
      </w:r>
      <w:r>
        <w:rPr>
          <w:rFonts w:ascii="Consolas" w:hAnsi="Consolas" w:eastAsia="Consolas"/>
          <w:sz w:val="13"/>
        </w:rPr>
        <w:t xml:space="preserve">                       ▼                                                 ▼</w:t>
      </w:r>
      <w:r>
        <w:br/>
      </w:r>
      <w:r>
        <w:rPr>
          <w:rFonts w:ascii="Consolas" w:hAnsi="Consolas" w:eastAsia="Consolas"/>
          <w:sz w:val="13"/>
        </w:rPr>
        <w:t xml:space="preserve">             Hidrogen Peroksida (H2O2)                          Peroksinitrit (ONOO-)</w:t>
      </w:r>
      <w:r>
        <w:br/>
      </w:r>
      <w:r>
        <w:rPr>
          <w:rFonts w:ascii="Consolas" w:hAnsi="Consolas" w:eastAsia="Consolas"/>
          <w:sz w:val="13"/>
        </w:rPr>
        <w:t xml:space="preserve">                       │                                         (RNS Sangat Reaktif)</w:t>
      </w:r>
      <w:r>
        <w:br/>
      </w:r>
      <w:r>
        <w:rPr>
          <w:rFonts w:ascii="Consolas" w:hAnsi="Consolas" w:eastAsia="Consolas"/>
          <w:sz w:val="13"/>
        </w:rPr>
        <w:t xml:space="preserve">         ┌─────────────┴─────────────┐</w:t>
      </w:r>
      <w:r>
        <w:br/>
      </w:r>
      <w:r>
        <w:rPr>
          <w:rFonts w:ascii="Consolas" w:hAnsi="Consolas" w:eastAsia="Consolas"/>
          <w:sz w:val="13"/>
        </w:rPr>
        <w:t xml:space="preserve">         │ (Katalase / GPx + GSH)    │ (Reaksi Fenton via Fe2+ / Cu+)</w:t>
      </w:r>
      <w:r>
        <w:br/>
      </w:r>
      <w:r>
        <w:rPr>
          <w:rFonts w:ascii="Consolas" w:hAnsi="Consolas" w:eastAsia="Consolas"/>
          <w:sz w:val="13"/>
        </w:rPr>
        <w:t xml:space="preserve">         ▼                           ▼</w:t>
      </w:r>
      <w:r>
        <w:br/>
      </w:r>
      <w:r>
        <w:rPr>
          <w:rFonts w:ascii="Consolas" w:hAnsi="Consolas" w:eastAsia="Consolas"/>
          <w:sz w:val="13"/>
        </w:rPr>
        <w:t xml:space="preserve">      H2O + O2            RADIKAL HIDROKSIL (•OH) ──► Menyerang PUFA Membran</w:t>
      </w:r>
      <w:r>
        <w:br/>
      </w:r>
      <w:r>
        <w:rPr>
          <w:rFonts w:ascii="Consolas" w:hAnsi="Consolas" w:eastAsia="Consolas"/>
          <w:sz w:val="13"/>
        </w:rPr>
        <w:t xml:space="preserve">  (Detoksifikasi)         (Paling Reaktif, t½ Sangat Pendek)   │</w:t>
      </w:r>
      <w:r>
        <w:br/>
      </w:r>
      <w:r>
        <w:rPr>
          <w:rFonts w:ascii="Consolas" w:hAnsi="Consolas" w:eastAsia="Consolas"/>
          <w:sz w:val="13"/>
        </w:rPr>
        <w:t xml:space="preserve">                                                                        ▼</w:t>
      </w:r>
      <w:r>
        <w:br/>
      </w:r>
      <w:r>
        <w:rPr>
          <w:rFonts w:ascii="Consolas" w:hAnsi="Consolas" w:eastAsia="Consolas"/>
          <w:sz w:val="13"/>
        </w:rPr>
        <w:t xml:space="preserve">                                                             [ PEROKSIDASI LIPID ]</w:t>
      </w:r>
      <w:r>
        <w:br/>
      </w:r>
      <w:r>
        <w:rPr>
          <w:rFonts w:ascii="Consolas" w:hAnsi="Consolas" w:eastAsia="Consolas"/>
          <w:sz w:val="13"/>
        </w:rPr>
        <w:t xml:space="preserve">                                                             • Radikal Lipid (L•)</w:t>
      </w:r>
      <w:r>
        <w:br/>
      </w:r>
      <w:r>
        <w:rPr>
          <w:rFonts w:ascii="Consolas" w:hAnsi="Consolas" w:eastAsia="Consolas"/>
          <w:sz w:val="13"/>
        </w:rPr>
        <w:t xml:space="preserve">                                                             • Radikal Peroksil (LOO•)</w:t>
      </w:r>
      <w:r>
        <w:br/>
      </w:r>
      <w:r>
        <w:rPr>
          <w:rFonts w:ascii="Consolas" w:hAnsi="Consolas" w:eastAsia="Consolas"/>
          <w:sz w:val="13"/>
        </w:rPr>
        <w:t xml:space="preserve">                                                             • Malondialdehida (MDA)</w:t>
      </w:r>
      <w:r>
        <w:br/>
      </w:r>
      <w:r>
        <w:rPr>
          <w:rFonts w:ascii="Consolas" w:hAnsi="Consolas" w:eastAsia="Consolas"/>
          <w:sz w:val="13"/>
        </w:rPr>
        <w:t xml:space="preserve">                                                             • 4-Hidroksinonenal (4-HNE)</w:t>
      </w:r>
    </w:p>
    <w:p>
      <w:pPr>
        <w:pStyle w:val="Heading4"/>
      </w:pPr>
      <w:r>
        <w:t>a. Pembentukan Spesies Reaktif (ROS dan RNS)</w:t>
      </w:r>
    </w:p>
    <w:p>
      <w:pPr>
        <w:spacing w:after="40"/>
        <w:ind w:left="340" w:hanging="283"/>
      </w:pPr>
      <w:r>
        <w:rPr/>
        <w:t xml:space="preserve">1. </w:t>
      </w:r>
      <w:r>
        <w:rPr>
          <w:b/>
        </w:rPr>
        <w:t>Radikal Bebas Oksigen:</w:t>
      </w:r>
      <w:r>
        <w:rPr/>
        <w:t xml:space="preserve"> Kebocoran rantai transpor elektron mitokondria (Kompleks I dan III), bioaktivasi mikrosomal CYP450, atau </w:t>
      </w:r>
      <w:r>
        <w:rPr>
          <w:i/>
        </w:rPr>
        <w:t>respiratory burst</w:t>
      </w:r>
      <w:r>
        <w:rPr/>
        <w:t xml:space="preserve"> makrofag paru saat memfagositosis partikel anorganik menghasilkan </w:t>
      </w:r>
      <w:r>
        <w:rPr>
          <w:b/>
        </w:rPr>
        <w:t>radikal superoksida (O₂^(•-))</w:t>
      </w:r>
      <w:r>
        <w:rPr/>
        <w:t>.</w:t>
      </w:r>
    </w:p>
    <w:p>
      <w:pPr>
        <w:spacing w:after="40"/>
        <w:ind w:left="340" w:hanging="283"/>
      </w:pPr>
      <w:r>
        <w:rPr/>
        <w:t xml:space="preserve">2. </w:t>
      </w:r>
      <w:r>
        <w:rPr>
          <w:b/>
        </w:rPr>
        <w:t>Dismutasi dan Reaksi Fenton:</w:t>
      </w:r>
      <w:r>
        <w:rPr/>
        <w:t xml:space="preserve"> Superoksida dikonversi oleh enzim </w:t>
      </w:r>
      <w:r>
        <w:rPr>
          <w:i/>
        </w:rPr>
        <w:t>Superoxide Dismutase</w:t>
      </w:r>
      <w:r>
        <w:rPr/>
        <w:t xml:space="preserve"> (SOD) menjadi </w:t>
      </w:r>
      <w:r>
        <w:rPr>
          <w:b/>
        </w:rPr>
        <w:t>hidrogen peroksida (H₂O₂)</w:t>
      </w:r>
      <w:r>
        <w:rPr/>
        <w:t xml:space="preserve">. Di hadapan ion logam transisi bervalensi tereduksi (terutama besi Fe²⁺ atau tembaga Cu⁺), H₂O₂ mengalami pemecahan homolitik melalui </w:t>
      </w:r>
      <w:r>
        <w:rPr>
          <w:b/>
        </w:rPr>
        <w:t>Reaksi Fenton</w:t>
      </w:r>
      <w:r>
        <w:rPr/>
        <w:t xml:space="preserve"> menghasilkan </w:t>
      </w:r>
      <w:r>
        <w:rPr>
          <w:b/>
        </w:rPr>
        <w:t>radikal hidroksil (^(•)OH)</w:t>
      </w:r>
      <w:r>
        <w:rPr/>
        <w:t>:</w:t>
      </w:r>
    </w:p>
    <w:p>
      <w:pPr>
        <w:spacing w:after="60"/>
        <w:jc w:val="center"/>
      </w:pPr>
      <w:r>
        <w:rPr>
          <w:i/>
        </w:rPr>
        <w:t>Fe²⁺ + H₂O₂ → Fe³⁺ + ^(•)OH + OH⁻</w:t>
      </w:r>
    </w:p>
    <w:p>
      <w:pPr>
        <w:spacing w:after="80"/>
      </w:pPr>
      <w:r>
        <w:rPr/>
        <w:t xml:space="preserve">Siklus reduksi besi dipertahankan melalui </w:t>
      </w:r>
      <w:r>
        <w:rPr>
          <w:b/>
        </w:rPr>
        <w:t>Reaksi Haber-Weiss</w:t>
      </w:r>
      <w:r>
        <w:rPr/>
        <w:t xml:space="preserve"> yang didorong oleh superoksida. Radikal ^(•)OH adalah radikal bebas yang paling reaktif secara biologis dan langsung merusak molekul apa pun di sekitarnya.</w:t>
      </w:r>
    </w:p>
    <w:p>
      <w:pPr>
        <w:spacing w:after="40"/>
        <w:ind w:left="340" w:hanging="283"/>
      </w:pPr>
      <w:r>
        <w:rPr/>
        <w:t xml:space="preserve">3. </w:t>
      </w:r>
      <w:r>
        <w:rPr>
          <w:b/>
        </w:rPr>
        <w:t>Spesies Nitrogen Reaktif (RNS):</w:t>
      </w:r>
      <w:r>
        <w:rPr/>
        <w:t xml:space="preserve"> Reaksi antara superoksida dengan nitrat oksida (^(•)NO) membentuk </w:t>
      </w:r>
      <w:r>
        <w:rPr>
          <w:b/>
        </w:rPr>
        <w:t>peroksinitrit (ONOO⁻)</w:t>
      </w:r>
      <w:r>
        <w:rPr/>
        <w:t>, suatu oksidan sitotoksik kuat yang memicu nitrasi tirosin pada protein seluler.</w:t>
      </w:r>
    </w:p>
    <w:p>
      <w:pPr>
        <w:pStyle w:val="Heading4"/>
      </w:pPr>
      <w:r>
        <w:t>b. Peran dan Deplesi Glutation (GSH)</w:t>
      </w:r>
    </w:p>
    <w:p>
      <w:pPr>
        <w:pStyle w:val="ListBullet"/>
        <w:spacing w:after="20"/>
      </w:pPr>
      <w:r>
        <w:rPr>
          <w:b/>
        </w:rPr>
        <w:t>Glutation Tereduksi (GSH):</w:t>
      </w:r>
      <w:r>
        <w:rPr/>
        <w:t xml:space="preserve"> Tripeptida (γ-glutamil-sisteinilglisin) dengan gugus tiol nukleofilik (-SH) bebas yang menjadi garda pertahanan antioksidan utama seluler.</w:t>
      </w:r>
    </w:p>
    <w:p>
      <w:pPr>
        <w:pStyle w:val="ListBullet"/>
        <w:spacing w:after="20"/>
      </w:pPr>
      <w:r>
        <w:rPr>
          <w:b/>
        </w:rPr>
        <w:t>Siklus Redoks Glutation:</w:t>
      </w:r>
      <w:r>
        <w:rPr/>
        <w:t xml:space="preserve"> Enzim </w:t>
      </w:r>
      <w:r>
        <w:rPr>
          <w:b/>
        </w:rPr>
        <w:t>Glutation Peroksidase (GPx)</w:t>
      </w:r>
      <w:r>
        <w:rPr/>
        <w:t xml:space="preserve"> menggunakan GSH untuk mereduksi H₂O₂ dan lipid hidroperoksida menjadi air dan alkohol non-toksik, mengubah GSH menjadi bentuk teroksidasi: </w:t>
      </w:r>
      <w:r>
        <w:rPr>
          <w:b/>
        </w:rPr>
        <w:t>Glutation Disulfida (GSSG)</w:t>
      </w:r>
      <w:r>
        <w:rPr/>
        <w:t>:</w:t>
      </w:r>
    </w:p>
    <w:p>
      <w:pPr>
        <w:spacing w:after="60"/>
        <w:jc w:val="center"/>
      </w:pPr>
      <w:r>
        <w:rPr>
          <w:i/>
        </w:rPr>
        <w:t>H₂O₂ + 2GSH →GPx GSSG + 2H₂O</w:t>
      </w:r>
    </w:p>
    <w:p>
      <w:pPr>
        <w:pStyle w:val="ListBullet"/>
        <w:spacing w:after="20"/>
      </w:pPr>
      <w:r>
        <w:rPr>
          <w:b/>
        </w:rPr>
        <w:t>Regenerasi GSH:</w:t>
      </w:r>
      <w:r>
        <w:rPr/>
        <w:t xml:space="preserve"> Enzim </w:t>
      </w:r>
      <w:r>
        <w:rPr>
          <w:b/>
        </w:rPr>
        <w:t>Glutation Reduktase (GR)</w:t>
      </w:r>
      <w:r>
        <w:rPr/>
        <w:t xml:space="preserve"> meregenerasi GSH dari GSSG menggunakan daya pereduksi kofaktor </w:t>
      </w:r>
      <w:r>
        <w:rPr>
          <w:b/>
        </w:rPr>
        <w:t>NADPH</w:t>
      </w:r>
      <w:r>
        <w:rPr/>
        <w:t xml:space="preserve"> yang disuplai oleh enzim </w:t>
      </w:r>
      <w:r>
        <w:rPr>
          <w:b/>
        </w:rPr>
        <w:t>G6PD</w:t>
      </w:r>
      <w:r>
        <w:rPr/>
        <w:t xml:space="preserve"> dari jalur heksosa monofosfat.</w:t>
      </w:r>
    </w:p>
    <w:p>
      <w:pPr>
        <w:pStyle w:val="ListBullet"/>
        <w:spacing w:after="20"/>
      </w:pPr>
      <w:r>
        <w:rPr>
          <w:b/>
        </w:rPr>
        <w:t>Deplesi Toksik:</w:t>
      </w:r>
      <w:r>
        <w:rPr/>
        <w:t xml:space="preserve"> Pajanan xenobiotik elektrofilik atau oksidan dalam dosis masif menghabiskan cadangan GSH intraseluler (rasio GSSG:GSH melonjak). Ketika cadangan GSH terkuras hingga di bawah ambang protektif (kehilangan &gt;70–80%), metabolit reaktif dan radikal bebas leluasa menyerang organel seluler.</w:t>
      </w:r>
    </w:p>
    <w:p>
      <w:pPr>
        <w:pStyle w:val="Heading4"/>
      </w:pPr>
      <w:r>
        <w:t>c. Kaskade Peroksidasi Lipid (Lipid Peroxidation)</w:t>
      </w:r>
    </w:p>
    <w:p>
      <w:pPr>
        <w:spacing w:after="80"/>
      </w:pPr>
      <w:r>
        <w:rPr/>
        <w:t>Terjadi pada asam lemak tak jenuh ganda (</w:t>
      </w:r>
      <w:r>
        <w:rPr>
          <w:i/>
        </w:rPr>
        <w:t>Polyunsaturated Fatty Acids</w:t>
      </w:r>
      <w:r>
        <w:rPr/>
        <w:t xml:space="preserve"> / PUFA) pada fosfolipid membran sel dan membran mitokondria, yang berlangsung melalui tiga tahapan reaksi berantai:</w:t>
      </w:r>
    </w:p>
    <w:p>
      <w:pPr>
        <w:spacing w:after="40"/>
        <w:ind w:left="340" w:hanging="283"/>
      </w:pPr>
      <w:r>
        <w:rPr/>
        <w:t xml:space="preserve">1. </w:t>
      </w:r>
      <w:r>
        <w:rPr>
          <w:i/>
        </w:rPr>
        <w:t>Inisiasi:</w:t>
      </w:r>
      <w:r>
        <w:rPr/>
        <w:t xml:space="preserve"> Radikal hidroksil (^(•)OH) atau radikal xenobiotik mengabstraksi atom hidrogen dari ikatan metilen PUFA (LH), membentuk </w:t>
      </w:r>
      <w:r>
        <w:rPr>
          <w:b/>
        </w:rPr>
        <w:t>radikal lipid karbon (L^(•))</w:t>
      </w:r>
      <w:r>
        <w:rPr/>
        <w:t>.</w:t>
      </w:r>
    </w:p>
    <w:p>
      <w:pPr>
        <w:spacing w:after="40"/>
        <w:ind w:left="340" w:hanging="283"/>
      </w:pPr>
      <w:r>
        <w:rPr/>
        <w:t xml:space="preserve">2. </w:t>
      </w:r>
      <w:r>
        <w:rPr>
          <w:i/>
        </w:rPr>
        <w:t>Propagasi:</w:t>
      </w:r>
      <w:r>
        <w:rPr/>
        <w:t xml:space="preserve"> Radikal lipid bereaksi cepat dengan oksigen molekuler (O₂) membentuk </w:t>
      </w:r>
      <w:r>
        <w:rPr>
          <w:b/>
        </w:rPr>
        <w:t>radikal lipid peroksil (LOO^(•))</w:t>
      </w:r>
      <w:r>
        <w:rPr/>
        <w:t xml:space="preserve">. Radikal ini mengabstraksi atom hidrogen dari molekul PUFA tetangga, menghasilkan </w:t>
      </w:r>
      <w:r>
        <w:rPr>
          <w:b/>
        </w:rPr>
        <w:t>lipid hidroperoksida (LOOH)</w:t>
      </w:r>
      <w:r>
        <w:rPr/>
        <w:t xml:space="preserve"> dan radikal lipid baru yang melanggengkan reaksi berantai autokatalitik.</w:t>
      </w:r>
    </w:p>
    <w:p>
      <w:pPr>
        <w:spacing w:after="40"/>
        <w:ind w:left="340" w:hanging="283"/>
      </w:pPr>
      <w:r>
        <w:rPr/>
        <w:t xml:space="preserve">3. </w:t>
      </w:r>
      <w:r>
        <w:rPr>
          <w:i/>
        </w:rPr>
        <w:t>Dekomposisi Menjadi Aldehida Sitotoksik:</w:t>
      </w:r>
      <w:r>
        <w:rPr/>
        <w:t xml:space="preserve"> Molekul LOOH terurai menjadi senyawa aldehida reaktif berdifusi tinggi, terutama </w:t>
      </w:r>
      <w:r>
        <w:rPr>
          <w:b/>
        </w:rPr>
        <w:t>Malondialdehida (MDA)</w:t>
      </w:r>
      <w:r>
        <w:rPr/>
        <w:t xml:space="preserve"> dan </w:t>
      </w:r>
      <w:r>
        <w:rPr>
          <w:b/>
        </w:rPr>
        <w:t>4-hidroksi-2,3-nonenal (4-HNE)</w:t>
      </w:r>
      <w:r>
        <w:rPr/>
        <w:t xml:space="preserve">. MDA berinteraksi kovalen dengan basa DNA (membentuk aduk primutagenik pirimidopurinon) serta menyebabkan </w:t>
      </w:r>
      <w:r>
        <w:rPr>
          <w:i/>
        </w:rPr>
        <w:t>cross-linking</w:t>
      </w:r>
      <w:r>
        <w:rPr/>
        <w:t xml:space="preserve"> protein membran.</w:t>
      </w:r>
    </w:p>
    <w:p>
      <w:pPr>
        <w:pStyle w:val="ListBullet"/>
        <w:spacing w:after="20"/>
      </w:pPr>
      <w:r>
        <w:rPr>
          <w:b/>
        </w:rPr>
        <w:t>Contoh Zat Okupasi:</w:t>
      </w:r>
      <w:r>
        <w:rPr/>
        <w:t xml:space="preserve"> </w:t>
      </w:r>
      <w:r>
        <w:rPr>
          <w:b/>
        </w:rPr>
        <w:t>Karbon Tetraklorida (CCl₄)</w:t>
      </w:r>
      <w:r>
        <w:rPr/>
        <w:t xml:space="preserve"> (melalui pembentukan radikal triklorometilperoksi ^(•)OOCCl₃), </w:t>
      </w:r>
      <w:r>
        <w:rPr>
          <w:b/>
        </w:rPr>
        <w:t>Serat Asbes dan Silika</w:t>
      </w:r>
      <w:r>
        <w:rPr/>
        <w:t xml:space="preserve"> (menginduksi reaksi Fenton persisten via kandungan besi permukaan pada makrofag alveolar), serta </w:t>
      </w:r>
      <w:r>
        <w:rPr>
          <w:b/>
        </w:rPr>
        <w:t>Kromium Heksavalen [Cr(VI)]</w:t>
      </w:r>
      <w:r>
        <w:rPr/>
        <w:t>.</w:t>
      </w:r>
    </w:p>
    <w:p>
      <w:pPr>
        <w:pStyle w:val="ListBullet"/>
        <w:spacing w:after="20"/>
      </w:pPr>
      <w:r>
        <w:rPr>
          <w:b/>
        </w:rPr>
        <w:t>Implikasi Klinis:</w:t>
      </w:r>
      <w:r>
        <w:rPr/>
        <w:t xml:space="preserve"> Nekrosis hepatoseluler akut sentrilobular (pada intoksikasi CCl₄), fibrosis paru alveolar/pneumokoniosis (asbestosis dan silikosis), serta peningkatan biomarker MDA dan 8-OHdG urin pada pekerja </w:t>
      </w:r>
      <w:r>
        <w:rPr>
          <w:i/>
        </w:rPr>
        <w:t>electroplating</w:t>
      </w:r>
      <w:r>
        <w:rPr/>
        <w:t xml:space="preserve"> atau </w:t>
      </w:r>
      <w:r>
        <w:rPr>
          <w:i/>
        </w:rPr>
        <w:t>welder</w:t>
      </w:r>
      <w:r>
        <w:rPr/>
        <w:t>.</w:t>
      </w:r>
    </w:p>
    <w:p>
      <w:pPr>
        <w:pStyle w:val="Heading3"/>
      </w:pPr>
      <w:r>
        <w:t>2. Ikatan Kovalen dengan Makromolekul (Covalent Binding to Macromolecules)</w:t>
      </w:r>
    </w:p>
    <w:p>
      <w:pPr>
        <w:spacing w:after="80"/>
      </w:pPr>
      <w:r>
        <w:rPr/>
        <w:t>Interaksi kovalen melibatkan pembentukan ikatan kimia permanen yang stabil dan ireversibel antara metabolit reaktif xenobiotik dengan makromolekul endogen penting tubuh (protein struktural, enzim fungsional, RNA, dan DNA).</w:t>
      </w:r>
    </w:p>
    <w:p>
      <w:pPr>
        <w:spacing w:after="120"/>
        <w:ind w:left="170"/>
      </w:pPr>
      <w:r>
        <w:rPr>
          <w:rFonts w:ascii="Consolas" w:hAnsi="Consolas" w:eastAsia="Consolas"/>
          <w:sz w:val="13"/>
        </w:rPr>
        <w:t xml:space="preserve">                                  [ TEORI ELEKTROFILIK MILLER &amp; MILLER ]</w:t>
      </w:r>
      <w:r>
        <w:br/>
      </w:r>
      <w:r>
        <w:rPr>
          <w:rFonts w:ascii="Consolas" w:hAnsi="Consolas" w:eastAsia="Consolas"/>
          <w:sz w:val="13"/>
        </w:rPr>
        <w:t xml:space="preserve">                                                    │</w:t>
      </w:r>
      <w:r>
        <w:br/>
      </w:r>
      <w:r>
        <w:rPr>
          <w:rFonts w:ascii="Consolas" w:hAnsi="Consolas" w:eastAsia="Consolas"/>
          <w:sz w:val="13"/>
        </w:rPr>
        <w:t xml:space="preserve">                 Xenobiotik (Parent) ──(Bioaktivasi CYP450)──► Elektrofil Reaktif (Ultimate)</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SOFT ELECTROPHILES ]                                      [ HARD ELECTROPHILES ]</w:t>
      </w:r>
      <w:r>
        <w:br/>
      </w:r>
      <w:r>
        <w:rPr>
          <w:rFonts w:ascii="Consolas" w:hAnsi="Consolas" w:eastAsia="Consolas"/>
          <w:sz w:val="13"/>
        </w:rPr>
        <w:t xml:space="preserve">       (Quinon, Epoksida Alkena,                                    (Karbokation, Aren Oksida,</w:t>
      </w:r>
      <w:r>
        <w:br/>
      </w:r>
      <w:r>
        <w:rPr>
          <w:rFonts w:ascii="Consolas" w:hAnsi="Consolas" w:eastAsia="Consolas"/>
          <w:sz w:val="13"/>
        </w:rPr>
        <w:t xml:space="preserve">        α,β-Unsaturated Aldehida)                         Alkyl Sulfates, Nitrenium)</w:t>
      </w:r>
      <w:r>
        <w:br/>
      </w:r>
      <w:r>
        <w:rPr>
          <w:rFonts w:ascii="Consolas" w:hAnsi="Consolas" w:eastAsia="Consolas"/>
          <w:sz w:val="13"/>
        </w:rPr>
        <w:t xml:space="preserve">                      │                                                           │</w:t>
      </w:r>
      <w:r>
        <w:br/>
      </w:r>
      <w:r>
        <w:rPr>
          <w:rFonts w:ascii="Consolas" w:hAnsi="Consolas" w:eastAsia="Consolas"/>
          <w:sz w:val="13"/>
        </w:rPr>
        <w:t xml:space="preserve">                      ▼ (Prinsip Pearson HSAB)                                    ▼ (Prinsip Pearson HSAB)</w:t>
      </w:r>
      <w:r>
        <w:br/>
      </w:r>
      <w:r>
        <w:rPr>
          <w:rFonts w:ascii="Consolas" w:hAnsi="Consolas" w:eastAsia="Consolas"/>
          <w:sz w:val="13"/>
        </w:rPr>
        <w:t xml:space="preserve">            [ SOFT NUCLEOPHILES ]                                       [ HARD NUCLEOPHILES ]</w:t>
      </w:r>
      <w:r>
        <w:br/>
      </w:r>
      <w:r>
        <w:rPr>
          <w:rFonts w:ascii="Consolas" w:hAnsi="Consolas" w:eastAsia="Consolas"/>
          <w:sz w:val="13"/>
        </w:rPr>
        <w:t xml:space="preserve">         • Gugus Tiol (-SH) Cysteine                                  • Atom Oksigen &amp; Nitrogen Basa DNA</w:t>
      </w:r>
      <w:r>
        <w:br/>
      </w:r>
      <w:r>
        <w:rPr>
          <w:rFonts w:ascii="Consolas" w:hAnsi="Consolas" w:eastAsia="Consolas"/>
          <w:sz w:val="13"/>
        </w:rPr>
        <w:t xml:space="preserve">         • Glutation Intraseluler                                       (N7 Guanin, N3/N6 Adenin)</w:t>
      </w:r>
      <w:r>
        <w:br/>
      </w:r>
      <w:r>
        <w:rPr>
          <w:rFonts w:ascii="Consolas" w:hAnsi="Consolas" w:eastAsia="Consolas"/>
          <w:sz w:val="13"/>
        </w:rPr>
        <w:t xml:space="preserve">         • Protein Struktural (Tubulin)                     • Gugus Amino (-NH2) Lisin</w:t>
      </w:r>
      <w:r>
        <w:br/>
      </w:r>
      <w:r>
        <w:rPr>
          <w:rFonts w:ascii="Consolas" w:hAnsi="Consolas" w:eastAsia="Consolas"/>
          <w:sz w:val="13"/>
        </w:rPr>
        <w:t xml:space="preserve">                      │                                                           │</w:t>
      </w:r>
      <w:r>
        <w:br/>
      </w:r>
      <w:r>
        <w:rPr>
          <w:rFonts w:ascii="Consolas" w:hAnsi="Consolas" w:eastAsia="Consolas"/>
          <w:sz w:val="13"/>
        </w:rPr>
        <w:t xml:space="preserve">                      ▼                                                           ▼</w:t>
      </w:r>
      <w:r>
        <w:br/>
      </w:r>
      <w:r>
        <w:rPr>
          <w:rFonts w:ascii="Consolas" w:hAnsi="Consolas" w:eastAsia="Consolas"/>
          <w:sz w:val="13"/>
        </w:rPr>
        <w:t xml:space="preserve">             [ ADUK PROTEIN ]                                             [ ADUK DNA ]</w:t>
      </w:r>
      <w:r>
        <w:br/>
      </w:r>
      <w:r>
        <w:rPr>
          <w:rFonts w:ascii="Consolas" w:hAnsi="Consolas" w:eastAsia="Consolas"/>
          <w:sz w:val="13"/>
        </w:rPr>
        <w:t xml:space="preserve">         • Inaktivasi Enzim / Reseptor                                • Bulky DNA Adducts (BaP, Styrene)</w:t>
      </w:r>
      <w:r>
        <w:br/>
      </w:r>
      <w:r>
        <w:rPr>
          <w:rFonts w:ascii="Consolas" w:hAnsi="Consolas" w:eastAsia="Consolas"/>
          <w:sz w:val="13"/>
        </w:rPr>
        <w:t xml:space="preserve">         • Hilangnya Integritas Sitoskeleton                          • DNA-Protein Crosslinks (Cr VI, Formak)</w:t>
      </w:r>
      <w:r>
        <w:br/>
      </w:r>
      <w:r>
        <w:rPr>
          <w:rFonts w:ascii="Consolas" w:hAnsi="Consolas" w:eastAsia="Consolas"/>
          <w:sz w:val="13"/>
        </w:rPr>
        <w:t xml:space="preserve">         • Pembentukan Neoantigen (Alergi / Sensitisasi)        • Mutagenesis (Transisi/Transversi p53)</w:t>
      </w:r>
      <w:r>
        <w:br/>
      </w:r>
      <w:r>
        <w:rPr>
          <w:rFonts w:ascii="Consolas" w:hAnsi="Consolas" w:eastAsia="Consolas"/>
          <w:sz w:val="13"/>
        </w:rPr>
        <w:t xml:space="preserve">                                                                      • Karsinogenesis Okupasi</w:t>
      </w:r>
    </w:p>
    <w:p>
      <w:pPr>
        <w:pStyle w:val="Heading4"/>
      </w:pPr>
      <w:r>
        <w:t>a. Teori Elektrofilik Kimiawi (Pearson's HSAB Principle)</w:t>
      </w:r>
    </w:p>
    <w:p>
      <w:pPr>
        <w:spacing w:after="80"/>
      </w:pPr>
      <w:r>
        <w:rPr/>
        <w:t xml:space="preserve">Berdasarkan prinsip </w:t>
      </w:r>
      <w:r>
        <w:rPr>
          <w:i/>
        </w:rPr>
        <w:t>Hard and Soft Acids and Bases</w:t>
      </w:r>
      <w:r>
        <w:rPr/>
        <w:t xml:space="preserve"> (HSAB), makromolekul biologis kaya akan pusat-pusat nukleofilik:</w:t>
      </w:r>
    </w:p>
    <w:p>
      <w:pPr>
        <w:pStyle w:val="ListBullet"/>
        <w:spacing w:after="20"/>
      </w:pPr>
      <w:r>
        <w:rPr>
          <w:b/>
        </w:rPr>
        <w:t>Nukleofil Lunak (</w:t>
      </w:r>
      <w:r>
        <w:rPr>
          <w:b/>
          <w:i/>
        </w:rPr>
        <w:t>Soft Nucleophiles</w:t>
      </w:r>
      <w:r>
        <w:rPr>
          <w:b/>
        </w:rPr>
        <w:t>):</w:t>
      </w:r>
      <w:r>
        <w:rPr/>
        <w:t xml:space="preserve"> Atom dengan densitas muatan rendah dan polarisabilitas tinggi, terutama gugus sulfhidril/tiol (-SH) pada residu sistein protein dan molekul GSH. Nukleofil ini bereaksi preferensial dengan </w:t>
      </w:r>
      <w:r>
        <w:rPr>
          <w:b/>
        </w:rPr>
        <w:t>elektrofil lunak</w:t>
      </w:r>
      <w:r>
        <w:rPr/>
        <w:t>, seperti senyawa karbonil tak jenuh alfa-beta (akrolein, akrilamid) dan kuinon.</w:t>
      </w:r>
    </w:p>
    <w:p>
      <w:pPr>
        <w:pStyle w:val="ListBullet"/>
        <w:spacing w:after="20"/>
      </w:pPr>
      <w:r>
        <w:rPr>
          <w:b/>
        </w:rPr>
        <w:t>Nukleofil Keras (</w:t>
      </w:r>
      <w:r>
        <w:rPr>
          <w:b/>
          <w:i/>
        </w:rPr>
        <w:t>Hard Nucleophiles</w:t>
      </w:r>
      <w:r>
        <w:rPr>
          <w:b/>
        </w:rPr>
        <w:t>):</w:t>
      </w:r>
      <w:r>
        <w:rPr/>
        <w:t xml:space="preserve"> Atom dengan densitas muatan tinggi dan polarisabilitas rendah, terutama atom nitrogen dan oksigen pada basa purin/pirimidin asam nukleat (posisi </w:t>
      </w:r>
      <w:r>
        <w:rPr>
          <w:b/>
        </w:rPr>
        <w:t>N7 guanin, N3/N6 adenin, serta atom oksigen fosfodiester</w:t>
      </w:r>
      <w:r>
        <w:rPr/>
        <w:t xml:space="preserve">). Nukleofil ini bereaksi selektif dengan </w:t>
      </w:r>
      <w:r>
        <w:rPr>
          <w:b/>
        </w:rPr>
        <w:t>elektrofil keras</w:t>
      </w:r>
      <w:r>
        <w:rPr/>
        <w:t>, seperti ion karbokation, epoksida cincin aromatik, dan ion nitrenium.</w:t>
      </w:r>
    </w:p>
    <w:p>
      <w:pPr>
        <w:pStyle w:val="Heading4"/>
      </w:pPr>
      <w:r>
        <w:t>b. Aduk Protein (Protein Adducts) dan Dampak Fisiologis</w:t>
      </w:r>
    </w:p>
    <w:p>
      <w:pPr>
        <w:pStyle w:val="ListBullet"/>
        <w:spacing w:after="20"/>
      </w:pPr>
      <w:r>
        <w:rPr/>
        <w:t>Pengikatan kovalen elektrofil pada asam amino esensial enzim menyebabkan denaturasi atau inaktivasi fungsional.</w:t>
      </w:r>
    </w:p>
    <w:p>
      <w:pPr>
        <w:pStyle w:val="ListBullet"/>
        <w:spacing w:after="20"/>
      </w:pPr>
      <w:r>
        <w:rPr/>
        <w:t>Aduk asetaldehida pada mikrotubulus tubulin hepatosit mengganggu sekresi VLDL dan transpor intraseluler.</w:t>
      </w:r>
    </w:p>
    <w:p>
      <w:pPr>
        <w:pStyle w:val="ListBullet"/>
        <w:spacing w:after="20"/>
      </w:pPr>
      <w:r>
        <w:rPr/>
        <w:t xml:space="preserve">Modifikasi kovalen rantai polipeptida oleh zat kimia dengan berat molekul rendah dapat mengubah konformasi protein menjadi </w:t>
      </w:r>
      <w:r>
        <w:rPr>
          <w:b/>
        </w:rPr>
        <w:t>hapten / neoantigen</w:t>
      </w:r>
      <w:r>
        <w:rPr/>
        <w:t>, memicu reaksi imunologis hipersensitivitas tipe I (asma kerja) atau tipe IV (dermatitis kontak alergi).</w:t>
      </w:r>
    </w:p>
    <w:p>
      <w:pPr>
        <w:pStyle w:val="Heading4"/>
      </w:pPr>
      <w:r>
        <w:t>c. Aduk DNA dan Karsinogenesis Okupasi</w:t>
      </w:r>
    </w:p>
    <w:p>
      <w:pPr>
        <w:spacing w:after="40"/>
        <w:ind w:left="340" w:hanging="283"/>
      </w:pPr>
      <w:r>
        <w:rPr/>
        <w:t xml:space="preserve">1. </w:t>
      </w:r>
      <w:r>
        <w:rPr>
          <w:i/>
        </w:rPr>
        <w:t>Pembentukan DNA Adduct:</w:t>
      </w:r>
      <w:r>
        <w:rPr/>
        <w:t xml:space="preserve"> Metabolit reaktif membentuk ikatan kovalen stabil dengan basa nukleotida (misalnya metabolit </w:t>
      </w:r>
      <w:r>
        <w:rPr>
          <w:i/>
        </w:rPr>
        <w:t>diolepoxide</w:t>
      </w:r>
      <w:r>
        <w:rPr/>
        <w:t xml:space="preserve"> dari </w:t>
      </w:r>
      <w:r>
        <w:rPr>
          <w:b/>
        </w:rPr>
        <w:t>Benzo(a)pirena</w:t>
      </w:r>
      <w:r>
        <w:rPr/>
        <w:t xml:space="preserve"> mengikat gugus N² guanin, sedangkan </w:t>
      </w:r>
      <w:r>
        <w:rPr>
          <w:b/>
        </w:rPr>
        <w:t>Stirena oksida</w:t>
      </w:r>
      <w:r>
        <w:rPr/>
        <w:t xml:space="preserve"> mengalkilasi posisi N7 guanin).</w:t>
      </w:r>
    </w:p>
    <w:p>
      <w:pPr>
        <w:spacing w:after="40"/>
        <w:ind w:left="340" w:hanging="283"/>
      </w:pPr>
      <w:r>
        <w:rPr/>
        <w:t xml:space="preserve">2. </w:t>
      </w:r>
      <w:r>
        <w:rPr>
          <w:i/>
        </w:rPr>
        <w:t>DNA-Protein &amp; DNA-DNA Cross-linking:</w:t>
      </w:r>
      <w:r>
        <w:rPr/>
        <w:t xml:space="preserve"> Pengikatan bifungsional oleh zat seperti </w:t>
      </w:r>
      <w:r>
        <w:rPr>
          <w:b/>
        </w:rPr>
        <w:t>Kromium Heksavalen [Cr(VI)]</w:t>
      </w:r>
      <w:r>
        <w:rPr/>
        <w:t>, formaldehida, atau gas mustar menghubungkan rantai DNA dengan protein inti histon atau mengikat dua untai DNA yang berseberangan (</w:t>
      </w:r>
      <w:r>
        <w:rPr>
          <w:i/>
        </w:rPr>
        <w:t>interstrand cross-links</w:t>
      </w:r>
      <w:r>
        <w:rPr/>
        <w:t xml:space="preserve"> / ICLs).</w:t>
      </w:r>
    </w:p>
    <w:p>
      <w:pPr>
        <w:spacing w:after="40"/>
        <w:ind w:left="340" w:hanging="283"/>
      </w:pPr>
      <w:r>
        <w:rPr/>
        <w:t xml:space="preserve">3. </w:t>
      </w:r>
      <w:r>
        <w:rPr>
          <w:i/>
        </w:rPr>
        <w:t>Konsekuensi Biologis:</w:t>
      </w:r>
      <w:r>
        <w:rPr/>
        <w:t xml:space="preserve"> Hambatan mekanis replikasi DNA, salah pasang basa (</w:t>
      </w:r>
      <w:r>
        <w:rPr>
          <w:i/>
        </w:rPr>
        <w:t>mispairing</w:t>
      </w:r>
      <w:r>
        <w:rPr/>
        <w:t xml:space="preserve">), mutasi transisi atau transversi pada gen penekan tumor (seperti mutasi kodon pada gen </w:t>
      </w:r>
      <w:r>
        <w:rPr>
          <w:b/>
        </w:rPr>
        <w:t>TP53</w:t>
      </w:r>
      <w:r>
        <w:rPr/>
        <w:t>), amplifikasi onkogen (K-ras), memicu inisiasi neoplasma ganas.</w:t>
      </w:r>
    </w:p>
    <w:p>
      <w:pPr>
        <w:pStyle w:val="ListBullet"/>
        <w:spacing w:after="20"/>
      </w:pPr>
      <w:r>
        <w:rPr>
          <w:b/>
        </w:rPr>
        <w:t>Contoh Zat Okupasi:</w:t>
      </w:r>
      <w:r>
        <w:rPr/>
        <w:t xml:space="preserve"> </w:t>
      </w:r>
      <w:r>
        <w:rPr>
          <w:b/>
        </w:rPr>
        <w:t>Vinil Klorida Monomer</w:t>
      </w:r>
      <w:r>
        <w:rPr/>
        <w:t xml:space="preserve"> (membentuk eteno-DNA adducts), </w:t>
      </w:r>
      <w:r>
        <w:rPr>
          <w:b/>
        </w:rPr>
        <w:t>Benzena</w:t>
      </w:r>
      <w:r>
        <w:rPr/>
        <w:t xml:space="preserve"> (1,4-benzoquinon mengikat DNA dan protein mikrotubulus spindel), </w:t>
      </w:r>
      <w:r>
        <w:rPr>
          <w:b/>
        </w:rPr>
        <w:t>Kromium (VI)</w:t>
      </w:r>
      <w:r>
        <w:rPr/>
        <w:t xml:space="preserve">, dan </w:t>
      </w:r>
      <w:r>
        <w:rPr>
          <w:b/>
        </w:rPr>
        <w:t>Amina Aromatik (seperti Benzidin dan 2-Naftilamin)</w:t>
      </w:r>
      <w:r>
        <w:rPr/>
        <w:t>.</w:t>
      </w:r>
    </w:p>
    <w:p>
      <w:pPr>
        <w:pStyle w:val="ListBullet"/>
        <w:spacing w:after="20"/>
      </w:pPr>
      <w:r>
        <w:rPr>
          <w:b/>
        </w:rPr>
        <w:t>Implikasi Klinis:</w:t>
      </w:r>
      <w:r>
        <w:rPr/>
        <w:t xml:space="preserve"> Angiosarkoma hati (vinil klorida), Karsinoma Sel Transisional kandung kemih (amina aromatik), Leukemia Mieloid Akut (benzena), dan Kanker Paru Bronkogenik (PAH dan Cr VI).</w:t>
      </w:r>
    </w:p>
    <w:p>
      <w:pPr>
        <w:pStyle w:val="Heading3"/>
      </w:pPr>
      <w:r>
        <w:t>3. Inhibisi Enzim Spesifik (Enzyme Inhibition)</w:t>
      </w:r>
    </w:p>
    <w:p>
      <w:pPr>
        <w:spacing w:after="80"/>
      </w:pPr>
      <w:r>
        <w:rPr/>
        <w:t>Enzim adalah sasaran empuk toksikan industri melalui mekanisme pengikatan kovalen pada situs aktif, modifikasi gugus sulfhidril alosterik, maupun pendesakan kofaktor ion logam esensial.</w:t>
      </w:r>
    </w:p>
    <w:p>
      <w:pPr>
        <w:spacing w:after="120"/>
        <w:ind w:left="170"/>
      </w:pPr>
      <w:r>
        <w:rPr>
          <w:rFonts w:ascii="Consolas" w:hAnsi="Consolas" w:eastAsia="Consolas"/>
          <w:sz w:val="13"/>
        </w:rPr>
        <w:t xml:space="preserve">               [ MEKANISME INHIBISI ENZIM OLEH TOKSIKAN INDUSTRI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ASETILKOLINESTERASE (AChE) ]     [ ALAD (Heme Sintesis 2) ]     [ FERROCHELATASE (Heme Akhir) ]</w:t>
      </w:r>
      <w:r>
        <w:br/>
      </w:r>
      <w:r>
        <w:rPr>
          <w:rFonts w:ascii="Consolas" w:hAnsi="Consolas" w:eastAsia="Consolas"/>
          <w:sz w:val="13"/>
        </w:rPr>
        <w:t>• Inhibitor: Organofosfat (OP)    • Inhibitor: Timbal (Pb2+)     • Inhibitor: Timbal (Pb2+)</w:t>
      </w:r>
      <w:r>
        <w:br/>
      </w:r>
      <w:r>
        <w:rPr>
          <w:rFonts w:ascii="Consolas" w:hAnsi="Consolas" w:eastAsia="Consolas"/>
          <w:sz w:val="13"/>
        </w:rPr>
        <w:t xml:space="preserve">  dan Karbamat (CM)      • Mengusir kofaktor Zn2+ &amp;     • Hambat insersi Fe2+ ke cincin</w:t>
      </w:r>
      <w:r>
        <w:br/>
      </w:r>
      <w:r>
        <w:rPr>
          <w:rFonts w:ascii="Consolas" w:hAnsi="Consolas" w:eastAsia="Consolas"/>
          <w:sz w:val="13"/>
        </w:rPr>
        <w:t>• Fosforilasi Ser-203 di situs      ikat -SH sulfhidril    Protoporphyrin IX</w:t>
      </w:r>
      <w:r>
        <w:br/>
      </w:r>
      <w:r>
        <w:rPr>
          <w:rFonts w:ascii="Consolas" w:hAnsi="Consolas" w:eastAsia="Consolas"/>
          <w:sz w:val="13"/>
        </w:rPr>
        <w:t xml:space="preserve">  aktif esteratik    • Hambat kondensasi ALA jadi   • Terjadi kelasi alternatif</w:t>
      </w:r>
      <w:r>
        <w:br/>
      </w:r>
      <w:r>
        <w:rPr>
          <w:rFonts w:ascii="Consolas" w:hAnsi="Consolas" w:eastAsia="Consolas"/>
          <w:sz w:val="13"/>
        </w:rPr>
        <w:t>• Fenomena AGING (Dealkilasi)       porfobilinogen            dengan Zn2+ ──► Zn-Protoporphyrin</w:t>
      </w:r>
      <w:r>
        <w:br/>
      </w:r>
      <w:r>
        <w:rPr>
          <w:rFonts w:ascii="Consolas" w:hAnsi="Consolas" w:eastAsia="Consolas"/>
          <w:sz w:val="13"/>
        </w:rPr>
        <w:t xml:space="preserve">  Enzim terkunci permanen• Akumulasi ALA plasma &amp;          (ZPP) Terakumulasi</w:t>
      </w:r>
      <w:r>
        <w:br/>
      </w:r>
      <w:r>
        <w:rPr>
          <w:rFonts w:ascii="Consolas" w:hAnsi="Consolas" w:eastAsia="Consolas"/>
          <w:sz w:val="13"/>
        </w:rPr>
        <w:t>• Krisis Kolinergik Akut (SLUDGE)   urin (Neurotoksik) • Gangguan Pembentukan Heme &amp;</w:t>
      </w:r>
      <w:r>
        <w:br/>
      </w:r>
      <w:r>
        <w:rPr>
          <w:rFonts w:ascii="Consolas" w:hAnsi="Consolas" w:eastAsia="Consolas"/>
          <w:sz w:val="13"/>
        </w:rPr>
        <w:t xml:space="preserve">                   • Anemia Mikrositik        Masa Hidup Eritrosit Turun</w:t>
      </w:r>
    </w:p>
    <w:p>
      <w:pPr>
        <w:pStyle w:val="Heading4"/>
      </w:pPr>
      <w:r>
        <w:t>a. Asetilkolinesterase (AChE): Fosforilasi, Karbamilasi, dan Fenomena Aging</w:t>
      </w:r>
    </w:p>
    <w:p>
      <w:pPr>
        <w:pStyle w:val="ListBullet"/>
        <w:spacing w:after="20"/>
      </w:pPr>
      <w:r>
        <w:rPr>
          <w:b/>
        </w:rPr>
        <w:t>Fisiologi Normal:</w:t>
      </w:r>
      <w:r>
        <w:rPr/>
        <w:t xml:space="preserve"> Enzim serin hidrolase pada membran sinaps saraf dan </w:t>
      </w:r>
      <w:r>
        <w:rPr>
          <w:i/>
        </w:rPr>
        <w:t>neuromuscular junction</w:t>
      </w:r>
      <w:r>
        <w:rPr/>
        <w:t>. Mengkatalisis pemecahan neurotransmiter asetilkolin (ACh) menjadi kolin dan asam asetat dalam fraksi milidetik melalui asetilasi cepat residu katalitik serin (Ser-203) yang segera dideasetilasi oleh molekul air.</w:t>
      </w:r>
    </w:p>
    <w:p>
      <w:pPr>
        <w:pStyle w:val="ListBullet"/>
        <w:spacing w:after="20"/>
      </w:pPr>
      <w:r>
        <w:rPr>
          <w:b/>
        </w:rPr>
        <w:t>Mekanisme Hambatan:</w:t>
      </w:r>
    </w:p>
    <w:p>
      <w:pPr>
        <w:spacing w:after="40"/>
        <w:ind w:left="680" w:hanging="283"/>
      </w:pPr>
      <w:r>
        <w:rPr/>
        <w:t xml:space="preserve">1. </w:t>
      </w:r>
      <w:r>
        <w:rPr>
          <w:i/>
        </w:rPr>
        <w:t>Organofosfat (OP) — Inhibisi Semu-Ireversibel:</w:t>
      </w:r>
      <w:r>
        <w:rPr/>
        <w:t xml:space="preserve"> Bentuk aktif "okson" dari OP (seperti klorpirifos-okson, paraokson) memfosforilasi gugus hidroksil Ser-203 pada situs esteratik enzim, menghasilkan ikatan fosfoseril yang sangat stabil dan sangat lambat mengalami hidrolisis spontan.</w:t>
      </w:r>
    </w:p>
    <w:p>
      <w:pPr>
        <w:spacing w:after="40"/>
        <w:ind w:left="680" w:hanging="283"/>
      </w:pPr>
      <w:r>
        <w:rPr/>
        <w:t xml:space="preserve">2. </w:t>
      </w:r>
      <w:r>
        <w:rPr>
          <w:i/>
        </w:rPr>
        <w:t>Karbamat (CM) — Inhibisi Reversibel:</w:t>
      </w:r>
      <w:r>
        <w:rPr/>
        <w:t xml:space="preserve"> Karbamat (karbaril, aldikarb, propoksur) mengkarbamilasi Ser-203. Enzim terkarbamilasi ini mengalami hidrolisis spontan yang jauh lebih cepat (hitungan jam), sehingga inhibisinya bersifat reversibel klinis dan pemulihan enzim berlangsung lebih dinamis.</w:t>
      </w:r>
    </w:p>
    <w:p>
      <w:pPr>
        <w:pStyle w:val="ListBullet"/>
        <w:spacing w:after="20"/>
      </w:pPr>
      <w:r>
        <w:rPr>
          <w:b/>
        </w:rPr>
        <w:t>Fenomena Aging (Penuaan Enzim OP):</w:t>
      </w:r>
      <w:r>
        <w:rPr/>
        <w:t xml:space="preserve"> Enzim yang terfosforilasi dapat mengalami pelepasan spontan salah satu gugus alkil pada residu fosfor (</w:t>
      </w:r>
      <w:r>
        <w:rPr>
          <w:i/>
        </w:rPr>
        <w:t>net loss of an alkyl group</w:t>
      </w:r>
      <w:r>
        <w:rPr/>
        <w:t xml:space="preserve"> via hidrolisis non-enzimatik). Reaksi ini meninggalkan gugus fosforil bermuatan negatif yang terikat kuat pada kantung aktif enzim. </w:t>
      </w:r>
      <w:r>
        <w:rPr>
          <w:b/>
        </w:rPr>
        <w:t>Enzim yang telah mengalami "aged" terkunci secara permanen dan tidak dapat lagi direaktivasi oleh obat penawar nukleofilik seperti oksim (Pralidoksim / 2-PAM)</w:t>
      </w:r>
      <w:r>
        <w:rPr/>
        <w:t>.</w:t>
      </w:r>
    </w:p>
    <w:p>
      <w:pPr>
        <w:pStyle w:val="ListBullet"/>
        <w:spacing w:after="20"/>
      </w:pPr>
      <w:r>
        <w:rPr>
          <w:b/>
        </w:rPr>
        <w:t>Implikasi Klinis:</w:t>
      </w:r>
      <w:r>
        <w:rPr/>
        <w:t xml:space="preserve"> Akumulasi masif asetilkolin di seluruh reseptor muskarinik dan nikotinik memicu </w:t>
      </w:r>
      <w:r>
        <w:rPr>
          <w:b/>
        </w:rPr>
        <w:t>Krisis Kolinergik Akut</w:t>
      </w:r>
      <w:r>
        <w:rPr/>
        <w:t xml:space="preserve">: hipersekresi bronkus, bronkospasme, bradikardia, miosis, lakrimasi, salivasi, diare (sindrom muskarinik), fasikulasi otot lurik dan paralisis flaksid diafragma (sindrom nikotinik), serta henti napas sentral. Sebagian OP juga menginhibisi enzim </w:t>
      </w:r>
      <w:r>
        <w:rPr>
          <w:i/>
        </w:rPr>
        <w:t>Neuropathy Target Esterase</w:t>
      </w:r>
      <w:r>
        <w:rPr/>
        <w:t xml:space="preserve"> (NTE), memicu paralisis motorik distal yang muncul lambat 1–3 minggu pasca-pajanan (</w:t>
      </w:r>
      <w:r>
        <w:rPr>
          <w:i/>
        </w:rPr>
        <w:t>Organophosphate-Induced Delayed Polyneuropathy</w:t>
      </w:r>
      <w:r>
        <w:rPr/>
        <w:t xml:space="preserve"> / OPIDN).</w:t>
      </w:r>
    </w:p>
    <w:p>
      <w:pPr>
        <w:pStyle w:val="Heading4"/>
      </w:pPr>
      <w:r>
        <w:t>b. Delta-Aminolevulinic Acid Dehydratase (ALAD)</w:t>
      </w:r>
    </w:p>
    <w:p>
      <w:pPr>
        <w:pStyle w:val="ListBullet"/>
        <w:spacing w:after="20"/>
      </w:pPr>
      <w:r>
        <w:rPr>
          <w:b/>
        </w:rPr>
        <w:t>Mekanisme Hambatan oleh Timbal (Pb²⁺):</w:t>
      </w:r>
      <w:r>
        <w:rPr/>
        <w:t xml:space="preserve"> ALAD adalah enzim homo-oktamer sitosol eritroblas yang bergantung pada kofaktor seng (Zn²⁺) untuk mengkatalisis kondensasi dua molekul asam delta-aminolevulinat (ALA) menjadi porfobilinogen dalam biosintesis heme. Ion timbal memiliki afinitas pengikatan yang sangat kuat terhadap gugus sulfhidril (-SH) situs aktif enzim serta </w:t>
      </w:r>
      <w:r>
        <w:rPr>
          <w:b/>
        </w:rPr>
        <w:t>mendesak keluar kofaktor Zn²⁺</w:t>
      </w:r>
      <w:r>
        <w:rPr/>
        <w:t>.</w:t>
      </w:r>
    </w:p>
    <w:p>
      <w:pPr>
        <w:pStyle w:val="ListBullet"/>
        <w:spacing w:after="20"/>
      </w:pPr>
      <w:r>
        <w:rPr>
          <w:b/>
        </w:rPr>
        <w:t>Karakteristik &amp; Reversibilitas:</w:t>
      </w:r>
      <w:r>
        <w:rPr/>
        <w:t xml:space="preserve"> Enzim ALAD sangat sensitif dan terinhibisi sejak kadar Timbal Darah (Pb-B) serendah 5–10 µg/dL. Penekanan enzim dapat dipulihkan secara </w:t>
      </w:r>
      <w:r>
        <w:rPr>
          <w:i/>
        </w:rPr>
        <w:t>in vitro</w:t>
      </w:r>
      <w:r>
        <w:rPr/>
        <w:t xml:space="preserve"> dengan penambahan ion seng atau senyawa tiol ditiotreitol (DTT).</w:t>
      </w:r>
    </w:p>
    <w:p>
      <w:pPr>
        <w:pStyle w:val="ListBullet"/>
        <w:spacing w:after="20"/>
      </w:pPr>
      <w:r>
        <w:rPr>
          <w:b/>
        </w:rPr>
        <w:t>Implikasi Klinis:</w:t>
      </w:r>
      <w:r>
        <w:rPr/>
        <w:t xml:space="preserve"> Kegagalan pembentukan porfobilinogen menyebabkan </w:t>
      </w:r>
      <w:r>
        <w:rPr>
          <w:b/>
        </w:rPr>
        <w:t>akumulasi asam delta-aminolevulinat (ALA) di sirkulasi plasma dan urin</w:t>
      </w:r>
      <w:r>
        <w:rPr/>
        <w:t>. Kelebihan ALA bersifat neurotoksik sentral karena memiliki analogi struktural dengan neurotransmiter GABA.</w:t>
      </w:r>
    </w:p>
    <w:p>
      <w:pPr>
        <w:pStyle w:val="Heading4"/>
      </w:pPr>
      <w:r>
        <w:t>c. Ferrochelatase (FECH) dan Akumulasi Zinc Protoporphyrin (ZPP)</w:t>
      </w:r>
    </w:p>
    <w:p>
      <w:pPr>
        <w:pStyle w:val="ListBullet"/>
        <w:spacing w:after="20"/>
      </w:pPr>
      <w:r>
        <w:rPr>
          <w:b/>
        </w:rPr>
        <w:t>Mekanisme Hambatan oleh Timbal (Pb²⁺):</w:t>
      </w:r>
      <w:r>
        <w:rPr/>
        <w:t xml:space="preserve"> Ferrochelatase adalah enzim mikrosomal mitokondria yang mengkatalisis insersi ion besi ferro (Fe²⁺) ke dalam cincin protoporfirin IX pada langkah akhir biosintesis heme. Timbal menginhibisi enzim ini secara langsung dan mengganggu transpor besi ke mitokondria.</w:t>
      </w:r>
    </w:p>
    <w:p>
      <w:pPr>
        <w:pStyle w:val="ListBullet"/>
        <w:spacing w:after="20"/>
      </w:pPr>
      <w:r>
        <w:rPr>
          <w:b/>
        </w:rPr>
        <w:t>Pembentukan Zinc Protoporphyrin (ZPP):</w:t>
      </w:r>
      <w:r>
        <w:rPr/>
        <w:t xml:space="preserve"> Akibat ketiadaan insersi besi, protoporfirin IX bebas yang menumpuk bereaksi dengan ion seng plasma (Zn²⁺) secara enzimatik maupun non-enzimatik membentuk </w:t>
      </w:r>
      <w:r>
        <w:rPr>
          <w:b/>
        </w:rPr>
        <w:t>Zinc Protoporphyrin (ZPP)</w:t>
      </w:r>
      <w:r>
        <w:rPr/>
        <w:t>. Molekul ZPP terikat secara stabil di dalam eritrosit sepanjang masa hidupnya (~120 hari).</w:t>
      </w:r>
    </w:p>
    <w:p>
      <w:pPr>
        <w:pStyle w:val="ListBullet"/>
        <w:spacing w:after="20"/>
      </w:pPr>
      <w:r>
        <w:rPr>
          <w:b/>
        </w:rPr>
        <w:t>Implikasi Klinis:</w:t>
      </w:r>
      <w:r>
        <w:rPr/>
        <w:t xml:space="preserve"> Penurunan sintesis heme menghasilkan </w:t>
      </w:r>
      <w:r>
        <w:rPr>
          <w:b/>
        </w:rPr>
        <w:t>anemia mikrositik hipokromik</w:t>
      </w:r>
      <w:r>
        <w:rPr/>
        <w:t xml:space="preserve"> disertai gambaran </w:t>
      </w:r>
      <w:r>
        <w:rPr>
          <w:i/>
        </w:rPr>
        <w:t>basophilic stippling</w:t>
      </w:r>
      <w:r>
        <w:rPr/>
        <w:t xml:space="preserve"> pada apusan darah tepi. Pengukuran ZPP digunakan sebagai biomarker efek biologis untuk membedakan pajanan timbal kronis kumulatif versus pajanan akut.</w:t>
      </w:r>
    </w:p>
    <w:p>
      <w:pPr>
        <w:pStyle w:val="Heading3"/>
      </w:pPr>
      <w:r>
        <w:t>4. Gangguan Transpor Oksigen (Oxygen Transport Impairment)</w:t>
      </w:r>
    </w:p>
    <w:p>
      <w:pPr>
        <w:spacing w:after="80"/>
      </w:pPr>
      <w:r>
        <w:rPr/>
        <w:t>Xenobiotik okupasi dapat mengganggu kapasitas fungsional pigmen pembawa gas darah melalui modifikasi struktur tetramer hemoglobin (Hb), menghasilkan anemia fungsional dan hipoksia anoksik sistemik berat.</w:t>
      </w:r>
    </w:p>
    <w:p>
      <w:pPr>
        <w:spacing w:after="120"/>
        <w:ind w:left="170"/>
      </w:pPr>
      <w:r>
        <w:rPr>
          <w:rFonts w:ascii="Consolas" w:hAnsi="Consolas" w:eastAsia="Consolas"/>
          <w:sz w:val="13"/>
        </w:rPr>
        <w:t xml:space="preserve">                                  [ SPESIES HEMOGLOBIN ABNORMAL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KARBOKSIHEMOGLOBIN (COHb) ]           [ METHEMOGLOBIN (MetHb) ]               [ SULFHEMOGLOBIN (SulfHb) ]</w:t>
      </w:r>
      <w:r>
        <w:br/>
      </w:r>
      <w:r>
        <w:rPr>
          <w:rFonts w:ascii="Consolas" w:hAnsi="Consolas" w:eastAsia="Consolas"/>
          <w:sz w:val="13"/>
        </w:rPr>
        <w:t>• Pengikatan Gas CO pada Heme           • Oksidasi Fe2+ (Ferro) menjadi         • Sulfur terikat kovalen pada</w:t>
      </w:r>
      <w:r>
        <w:br/>
      </w:r>
      <w:r>
        <w:rPr>
          <w:rFonts w:ascii="Consolas" w:hAnsi="Consolas" w:eastAsia="Consolas"/>
          <w:sz w:val="13"/>
        </w:rPr>
        <w:t xml:space="preserve">  (Afinitas ~210–240x &gt; O2)       Fe3+ (Ferri) di Heme          cincin porfirin heme</w:t>
      </w:r>
      <w:r>
        <w:br/>
      </w:r>
      <w:r>
        <w:rPr>
          <w:rFonts w:ascii="Consolas" w:hAnsi="Consolas" w:eastAsia="Consolas"/>
          <w:sz w:val="13"/>
        </w:rPr>
        <w:t>• Hambat ikatan O2 &amp; geser kurva        • Heme Ferri TIDAK DAPAT mengikat       • Struktur pigmen hijau stabil</w:t>
      </w:r>
      <w:r>
        <w:br/>
      </w:r>
      <w:r>
        <w:rPr>
          <w:rFonts w:ascii="Consolas" w:hAnsi="Consolas" w:eastAsia="Consolas"/>
          <w:sz w:val="13"/>
        </w:rPr>
        <w:t xml:space="preserve">  disosiasi oksi-Hb ke KIRI       O2; geser kurva ke KIRI       selama hidup eritrosit</w:t>
      </w:r>
      <w:r>
        <w:br/>
      </w:r>
      <w:r>
        <w:rPr>
          <w:rFonts w:ascii="Consolas" w:hAnsi="Consolas" w:eastAsia="Consolas"/>
          <w:sz w:val="13"/>
        </w:rPr>
        <w:t>• Darah: Merah terang / Cherry-red      • Darah: Cokelat gelap (Chocolate)      • Tidak mempan dengan Methylene</w:t>
      </w:r>
      <w:r>
        <w:br/>
      </w:r>
      <w:r>
        <w:rPr>
          <w:rFonts w:ascii="Consolas" w:hAnsi="Consolas" w:eastAsia="Consolas"/>
          <w:sz w:val="13"/>
        </w:rPr>
        <w:t>• Penginduksi: Gas CO, Diklorometana    • Penginduksi: Anilin, Nitrobenzena,      Blue; akibat H2S / aromatik</w:t>
      </w:r>
      <w:r>
        <w:br/>
      </w:r>
      <w:r>
        <w:rPr>
          <w:rFonts w:ascii="Consolas" w:hAnsi="Consolas" w:eastAsia="Consolas"/>
          <w:sz w:val="13"/>
        </w:rPr>
        <w:t xml:space="preserve">  (DCM/Metilen klorida via CYP2E1)        Nitrit, Gas NO     • Sianosis kehijauan persisten,</w:t>
      </w:r>
      <w:r>
        <w:br/>
      </w:r>
      <w:r>
        <w:rPr>
          <w:rFonts w:ascii="Consolas" w:hAnsi="Consolas" w:eastAsia="Consolas"/>
          <w:sz w:val="13"/>
        </w:rPr>
        <w:t xml:space="preserve">                         • Terapi: Methylene Blue + O2             Kapasitas angkut O2 runtuh</w:t>
      </w:r>
    </w:p>
    <w:p>
      <w:pPr>
        <w:pStyle w:val="Heading4"/>
      </w:pPr>
      <w:r>
        <w:t>a. Karboksihemoglobin (COHb)</w:t>
      </w:r>
    </w:p>
    <w:p>
      <w:pPr>
        <w:pStyle w:val="ListBullet"/>
        <w:spacing w:after="20"/>
      </w:pPr>
      <w:r>
        <w:rPr>
          <w:b/>
        </w:rPr>
        <w:t>Patofisiologi Ikatan:</w:t>
      </w:r>
      <w:r>
        <w:rPr/>
        <w:t xml:space="preserve"> Karbon monoksida (CO) berikatan pada situs koordinasi besi yang sama dengan oksigen pada molekul hemoglobin dengan </w:t>
      </w:r>
      <w:r>
        <w:rPr>
          <w:b/>
        </w:rPr>
        <w:t>afinitas sekitar 210 hingga 240 kali lipat lebih kuat dibandingkan oksigen</w:t>
      </w:r>
      <w:r>
        <w:rPr/>
        <w:t>.</w:t>
      </w:r>
    </w:p>
    <w:p>
      <w:pPr>
        <w:pStyle w:val="ListBullet"/>
        <w:spacing w:after="20"/>
      </w:pPr>
      <w:r>
        <w:rPr>
          <w:b/>
        </w:rPr>
        <w:t>Dua Efek Fatal Hipoksia:</w:t>
      </w:r>
    </w:p>
    <w:p>
      <w:pPr>
        <w:spacing w:after="40"/>
        <w:ind w:left="680" w:hanging="283"/>
      </w:pPr>
      <w:r>
        <w:rPr/>
        <w:t xml:space="preserve">1. </w:t>
      </w:r>
      <w:r>
        <w:rPr>
          <w:i/>
        </w:rPr>
        <w:t>Penurunan Kapasitas Angkut:</w:t>
      </w:r>
      <w:r>
        <w:rPr/>
        <w:t xml:space="preserve"> CO merebut situs pengikatan oksigen secara kompetitif sehingga saturasi oksigen darah fungsional merosot tajam.</w:t>
      </w:r>
    </w:p>
    <w:p>
      <w:pPr>
        <w:spacing w:after="40"/>
        <w:ind w:left="680" w:hanging="283"/>
      </w:pPr>
      <w:r>
        <w:rPr/>
        <w:t xml:space="preserve">2. </w:t>
      </w:r>
      <w:r>
        <w:rPr>
          <w:i/>
        </w:rPr>
        <w:t>Efek Haldane / Pergeseran Kurva Disosiasi ke Kiri:</w:t>
      </w:r>
      <w:r>
        <w:rPr/>
        <w:t xml:space="preserve"> Keberadaan molekul CO pada satu atau lebih subunit tetramer hemoglobin meningkatkan afinitas subunit heme yang tersisa terhadap molekul oksigen yang sudah terikat, </w:t>
      </w:r>
      <w:r>
        <w:rPr>
          <w:b/>
        </w:rPr>
        <w:t>menggeser kurva disosiasi oksihemoglobin secara drastis ke arah KIRI</w:t>
      </w:r>
      <w:r>
        <w:rPr/>
        <w:t>. Akibatnya, hemoglobin menahan oksigen dan menolak melepaskannya (</w:t>
      </w:r>
      <w:r>
        <w:rPr>
          <w:i/>
        </w:rPr>
        <w:t>failure of unloading</w:t>
      </w:r>
      <w:r>
        <w:rPr/>
        <w:t>) ke jaringan perifer yang mengalami asidosis dan hipoksia.</w:t>
      </w:r>
    </w:p>
    <w:p>
      <w:pPr>
        <w:pStyle w:val="ListBullet"/>
        <w:spacing w:after="20"/>
      </w:pPr>
      <w:r>
        <w:rPr>
          <w:b/>
        </w:rPr>
        <w:t>Sumber Pajanan Okupasi:</w:t>
      </w:r>
      <w:r>
        <w:rPr/>
        <w:t xml:space="preserve"> Pembakaran tak sempurna mesin industri, asap genset, pekerjaan peleburan logam, serta </w:t>
      </w:r>
      <w:r>
        <w:rPr>
          <w:b/>
        </w:rPr>
        <w:t>biotransformasi pelarut diklorometana (metilen klorida)</w:t>
      </w:r>
      <w:r>
        <w:rPr/>
        <w:t xml:space="preserve"> di hepar melalui enzim CYP2E1 yang menghasilkan molekul CO endogen secara berkelanjutan.</w:t>
      </w:r>
    </w:p>
    <w:p>
      <w:pPr>
        <w:pStyle w:val="ListBullet"/>
        <w:spacing w:after="20"/>
      </w:pPr>
      <w:r>
        <w:rPr>
          <w:b/>
        </w:rPr>
        <w:t>Korelasi Klinis Tingkat Darah:</w:t>
      </w:r>
    </w:p>
    <w:p>
      <w:pPr>
        <w:pStyle w:val="ListBullet2"/>
        <w:spacing w:after="20"/>
      </w:pPr>
      <w:r>
        <w:rPr>
          <w:i/>
        </w:rPr>
        <w:t>COHb 5%–10%:</w:t>
      </w:r>
      <w:r>
        <w:rPr/>
        <w:t xml:space="preserve"> Ambang batas keluhan pusing ringan dan penurunan toleransi latihan kardiovaskular pada pekerja berpenyakit arteri koroner.</w:t>
      </w:r>
    </w:p>
    <w:p>
      <w:pPr>
        <w:pStyle w:val="ListBullet2"/>
        <w:spacing w:after="20"/>
      </w:pPr>
      <w:r>
        <w:rPr>
          <w:i/>
        </w:rPr>
        <w:t>COHb 15%–30%:</w:t>
      </w:r>
      <w:r>
        <w:rPr/>
        <w:t xml:space="preserve"> Sakit kepala berdenyut hebat, vertigo, kebingungan mental, gangguan penglihatan, dan defisit koordinasi motorik manual.</w:t>
      </w:r>
    </w:p>
    <w:p>
      <w:pPr>
        <w:pStyle w:val="ListBullet2"/>
        <w:spacing w:after="20"/>
      </w:pPr>
      <w:r>
        <w:rPr>
          <w:i/>
        </w:rPr>
        <w:t>COHb &gt;50%–70%:</w:t>
      </w:r>
      <w:r>
        <w:rPr/>
        <w:t xml:space="preserve"> Kejang umum, sinkop, koma, aritmia fatal, depresi napas, hingga kematian.</w:t>
      </w:r>
    </w:p>
    <w:p>
      <w:pPr>
        <w:pStyle w:val="ListBullet2"/>
        <w:spacing w:after="20"/>
      </w:pPr>
      <w:r>
        <w:rPr>
          <w:i/>
        </w:rPr>
        <w:t>Tanda Klinis Khas:</w:t>
      </w:r>
      <w:r>
        <w:rPr/>
        <w:t xml:space="preserve"> Warna kulit dan membran mukosa tampak </w:t>
      </w:r>
      <w:r>
        <w:rPr>
          <w:b/>
        </w:rPr>
        <w:t>merah terang seperti buah ceri (</w:t>
      </w:r>
      <w:r>
        <w:rPr>
          <w:b/>
          <w:i/>
        </w:rPr>
        <w:t>cherry-red skin</w:t>
      </w:r>
      <w:r>
        <w:rPr>
          <w:b/>
        </w:rPr>
        <w:t>)</w:t>
      </w:r>
      <w:r>
        <w:rPr/>
        <w:t>, yang disebabkan oleh warna merah menyala dari pigmen COHb.</w:t>
      </w:r>
    </w:p>
    <w:p>
      <w:pPr>
        <w:pStyle w:val="Heading4"/>
      </w:pPr>
      <w:r>
        <w:t>b. Methemoglobin (MetHb)</w:t>
      </w:r>
    </w:p>
    <w:p>
      <w:pPr>
        <w:pStyle w:val="ListBullet"/>
        <w:spacing w:after="20"/>
      </w:pPr>
      <w:r>
        <w:rPr>
          <w:b/>
        </w:rPr>
        <w:t>Patofisiologi Molekuler:</w:t>
      </w:r>
      <w:r>
        <w:rPr/>
        <w:t xml:space="preserve"> Terjadi oksidasi atom besi heme dari </w:t>
      </w:r>
      <w:r>
        <w:rPr>
          <w:b/>
        </w:rPr>
        <w:t>bentuk ferro (Fe²⁺) yang fungsional menjadi bentuk ferri (Fe³⁺) yang non-fungsional</w:t>
      </w:r>
      <w:r>
        <w:rPr/>
        <w:t>.</w:t>
      </w:r>
    </w:p>
    <w:p>
      <w:pPr>
        <w:pStyle w:val="ListBullet"/>
        <w:spacing w:after="20"/>
      </w:pPr>
      <w:r>
        <w:rPr>
          <w:b/>
        </w:rPr>
        <w:t>Disfungsi Fisiologis:</w:t>
      </w:r>
      <w:r>
        <w:rPr/>
        <w:t xml:space="preserve"> Ion ferri (Fe³⁺) </w:t>
      </w:r>
      <w:r>
        <w:rPr>
          <w:b/>
        </w:rPr>
        <w:t>kehilangan kemampuan biologis untuk mengikat molekul oksigen</w:t>
      </w:r>
      <w:r>
        <w:rPr/>
        <w:t>. Selain itu, subunit tetramer ferri menyebabkan perubahan alosterik yang menggeser kurva disosiasi oksi-Hb subunit ferro yang tersisa ke arah kiri, memperparah hipoksia seluler jaringan perifer.</w:t>
      </w:r>
    </w:p>
    <w:p>
      <w:pPr>
        <w:pStyle w:val="ListBullet"/>
        <w:spacing w:after="20"/>
      </w:pPr>
      <w:r>
        <w:rPr>
          <w:b/>
        </w:rPr>
        <w:t>Regenerasi Fisiologis:</w:t>
      </w:r>
      <w:r>
        <w:rPr/>
        <w:t xml:space="preserve"> Sel darah merah normal memiliki enzim </w:t>
      </w:r>
      <w:r>
        <w:rPr>
          <w:b/>
        </w:rPr>
        <w:t>NADH-sitokrom b₅ methemoglobin reduktase</w:t>
      </w:r>
      <w:r>
        <w:rPr/>
        <w:t xml:space="preserve"> yang secara konstan mereduksi MetHb kembali menjadi Hb ferro aktif sehingga kadar MetHb fisiologis selalu terkontrol di bawah 1%–2%.</w:t>
      </w:r>
    </w:p>
    <w:p>
      <w:pPr>
        <w:pStyle w:val="ListBullet"/>
        <w:spacing w:after="20"/>
      </w:pPr>
      <w:r>
        <w:rPr>
          <w:b/>
        </w:rPr>
        <w:t>Agen Penginduksi Okupasi:</w:t>
      </w:r>
    </w:p>
    <w:p>
      <w:pPr>
        <w:pStyle w:val="ListBullet2"/>
        <w:spacing w:after="20"/>
      </w:pPr>
      <w:r>
        <w:rPr/>
        <w:t xml:space="preserve">Senyawa amina aromatik: </w:t>
      </w:r>
      <w:r>
        <w:rPr>
          <w:b/>
        </w:rPr>
        <w:t>Anilin, o-anisidin, toluidin</w:t>
      </w:r>
      <w:r>
        <w:rPr/>
        <w:t>.</w:t>
      </w:r>
    </w:p>
    <w:p>
      <w:pPr>
        <w:pStyle w:val="ListBullet2"/>
        <w:spacing w:after="20"/>
      </w:pPr>
      <w:r>
        <w:rPr/>
        <w:t xml:space="preserve">Senyawa nitro aromatik: </w:t>
      </w:r>
      <w:r>
        <w:rPr>
          <w:b/>
        </w:rPr>
        <w:t>Nitrobenzena, 4-nitroanilin, dinitrobenzena</w:t>
      </w:r>
      <w:r>
        <w:rPr/>
        <w:t>.</w:t>
      </w:r>
    </w:p>
    <w:p>
      <w:pPr>
        <w:pStyle w:val="ListBullet2"/>
        <w:spacing w:after="20"/>
      </w:pPr>
      <w:r>
        <w:rPr/>
        <w:t xml:space="preserve">Senyawa nitrit dan oksida nitrogen: </w:t>
      </w:r>
      <w:r>
        <w:rPr>
          <w:b/>
        </w:rPr>
        <w:t>Nitrit anorganik, Nitric Oxide (NO), Nitrogen Trifluorida (NF₃)</w:t>
      </w:r>
      <w:r>
        <w:rPr/>
        <w:t>.</w:t>
      </w:r>
    </w:p>
    <w:p>
      <w:pPr>
        <w:pStyle w:val="ListBullet"/>
        <w:spacing w:after="20"/>
      </w:pPr>
      <w:r>
        <w:rPr>
          <w:b/>
        </w:rPr>
        <w:t>Manifestasi Klinis &amp; Diagnostik:</w:t>
      </w:r>
    </w:p>
    <w:p>
      <w:pPr>
        <w:pStyle w:val="ListBullet2"/>
        <w:spacing w:after="20"/>
      </w:pPr>
      <w:r>
        <w:rPr>
          <w:i/>
        </w:rPr>
        <w:t>MetHb 10%–20%:</w:t>
      </w:r>
      <w:r>
        <w:rPr/>
        <w:t xml:space="preserve"> Terlihat </w:t>
      </w:r>
      <w:r>
        <w:rPr>
          <w:b/>
        </w:rPr>
        <w:t>sianosis perifer/sentral yang nyata</w:t>
      </w:r>
      <w:r>
        <w:rPr/>
        <w:t xml:space="preserve"> (warna abu-abu kebiruan pada bibir dan kuku) yang </w:t>
      </w:r>
      <w:r>
        <w:rPr>
          <w:b/>
        </w:rPr>
        <w:t>tidak merespons terapi oksigen tinggi (</w:t>
      </w:r>
      <w:r>
        <w:rPr>
          <w:b/>
          <w:i/>
        </w:rPr>
        <w:t>refractory cyanosis</w:t>
      </w:r>
      <w:r>
        <w:rPr>
          <w:b/>
        </w:rPr>
        <w:t>)</w:t>
      </w:r>
      <w:r>
        <w:rPr/>
        <w:t>.</w:t>
      </w:r>
    </w:p>
    <w:p>
      <w:pPr>
        <w:pStyle w:val="ListBullet2"/>
        <w:spacing w:after="20"/>
      </w:pPr>
      <w:r>
        <w:rPr>
          <w:i/>
        </w:rPr>
        <w:t>MetHb 30%–50%:</w:t>
      </w:r>
      <w:r>
        <w:rPr/>
        <w:t xml:space="preserve"> Sesak napas hebat (</w:t>
      </w:r>
      <w:r>
        <w:rPr>
          <w:i/>
        </w:rPr>
        <w:t>dyspnea</w:t>
      </w:r>
      <w:r>
        <w:rPr/>
        <w:t>), takikardia, kelemahan ekstrem, asidosis metabolik, dan penurunan kesadaran.</w:t>
      </w:r>
    </w:p>
    <w:p>
      <w:pPr>
        <w:pStyle w:val="ListBullet2"/>
        <w:spacing w:after="20"/>
      </w:pPr>
      <w:r>
        <w:rPr>
          <w:i/>
        </w:rPr>
        <w:t>MetHb &gt;70%:</w:t>
      </w:r>
      <w:r>
        <w:rPr/>
        <w:t>: Koma berat, kolaps sirkulasi, dan mortalitas tinggi.</w:t>
      </w:r>
    </w:p>
    <w:p>
      <w:pPr>
        <w:pStyle w:val="ListBullet2"/>
        <w:spacing w:after="20"/>
      </w:pPr>
      <w:r>
        <w:rPr>
          <w:i/>
        </w:rPr>
        <w:t>Ciri Diagnostik Khas:</w:t>
      </w:r>
      <w:r>
        <w:rPr/>
        <w:t xml:space="preserve"> Darah vena yang diambil melalui flebotomi berwarna </w:t>
      </w:r>
      <w:r>
        <w:rPr>
          <w:b/>
        </w:rPr>
        <w:t>cokelat gelap seperti cokelat batangan (</w:t>
      </w:r>
      <w:r>
        <w:rPr>
          <w:b/>
          <w:i/>
        </w:rPr>
        <w:t>chocolate brown blood</w:t>
      </w:r>
      <w:r>
        <w:rPr>
          <w:b/>
        </w:rPr>
        <w:t>)</w:t>
      </w:r>
      <w:r>
        <w:rPr/>
        <w:t xml:space="preserve"> yang tidak berubah merah saat dikocok atau diaerasi dengan oksigen murni.</w:t>
      </w:r>
    </w:p>
    <w:p>
      <w:pPr>
        <w:pStyle w:val="ListBullet2"/>
        <w:spacing w:after="20"/>
      </w:pPr>
      <w:r>
        <w:rPr>
          <w:i/>
        </w:rPr>
        <w:t>Tatalaksana Antidotum:</w:t>
      </w:r>
      <w:r>
        <w:rPr/>
        <w:t xml:space="preserve"> Pemberian reduktor donor elektron </w:t>
      </w:r>
      <w:r>
        <w:rPr>
          <w:b/>
        </w:rPr>
        <w:t>Metilen Biru (Methylene Blue 1%)</w:t>
      </w:r>
      <w:r>
        <w:rPr/>
        <w:t xml:space="preserve"> secara intravena yang bekerja mengaktifkan jalur alternatif NADPH-methemoglobin reduktase via donor NADPH dari G6PD.</w:t>
      </w:r>
    </w:p>
    <w:p>
      <w:pPr>
        <w:pStyle w:val="Heading4"/>
      </w:pPr>
      <w:r>
        <w:t>c. Sulfhemoglobin (SulfHb)</w:t>
      </w:r>
    </w:p>
    <w:p>
      <w:pPr>
        <w:pStyle w:val="ListBullet"/>
        <w:spacing w:after="20"/>
      </w:pPr>
      <w:r>
        <w:rPr>
          <w:b/>
        </w:rPr>
        <w:t>Patofisiologi Pembentukan:</w:t>
      </w:r>
      <w:r>
        <w:rPr/>
        <w:t xml:space="preserve"> Terbentuk ketika atom sulfur terikat secara kovalen pada cincin pirol porfirin dari molekul hemoglobin, membentuk derivat pigmen abnormal kehijauan. Pembentukan ini dipicu oleh interaksi oksidan dengan sumber belerang eksogen atau pengalihan gugus sulfhidril endogen selama stres oksidatif hebat.</w:t>
      </w:r>
    </w:p>
    <w:p>
      <w:pPr>
        <w:pStyle w:val="ListBullet"/>
        <w:spacing w:after="20"/>
      </w:pPr>
      <w:r>
        <w:rPr>
          <w:b/>
        </w:rPr>
        <w:t>Karakteristik Toksikologis Khusus:</w:t>
      </w:r>
      <w:r>
        <w:rPr/>
        <w:t xml:space="preserve"> Berbeda dengan MetHb yang dapat direduksi secara enzimatik atau via antidotum, </w:t>
      </w:r>
      <w:r>
        <w:rPr>
          <w:b/>
        </w:rPr>
        <w:t>Sulfhemoglobin bersifat ireversibel secara permanen</w:t>
      </w:r>
      <w:r>
        <w:rPr/>
        <w:t xml:space="preserve"> dan menetap di dalam eritrosit sepanjang masa hidup sel tersebut (~120 hari) hingga sel hancur di limpa. Sulfhemoglobin sama sekali tidak mempan diobati dengan metilen biru.</w:t>
      </w:r>
    </w:p>
    <w:p>
      <w:pPr>
        <w:pStyle w:val="ListBullet"/>
        <w:spacing w:after="20"/>
      </w:pPr>
      <w:r>
        <w:rPr>
          <w:b/>
        </w:rPr>
        <w:t>Agen Penginduksi:</w:t>
      </w:r>
      <w:r>
        <w:rPr/>
        <w:t xml:space="preserve"> Pajanan gas </w:t>
      </w:r>
      <w:r>
        <w:rPr>
          <w:b/>
        </w:rPr>
        <w:t>Hidrogen Sulfida (H₂S)</w:t>
      </w:r>
      <w:r>
        <w:rPr/>
        <w:t>, senyawa sulfur industri, atau konsumsi/pajanan masif senyawa aminofenol dan sulfonamida.</w:t>
      </w:r>
    </w:p>
    <w:p>
      <w:pPr>
        <w:pStyle w:val="ListBullet"/>
        <w:spacing w:after="20"/>
      </w:pPr>
      <w:r>
        <w:rPr>
          <w:b/>
        </w:rPr>
        <w:t>Manifestasi Klinis:</w:t>
      </w:r>
      <w:r>
        <w:rPr/>
        <w:t xml:space="preserve"> Pasien memperlihatkan </w:t>
      </w:r>
      <w:r>
        <w:rPr>
          <w:b/>
        </w:rPr>
        <w:t>sianosis kehijauan/kelabu (</w:t>
      </w:r>
      <w:r>
        <w:rPr>
          <w:b/>
          <w:i/>
        </w:rPr>
        <w:t>greenish-cyanosis</w:t>
      </w:r>
      <w:r>
        <w:rPr>
          <w:b/>
        </w:rPr>
        <w:t>)</w:t>
      </w:r>
      <w:r>
        <w:rPr/>
        <w:t xml:space="preserve"> yang intens bahkan pada konsentrasi fraksi SulfHb darah yang relatif rendah (2%–5%), disertai penurunan kapasitas hantar oksigen total darah.</w:t>
      </w:r>
    </w:p>
    <w:p>
      <w:pPr>
        <w:pStyle w:val="Heading3"/>
      </w:pPr>
      <w:r>
        <w:t>5. Komparasi Patofisiologis: Asfiksian Sederhana vs. Asfiksian Kimia</w:t>
      </w:r>
    </w:p>
    <w:p>
      <w:pPr>
        <w:spacing w:after="80"/>
      </w:pPr>
      <w:r>
        <w:rPr/>
        <w:t>Klasifikasi asfiksia di tempat kerja membedakan secara fundamental antara defisiensi mekanik ketersediaan oksigen di atmosfer kerja dengan pemblokiran transpor/respirasi biokimiawi di dalam jaringan tubuh.</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Parameter Evaluasi</w:t>
            </w:r>
          </w:p>
        </w:tc>
        <w:tc>
          <w:tcPr>
            <w:tcW w:type="dxa" w:w="2381"/>
            <w:shd w:val="clear" w:color="auto" w:fill="DCE6F1"/>
          </w:tcPr>
          <w:p>
            <w:pPr>
              <w:spacing w:after="0"/>
            </w:pPr>
            <w:r/>
            <w:r>
              <w:rPr>
                <w:b/>
                <w:sz w:val="16"/>
              </w:rPr>
              <w:t>Asfiksian Sederhana (</w:t>
            </w:r>
            <w:r>
              <w:rPr>
                <w:b/>
                <w:i/>
                <w:sz w:val="16"/>
              </w:rPr>
              <w:t>Simple Asphyxiants</w:t>
            </w:r>
            <w:r>
              <w:rPr>
                <w:b/>
                <w:sz w:val="16"/>
              </w:rPr>
              <w:t>)</w:t>
            </w:r>
          </w:p>
        </w:tc>
        <w:tc>
          <w:tcPr>
            <w:tcW w:type="dxa" w:w="2381"/>
            <w:shd w:val="clear" w:color="auto" w:fill="DCE6F1"/>
          </w:tcPr>
          <w:p>
            <w:pPr>
              <w:spacing w:after="0"/>
            </w:pPr>
            <w:r/>
            <w:r>
              <w:rPr>
                <w:b/>
                <w:sz w:val="16"/>
              </w:rPr>
              <w:t>Asfiksian Kimiawi (</w:t>
            </w:r>
            <w:r>
              <w:rPr>
                <w:b/>
                <w:i/>
                <w:sz w:val="16"/>
              </w:rPr>
              <w:t>Chemical Asphyxiants</w:t>
            </w:r>
            <w:r>
              <w:rPr>
                <w:b/>
                <w:sz w:val="16"/>
              </w:rPr>
              <w:t>)</w:t>
            </w:r>
          </w:p>
        </w:tc>
        <w:tc>
          <w:tcPr>
            <w:tcW w:type="dxa" w:w="2381"/>
            <w:shd w:val="clear" w:color="auto" w:fill="DCE6F1"/>
          </w:tcPr>
          <w:p>
            <w:pPr>
              <w:spacing w:after="0"/>
            </w:pPr>
            <w:r/>
            <w:r>
              <w:rPr>
                <w:b/>
                <w:sz w:val="16"/>
              </w:rPr>
              <w:t>Sumber Grounding Dokumen</w:t>
            </w:r>
          </w:p>
        </w:tc>
      </w:tr>
      <w:tr>
        <w:tc>
          <w:tcPr>
            <w:tcW w:type="dxa" w:w="2381"/>
          </w:tcPr>
          <w:p>
            <w:pPr>
              <w:spacing w:after="0"/>
            </w:pPr>
            <w:r/>
            <w:r>
              <w:rPr>
                <w:b/>
                <w:sz w:val="16"/>
              </w:rPr>
              <w:t>Prinsip Mekanisme Aksi</w:t>
            </w:r>
          </w:p>
        </w:tc>
        <w:tc>
          <w:tcPr>
            <w:tcW w:type="dxa" w:w="2381"/>
          </w:tcPr>
          <w:p>
            <w:pPr>
              <w:spacing w:after="0"/>
            </w:pPr>
            <w:r/>
            <w:r>
              <w:rPr>
                <w:b/>
                <w:sz w:val="16"/>
              </w:rPr>
              <w:t>Fisik-Mekanik Pengenceran Udara:</w:t>
            </w:r>
            <w:r>
              <w:rPr>
                <w:sz w:val="16"/>
              </w:rPr>
              <w:t xml:space="preserve"> Gas lembam (</w:t>
            </w:r>
            <w:r>
              <w:rPr>
                <w:i/>
                <w:sz w:val="16"/>
              </w:rPr>
              <w:t>inert</w:t>
            </w:r>
            <w:r>
              <w:rPr>
                <w:sz w:val="16"/>
              </w:rPr>
              <w:t xml:space="preserve">) yang secara fisik mendesak dan </w:t>
            </w:r>
            <w:r>
              <w:rPr>
                <w:b/>
                <w:sz w:val="16"/>
              </w:rPr>
              <w:t>menggantikan fraksi volume oksigen (FiO₂)</w:t>
            </w:r>
            <w:r>
              <w:rPr>
                <w:sz w:val="16"/>
              </w:rPr>
              <w:t xml:space="preserve"> di atmosfer kerja, sehingga tekanan parsial oksigen inspirasi (pO₂) merosot drastis.</w:t>
            </w:r>
          </w:p>
        </w:tc>
        <w:tc>
          <w:tcPr>
            <w:tcW w:type="dxa" w:w="2381"/>
          </w:tcPr>
          <w:p>
            <w:pPr>
              <w:spacing w:after="0"/>
            </w:pPr>
            <w:r/>
            <w:r>
              <w:rPr>
                <w:b/>
                <w:sz w:val="16"/>
              </w:rPr>
              <w:t>Interferensi Biokimiawi Internal:</w:t>
            </w:r>
            <w:r>
              <w:rPr>
                <w:sz w:val="16"/>
              </w:rPr>
              <w:t xml:space="preserve"> Bekerja secara molekuler toksik di dalam tubuh untuk </w:t>
            </w:r>
            <w:r>
              <w:rPr>
                <w:b/>
                <w:sz w:val="16"/>
              </w:rPr>
              <w:t>memblokade pengangkutan oksigen oleh hemoglobin ATAU menghambat utilisasi oksigen</w:t>
            </w:r>
            <w:r>
              <w:rPr>
                <w:sz w:val="16"/>
              </w:rPr>
              <w:t xml:space="preserve"> pada rantai transpor elektron mitokondria.</w:t>
            </w:r>
          </w:p>
        </w:tc>
        <w:tc>
          <w:tcPr>
            <w:tcW w:type="dxa" w:w="2381"/>
          </w:tcPr>
          <w:p>
            <w:pPr>
              <w:spacing w:after="0"/>
            </w:pPr>
            <w:r/>
          </w:p>
        </w:tc>
      </w:tr>
      <w:tr>
        <w:tc>
          <w:tcPr>
            <w:tcW w:type="dxa" w:w="2381"/>
          </w:tcPr>
          <w:p>
            <w:pPr>
              <w:spacing w:after="0"/>
            </w:pPr>
            <w:r/>
            <w:r>
              <w:rPr>
                <w:b/>
                <w:sz w:val="16"/>
              </w:rPr>
              <w:t>Tekanan Parsial O₂ Udara Luar</w:t>
            </w:r>
          </w:p>
        </w:tc>
        <w:tc>
          <w:tcPr>
            <w:tcW w:type="dxa" w:w="2381"/>
          </w:tcPr>
          <w:p>
            <w:pPr>
              <w:spacing w:after="0"/>
            </w:pPr>
            <w:r/>
            <w:r>
              <w:rPr>
                <w:b/>
                <w:sz w:val="16"/>
              </w:rPr>
              <w:t>Sangat Rendah (Hipoksia Hipoksik):</w:t>
            </w:r>
            <w:r>
              <w:rPr>
                <w:sz w:val="16"/>
              </w:rPr>
              <w:t xml:space="preserve"> Konsentrasi oksigen atmosfer ambrol jauh di bawah batas normal 20,9% (turun ke &lt;19,5% hingga &lt;10%).</w:t>
            </w:r>
          </w:p>
        </w:tc>
        <w:tc>
          <w:tcPr>
            <w:tcW w:type="dxa" w:w="2381"/>
          </w:tcPr>
          <w:p>
            <w:pPr>
              <w:spacing w:after="0"/>
            </w:pPr>
            <w:r/>
            <w:r>
              <w:rPr>
                <w:b/>
                <w:sz w:val="16"/>
              </w:rPr>
              <w:t>Normal (Normoksia Atmosfer):</w:t>
            </w:r>
            <w:r>
              <w:rPr>
                <w:sz w:val="16"/>
              </w:rPr>
              <w:t xml:space="preserve"> Konsentrasi oksigen di udara kerja tetap normal (FiO₂ = 20,9%), namun sel tubuh mati karena tidak dapat mengangkut atau memanfaatkannya.</w:t>
            </w:r>
          </w:p>
        </w:tc>
        <w:tc>
          <w:tcPr>
            <w:tcW w:type="dxa" w:w="2381"/>
          </w:tcPr>
          <w:p>
            <w:pPr>
              <w:spacing w:after="0"/>
            </w:pPr>
            <w:r/>
          </w:p>
        </w:tc>
      </w:tr>
      <w:tr>
        <w:tc>
          <w:tcPr>
            <w:tcW w:type="dxa" w:w="2381"/>
          </w:tcPr>
          <w:p>
            <w:pPr>
              <w:spacing w:after="0"/>
            </w:pPr>
            <w:r/>
            <w:r>
              <w:rPr>
                <w:b/>
                <w:sz w:val="16"/>
              </w:rPr>
              <w:t>Sifat Intrinsik Bahan</w:t>
            </w:r>
          </w:p>
        </w:tc>
        <w:tc>
          <w:tcPr>
            <w:tcW w:type="dxa" w:w="2381"/>
          </w:tcPr>
          <w:p>
            <w:pPr>
              <w:spacing w:after="0"/>
            </w:pPr>
            <w:r/>
            <w:r>
              <w:rPr>
                <w:sz w:val="16"/>
              </w:rPr>
              <w:t>Gas non-reaktif, tidak beracun secara sistemik langsung, tidak berbau, tidak mengiritasi jalan napas.</w:t>
            </w:r>
          </w:p>
        </w:tc>
        <w:tc>
          <w:tcPr>
            <w:tcW w:type="dxa" w:w="2381"/>
          </w:tcPr>
          <w:p>
            <w:pPr>
              <w:spacing w:after="0"/>
            </w:pPr>
            <w:r/>
            <w:r>
              <w:rPr>
                <w:sz w:val="16"/>
              </w:rPr>
              <w:t>Senyawa kimia aktif, sangat toksik, bekerja sangat cepat (</w:t>
            </w:r>
            <w:r>
              <w:rPr>
                <w:i/>
                <w:sz w:val="16"/>
              </w:rPr>
              <w:t>fast-acting poisons</w:t>
            </w:r>
            <w:r>
              <w:rPr>
                <w:sz w:val="16"/>
              </w:rPr>
              <w:t>) pada level konsentrasi sangat rendah (ppm).</w:t>
            </w:r>
          </w:p>
        </w:tc>
        <w:tc>
          <w:tcPr>
            <w:tcW w:type="dxa" w:w="2381"/>
          </w:tcPr>
          <w:p>
            <w:pPr>
              <w:spacing w:after="0"/>
            </w:pPr>
            <w:r/>
          </w:p>
        </w:tc>
      </w:tr>
      <w:tr>
        <w:tc>
          <w:tcPr>
            <w:tcW w:type="dxa" w:w="2381"/>
          </w:tcPr>
          <w:p>
            <w:pPr>
              <w:spacing w:after="0"/>
            </w:pPr>
            <w:r/>
            <w:r>
              <w:rPr>
                <w:b/>
                <w:sz w:val="16"/>
              </w:rPr>
              <w:t>Lokasi Gangguan / Situs Aksi</w:t>
            </w:r>
          </w:p>
        </w:tc>
        <w:tc>
          <w:tcPr>
            <w:tcW w:type="dxa" w:w="2381"/>
          </w:tcPr>
          <w:p>
            <w:pPr>
              <w:spacing w:after="0"/>
            </w:pPr>
            <w:r/>
            <w:r>
              <w:rPr>
                <w:sz w:val="16"/>
              </w:rPr>
              <w:t>Ruang atmosfer paru/alveoli (penurunan gradien difusi alveolar ke kapiler).</w:t>
            </w:r>
          </w:p>
        </w:tc>
        <w:tc>
          <w:tcPr>
            <w:tcW w:type="dxa" w:w="2381"/>
          </w:tcPr>
          <w:p>
            <w:pPr>
              <w:spacing w:after="0"/>
            </w:pPr>
            <w:r/>
            <w:r>
              <w:rPr>
                <w:sz w:val="16"/>
              </w:rPr>
              <w:t>Vaskular sistemik (Hb darah) dan organel intraseluler (</w:t>
            </w:r>
            <w:r>
              <w:rPr>
                <w:b/>
                <w:sz w:val="16"/>
              </w:rPr>
              <w:t>Kompleks IV Sitokrom c Oksidase</w:t>
            </w:r>
            <w:r>
              <w:rPr>
                <w:sz w:val="16"/>
              </w:rPr>
              <w:t xml:space="preserve"> mitokondria).</w:t>
            </w:r>
          </w:p>
        </w:tc>
        <w:tc>
          <w:tcPr>
            <w:tcW w:type="dxa" w:w="2381"/>
          </w:tcPr>
          <w:p>
            <w:pPr>
              <w:spacing w:after="0"/>
            </w:pPr>
            <w:r/>
          </w:p>
        </w:tc>
      </w:tr>
      <w:tr>
        <w:tc>
          <w:tcPr>
            <w:tcW w:type="dxa" w:w="2381"/>
          </w:tcPr>
          <w:p>
            <w:pPr>
              <w:spacing w:after="0"/>
            </w:pPr>
            <w:r/>
            <w:r>
              <w:rPr>
                <w:b/>
                <w:sz w:val="16"/>
              </w:rPr>
              <w:t>Contoh Bahan Kimia</w:t>
            </w:r>
          </w:p>
        </w:tc>
        <w:tc>
          <w:tcPr>
            <w:tcW w:type="dxa" w:w="2381"/>
          </w:tcPr>
          <w:p>
            <w:pPr>
              <w:spacing w:after="0"/>
            </w:pPr>
            <w:r/>
            <w:r>
              <w:rPr>
                <w:b/>
                <w:sz w:val="16"/>
              </w:rPr>
              <w:t>Karbon Dioksida (CO₂), Nitrogen (N₂), Metana (CH₄), Argon (Ar), Helium (He), Hidrogen (H₂), LPG/Butana.</w:t>
            </w:r>
          </w:p>
        </w:tc>
        <w:tc>
          <w:tcPr>
            <w:tcW w:type="dxa" w:w="2381"/>
          </w:tcPr>
          <w:p>
            <w:pPr>
              <w:spacing w:after="0"/>
            </w:pPr>
            <w:r/>
            <w:r>
              <w:rPr>
                <w:b/>
                <w:sz w:val="16"/>
              </w:rPr>
              <w:t>Karbon Monoksida (CO), Hidrogen Sianida (HCN / Sianida), Hidrogen Sulfida (H₂S).</w:t>
            </w:r>
          </w:p>
        </w:tc>
        <w:tc>
          <w:tcPr>
            <w:tcW w:type="dxa" w:w="2381"/>
          </w:tcPr>
          <w:p>
            <w:pPr>
              <w:spacing w:after="0"/>
            </w:pPr>
            <w:r/>
          </w:p>
        </w:tc>
      </w:tr>
      <w:tr>
        <w:tc>
          <w:tcPr>
            <w:tcW w:type="dxa" w:w="2381"/>
          </w:tcPr>
          <w:p>
            <w:pPr>
              <w:spacing w:after="0"/>
            </w:pPr>
            <w:r/>
            <w:r>
              <w:rPr>
                <w:b/>
                <w:sz w:val="16"/>
              </w:rPr>
              <w:t>Manifestasi Klinis Kritis</w:t>
            </w:r>
          </w:p>
        </w:tc>
        <w:tc>
          <w:tcPr>
            <w:tcW w:type="dxa" w:w="2381"/>
          </w:tcPr>
          <w:p>
            <w:pPr>
              <w:spacing w:after="0"/>
            </w:pPr>
            <w:r/>
            <w:r>
              <w:rPr>
                <w:sz w:val="16"/>
              </w:rPr>
              <w:t>Lemas mendadak, pusing, takipnea kompensasi, penurunan kesadaran bertahap hingga kolaps cepat jika FiO₂ &lt; 6% di ruang tertutup (</w:t>
            </w:r>
            <w:r>
              <w:rPr>
                <w:i/>
                <w:sz w:val="16"/>
              </w:rPr>
              <w:t>confined space</w:t>
            </w:r>
            <w:r>
              <w:rPr>
                <w:sz w:val="16"/>
              </w:rPr>
              <w:t>).</w:t>
            </w:r>
          </w:p>
        </w:tc>
        <w:tc>
          <w:tcPr>
            <w:tcW w:type="dxa" w:w="2381"/>
          </w:tcPr>
          <w:p>
            <w:pPr>
              <w:spacing w:after="0"/>
            </w:pPr>
            <w:r/>
            <w:r>
              <w:rPr>
                <w:sz w:val="16"/>
              </w:rPr>
              <w:t>Gejala intoksikasi sitotoksik fulminan: asidosis laktat berat (</w:t>
            </w:r>
            <w:r>
              <w:rPr>
                <w:i/>
                <w:sz w:val="16"/>
              </w:rPr>
              <w:t>high anion gap</w:t>
            </w:r>
            <w:r>
              <w:rPr>
                <w:sz w:val="16"/>
              </w:rPr>
              <w:t>), kolaps kardiovaskular, paralisis napas sentral, kematian dalam hitungan menit.</w:t>
            </w:r>
          </w:p>
        </w:tc>
        <w:tc>
          <w:tcPr>
            <w:tcW w:type="dxa" w:w="2381"/>
          </w:tcPr>
          <w:p>
            <w:pPr>
              <w:spacing w:after="0"/>
            </w:pPr>
            <w:r/>
          </w:p>
        </w:tc>
      </w:tr>
      <w:tr>
        <w:tc>
          <w:tcPr>
            <w:tcW w:type="dxa" w:w="2381"/>
          </w:tcPr>
          <w:p>
            <w:pPr>
              <w:spacing w:after="0"/>
            </w:pPr>
            <w:r/>
            <w:r>
              <w:rPr>
                <w:b/>
                <w:sz w:val="16"/>
              </w:rPr>
              <w:t>Prinsip Utama Terapi</w:t>
            </w:r>
          </w:p>
        </w:tc>
        <w:tc>
          <w:tcPr>
            <w:tcW w:type="dxa" w:w="2381"/>
          </w:tcPr>
          <w:p>
            <w:pPr>
              <w:spacing w:after="0"/>
            </w:pPr>
            <w:r/>
            <w:r>
              <w:rPr>
                <w:sz w:val="16"/>
              </w:rPr>
              <w:t>Evakuasi korban ke udara segar dan pemberian ventilasi oksigen suplemental (100% normobarik).</w:t>
            </w:r>
          </w:p>
        </w:tc>
        <w:tc>
          <w:tcPr>
            <w:tcW w:type="dxa" w:w="2381"/>
          </w:tcPr>
          <w:p>
            <w:pPr>
              <w:spacing w:after="0"/>
            </w:pPr>
            <w:r/>
            <w:r>
              <w:rPr>
                <w:sz w:val="16"/>
              </w:rPr>
              <w:t xml:space="preserve">Pemberian </w:t>
            </w:r>
            <w:r>
              <w:rPr>
                <w:b/>
                <w:sz w:val="16"/>
              </w:rPr>
              <w:t>Antidotum Spesifik Segera</w:t>
            </w:r>
            <w:r>
              <w:rPr>
                <w:sz w:val="16"/>
              </w:rPr>
              <w:t>: Oksigen hiperbarik (untuk CO), Hidroksokobalamin / Natrium Tiosulfat (untuk Sianida), Natrium Nitrit (induksi MetHb pengikat sulfide).</w:t>
            </w:r>
          </w:p>
        </w:tc>
        <w:tc>
          <w:tcPr>
            <w:tcW w:type="dxa" w:w="2381"/>
          </w:tcPr>
          <w:p>
            <w:pPr>
              <w:spacing w:after="0"/>
            </w:pPr>
            <w:r/>
          </w:p>
        </w:tc>
      </w:tr>
    </w:tbl>
    <w:p>
      <w:pPr>
        <w:spacing w:after="40"/>
      </w:pPr>
    </w:p>
    <w:p>
      <w:pPr>
        <w:pStyle w:val="Heading4"/>
      </w:pPr>
      <w:r>
        <w:t>Tiga Prototipe Asfiksian Kimiawi Kritis (Wajib Dikuasai):</w:t>
      </w:r>
    </w:p>
    <w:p>
      <w:pPr>
        <w:spacing w:after="120"/>
        <w:ind w:left="170"/>
      </w:pPr>
      <w:r>
        <w:rPr>
          <w:rFonts w:ascii="Consolas" w:hAnsi="Consolas" w:eastAsia="Consolas"/>
          <w:sz w:val="13"/>
        </w:rPr>
        <w:t xml:space="preserve">                        [ PERBANDINGAN TIGA ASFIKSIAN KIMIA KUNCI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KARBON MONOKSIDA (CO) ]          [ HIDROGEN SIANIDA (HCN) ]         [ HIDROGEN SULFIDA (H2S) ]</w:t>
      </w:r>
      <w:r>
        <w:br/>
      </w:r>
      <w:r>
        <w:rPr>
          <w:rFonts w:ascii="Consolas" w:hAnsi="Consolas" w:eastAsia="Consolas"/>
          <w:sz w:val="13"/>
        </w:rPr>
        <w:t>• Situs: Hemoglobin Darah  • Situs: Fe3+ Sitokrom c           • Situs: Fe3+ Sitokrom c</w:t>
      </w:r>
      <w:r>
        <w:br/>
      </w:r>
      <w:r>
        <w:rPr>
          <w:rFonts w:ascii="Consolas" w:hAnsi="Consolas" w:eastAsia="Consolas"/>
          <w:sz w:val="13"/>
        </w:rPr>
        <w:t>• Target: Pengikatan O2 di           Oksidase (Kompleks IV)  Oksidase &amp; Batang Otak</w:t>
      </w:r>
      <w:r>
        <w:br/>
      </w:r>
      <w:r>
        <w:rPr>
          <w:rFonts w:ascii="Consolas" w:hAnsi="Consolas" w:eastAsia="Consolas"/>
          <w:sz w:val="13"/>
        </w:rPr>
        <w:t xml:space="preserve">  eritrosit dihambat total • Target: Seluler/Mitokondria      • Bau: Telur busuk, tapi lumpuhkan</w:t>
      </w:r>
      <w:r>
        <w:br/>
      </w:r>
      <w:r>
        <w:rPr>
          <w:rFonts w:ascii="Consolas" w:hAnsi="Consolas" w:eastAsia="Consolas"/>
          <w:sz w:val="13"/>
        </w:rPr>
        <w:t>• Warna Darah/Kulit:                 (Histotoxic Hypoxia)    saraf olfaktorius (&gt;100 ppm)</w:t>
      </w:r>
      <w:r>
        <w:br/>
      </w:r>
      <w:r>
        <w:rPr>
          <w:rFonts w:ascii="Consolas" w:hAnsi="Consolas" w:eastAsia="Consolas"/>
          <w:sz w:val="13"/>
        </w:rPr>
        <w:t xml:space="preserve">  Merah Terang / Cherry-Red        • Warna Darah/Kulit:               • Sifat: "Knockdown gas" seketika</w:t>
      </w:r>
      <w:r>
        <w:br/>
      </w:r>
      <w:r>
        <w:rPr>
          <w:rFonts w:ascii="Consolas" w:hAnsi="Consolas" w:eastAsia="Consolas"/>
          <w:sz w:val="13"/>
        </w:rPr>
        <w:t xml:space="preserve">  (Akumulasi Oksi-Hb &amp; COHb)   Merah Terang (Vena tak             di lubang limbah/sewer</w:t>
      </w:r>
      <w:r>
        <w:br/>
      </w:r>
      <w:r>
        <w:rPr>
          <w:rFonts w:ascii="Consolas" w:hAnsi="Consolas" w:eastAsia="Consolas"/>
          <w:sz w:val="13"/>
        </w:rPr>
        <w:t xml:space="preserve">                                     dapat serap O2)       • Anoksia Jaringan Akut &amp;</w:t>
      </w:r>
      <w:r>
        <w:br/>
      </w:r>
      <w:r>
        <w:rPr>
          <w:rFonts w:ascii="Consolas" w:hAnsi="Consolas" w:eastAsia="Consolas"/>
          <w:sz w:val="13"/>
        </w:rPr>
        <w:t xml:space="preserve">                                   • Terapi: Hidroksokobalamin /        Edema Paru Akut</w:t>
      </w:r>
      <w:r>
        <w:br/>
      </w:r>
      <w:r>
        <w:rPr>
          <w:rFonts w:ascii="Consolas" w:hAnsi="Consolas" w:eastAsia="Consolas"/>
          <w:sz w:val="13"/>
        </w:rPr>
        <w:t xml:space="preserve">                                     Tiosulfat</w:t>
      </w:r>
    </w:p>
    <w:p>
      <w:pPr>
        <w:spacing w:after="40"/>
        <w:ind w:left="340" w:hanging="283"/>
      </w:pPr>
      <w:r>
        <w:rPr/>
        <w:t xml:space="preserve">1. </w:t>
      </w:r>
      <w:r>
        <w:rPr>
          <w:b/>
        </w:rPr>
        <w:t>Karbon Monoksida (CO):</w:t>
      </w:r>
    </w:p>
    <w:p>
      <w:pPr>
        <w:pStyle w:val="ListBullet2"/>
        <w:spacing w:after="20"/>
      </w:pPr>
      <w:r>
        <w:rPr>
          <w:i/>
        </w:rPr>
        <w:t>Mekanisme:</w:t>
      </w:r>
      <w:r>
        <w:rPr/>
        <w:t xml:space="preserve"> Menghambat transpor dan pelepasan oksigen melalui pembentukan </w:t>
      </w:r>
      <w:r>
        <w:rPr>
          <w:b/>
        </w:rPr>
        <w:t>Karboksihemoglobin (COHb)</w:t>
      </w:r>
      <w:r>
        <w:rPr/>
        <w:t xml:space="preserve"> serta berikatan dengan mioglobin jantung dan sitokrom rantai pernapasan.</w:t>
      </w:r>
    </w:p>
    <w:p>
      <w:pPr>
        <w:pStyle w:val="ListBullet2"/>
        <w:spacing w:after="20"/>
      </w:pPr>
      <w:r>
        <w:rPr>
          <w:i/>
        </w:rPr>
        <w:t>Klinis:</w:t>
      </w:r>
      <w:r>
        <w:rPr/>
        <w:t xml:space="preserve"> Hipoksia iskemik pada organ dengan kebutuhan metabolik tinggi (otak dan miokardium), memicu infark subendokardial, edema serebri, ensefalopati pasca-anoksia demielinisasi lambat (</w:t>
      </w:r>
      <w:r>
        <w:rPr>
          <w:i/>
        </w:rPr>
        <w:t>delayed neurological sequelae</w:t>
      </w:r>
      <w:r>
        <w:rPr/>
        <w:t>).</w:t>
      </w:r>
    </w:p>
    <w:p>
      <w:pPr>
        <w:spacing w:after="40"/>
        <w:ind w:left="340" w:hanging="283"/>
      </w:pPr>
      <w:r>
        <w:rPr/>
        <w:t xml:space="preserve">2. </w:t>
      </w:r>
      <w:r>
        <w:rPr>
          <w:b/>
        </w:rPr>
        <w:t>Hidrogen Sianida (HCN) dan Garam Sianida:</w:t>
      </w:r>
    </w:p>
    <w:p>
      <w:pPr>
        <w:pStyle w:val="ListBullet2"/>
        <w:spacing w:after="20"/>
      </w:pPr>
      <w:r>
        <w:rPr>
          <w:i/>
        </w:rPr>
        <w:t>Mekanisme:</w:t>
      </w:r>
      <w:r>
        <w:rPr/>
        <w:t xml:space="preserve"> Ion sianida (CN⁻) menembus sel dan berikatan kovalen dengan afinitas sangat tinggi pada </w:t>
      </w:r>
      <w:r>
        <w:rPr>
          <w:b/>
        </w:rPr>
        <w:t>ion ferri (Fe³⁺) enzim Sitokrom c Oksidase (Kompleks IV)</w:t>
      </w:r>
      <w:r>
        <w:rPr/>
        <w:t xml:space="preserve"> pada rantai transpor elektron mitokondria.</w:t>
      </w:r>
    </w:p>
    <w:p>
      <w:pPr>
        <w:pStyle w:val="ListBullet2"/>
        <w:spacing w:after="20"/>
      </w:pPr>
      <w:r>
        <w:rPr>
          <w:i/>
        </w:rPr>
        <w:t>Konsekuensi Seluler:</w:t>
      </w:r>
      <w:r>
        <w:rPr/>
        <w:t xml:space="preserve"> Fosforilasi oksidatif terhenti mendadak. Sel tidak dapat menggunakan molekul oksigen untuk membentuk ATP (</w:t>
      </w:r>
      <w:r>
        <w:rPr>
          <w:b/>
        </w:rPr>
        <w:t>anoksia histotoksik / sitotoksik</w:t>
      </w:r>
      <w:r>
        <w:rPr/>
        <w:t xml:space="preserve">) meskipun darah kaya akan oksigen terlarut. Metabolisme bergeser ke glikolisis anaerob masif, memicu </w:t>
      </w:r>
      <w:r>
        <w:rPr>
          <w:b/>
        </w:rPr>
        <w:t>asidosis laktat berat (</w:t>
      </w:r>
      <w:r>
        <w:rPr>
          <w:b/>
          <w:i/>
        </w:rPr>
        <w:t>high anion gap</w:t>
      </w:r>
      <w:r>
        <w:rPr>
          <w:b/>
        </w:rPr>
        <w:t>)</w:t>
      </w:r>
      <w:r>
        <w:rPr/>
        <w:t>.</w:t>
      </w:r>
    </w:p>
    <w:p>
      <w:pPr>
        <w:pStyle w:val="ListBullet2"/>
        <w:spacing w:after="20"/>
      </w:pPr>
      <w:r>
        <w:rPr>
          <w:i/>
        </w:rPr>
        <w:t>Ciri Klinis:</w:t>
      </w:r>
      <w:r>
        <w:rPr/>
        <w:t xml:space="preserve"> </w:t>
      </w:r>
      <w:r>
        <w:rPr>
          <w:b/>
        </w:rPr>
        <w:t>Darah vena tetap berwarna merah terang (</w:t>
      </w:r>
      <w:r>
        <w:rPr>
          <w:b/>
          <w:i/>
        </w:rPr>
        <w:t>bright cherry red</w:t>
      </w:r>
      <w:r>
        <w:rPr>
          <w:b/>
        </w:rPr>
        <w:t>)</w:t>
      </w:r>
      <w:r>
        <w:rPr/>
        <w:t xml:space="preserve"> menyerupai darah arteri karena jaringan perifer tidak mampu mengekstraksi oksigen dari kapiler.</w:t>
      </w:r>
    </w:p>
    <w:p>
      <w:pPr>
        <w:spacing w:after="40"/>
        <w:ind w:left="340" w:hanging="283"/>
      </w:pPr>
      <w:r>
        <w:rPr/>
        <w:t xml:space="preserve">3. </w:t>
      </w:r>
      <w:r>
        <w:rPr>
          <w:b/>
        </w:rPr>
        <w:t>Hidrogen Sulfida (H₂S):</w:t>
      </w:r>
    </w:p>
    <w:p>
      <w:pPr>
        <w:pStyle w:val="ListBullet2"/>
        <w:spacing w:after="20"/>
      </w:pPr>
      <w:r>
        <w:rPr>
          <w:i/>
        </w:rPr>
        <w:t>Mekanisme:</w:t>
      </w:r>
      <w:r>
        <w:rPr/>
        <w:t xml:space="preserve"> Dikenal sebagai "gas comberan" (</w:t>
      </w:r>
      <w:r>
        <w:rPr>
          <w:i/>
        </w:rPr>
        <w:t>sewer gas</w:t>
      </w:r>
      <w:r>
        <w:rPr/>
        <w:t xml:space="preserve">). Mirip sianida, ion hidrosulfida (HS⁻) berikatan kuat dengan </w:t>
      </w:r>
      <w:r>
        <w:rPr>
          <w:b/>
        </w:rPr>
        <w:t>ion ferri (Fe³⁺) Sitokrom c Oksidase (Kompleks IV)</w:t>
      </w:r>
      <w:r>
        <w:rPr/>
        <w:t>, melumpuhkan respirasi aerobik mitokondria bahkan dengan potensi inhibisi yang lebih kuat dibanding sianida.</w:t>
      </w:r>
    </w:p>
    <w:p>
      <w:pPr>
        <w:pStyle w:val="ListBullet2"/>
        <w:spacing w:after="20"/>
      </w:pPr>
      <w:r>
        <w:rPr>
          <w:i/>
        </w:rPr>
        <w:t>Efek Neurologis Khusus:</w:t>
      </w:r>
      <w:r>
        <w:rPr/>
        <w:t xml:space="preserve"> Gas ini melumpuhkan pusat pernapasan di medula oblongata batang otak.</w:t>
      </w:r>
    </w:p>
    <w:p>
      <w:pPr>
        <w:pStyle w:val="ListBullet2"/>
        <w:spacing w:after="20"/>
      </w:pPr>
      <w:r>
        <w:rPr>
          <w:i/>
        </w:rPr>
        <w:t>Bahaya Lapangan Okupasi:</w:t>
      </w:r>
      <w:r>
        <w:rPr/>
        <w:t xml:space="preserve"> Pada konsentrasi rendah (0,02–10 ppm), H₂S berbau telur busuk yang menyengat. Namun, pada konsentrasi tinggi (</w:t>
      </w:r>
      <w:r>
        <w:rPr>
          <w:b/>
        </w:rPr>
        <w:t>&gt;100–150 ppm</w:t>
      </w:r>
      <w:r>
        <w:rPr/>
        <w:t xml:space="preserve">), gas ini memicu </w:t>
      </w:r>
      <w:r>
        <w:rPr>
          <w:b/>
        </w:rPr>
        <w:t>paralisis saraf olfaktorius seketika (</w:t>
      </w:r>
      <w:r>
        <w:rPr>
          <w:b/>
          <w:i/>
        </w:rPr>
        <w:t>olfactory nerve fatigue/paralysis</w:t>
      </w:r>
      <w:r>
        <w:rPr>
          <w:b/>
        </w:rPr>
        <w:t>)</w:t>
      </w:r>
      <w:r>
        <w:rPr/>
        <w:t>, menghilangkan kemampuan pekerja mendeteksi bau bahaya.</w:t>
      </w:r>
    </w:p>
    <w:p>
      <w:pPr>
        <w:pStyle w:val="ListBullet2"/>
        <w:spacing w:after="20"/>
      </w:pPr>
      <w:r>
        <w:rPr>
          <w:i/>
        </w:rPr>
        <w:t>Klinis:</w:t>
      </w:r>
      <w:r>
        <w:rPr/>
        <w:t xml:space="preserve"> Fenomena </w:t>
      </w:r>
      <w:r>
        <w:rPr>
          <w:b/>
        </w:rPr>
        <w:t>*knockdown</w:t>
      </w:r>
      <w:r>
        <w:rPr/>
        <w:t>* (pekerja roboh pingsan dalam hitungan detik setelah menghirup satu tarikan napas), edema paru akut non-kardiogenik, asidosis metabolik hebat, serta henti jantung-paru mendadak.</w:t>
      </w:r>
    </w:p>
    <w:p>
      <w:r>
        <w:rPr>
          <w:b/>
          <w:sz w:val="16"/>
        </w:rPr>
        <w:t>Sumber yang dirujuk NotebookLM:</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i/>
          <w:color w:val="595959"/>
          <w:sz w:val="16"/>
        </w:rPr>
        <w:t>Bab 4, 7, 8, 10, 11, 13, 14, 18:</w:t>
      </w:r>
      <w:r>
        <w:rPr>
          <w:color w:val="595959"/>
          <w:sz w:val="16"/>
        </w:rPr>
        <w:t xml:space="preserve"> Mekanisme Hambatan Enzim ALAD oleh Timbal; Inhibisi Asetilkolinesterase oleh Organofosfat &amp; Carbamate, Kinetika Reaksi, Dosis Letal; Pembentukan ROS, Superoksida, Reaksi Fenton &amp; Haber-Weiss; Peroksidasi Lipid, Radikal Triklorometil CCl₄, MDA dan 4-HNE; Siklus Redoks Glutation, Peran Enzim GPx, G6PD, dan Rasio GSH:GSSG; Ikatan Kovalen Makromolekul, Aduk DNA/Protein, Teori Elektrofilik Miller; Toksisitas CO, Afinitas COHb 210 Kali Oksigen.</w:t>
      </w:r>
    </w:p>
    <w:p>
      <w:pPr>
        <w:spacing w:after="0"/>
        <w:ind w:left="283"/>
      </w:pPr>
      <w:r>
        <w:rPr>
          <w:b/>
          <w:color w:val="595959"/>
          <w:sz w:val="16"/>
        </w:rPr>
        <w:t>Charlene McQueen (2025).</w:t>
      </w:r>
      <w:r>
        <w:rPr>
          <w:color w:val="595959"/>
          <w:sz w:val="16"/>
        </w:rPr>
        <w:t xml:space="preserve"> </w:t>
      </w:r>
      <w:r>
        <w:rPr>
          <w:i/>
          <w:color w:val="595959"/>
          <w:sz w:val="16"/>
        </w:rPr>
        <w:t>Comprehensive Toxicology (4th ed., Elsevier)</w:t>
      </w:r>
      <w:r>
        <w:rPr>
          <w:color w:val="595959"/>
          <w:sz w:val="16"/>
        </w:rPr>
        <w:t>:</w:t>
      </w:r>
    </w:p>
    <w:p>
      <w:pPr>
        <w:spacing w:after="0"/>
        <w:ind w:left="283"/>
      </w:pPr>
      <w:r>
        <w:rPr>
          <w:i/>
          <w:color w:val="595959"/>
          <w:sz w:val="16"/>
        </w:rPr>
        <w:t>Bagian 1.14 (Free Radicals &amp; Oxidative Stress by J.P. Kehrer):</w:t>
      </w:r>
      <w:r>
        <w:rPr>
          <w:color w:val="595959"/>
          <w:sz w:val="16"/>
        </w:rPr>
        <w:t xml:space="preserve"> Definisi Stres Oksidatif, Siklus Redoks Kuinon/Nitroaromatik, Peroksinitrit (ONOO-), Radikal Sulfur GSH, Biomarker Kerusakan Oksidatif MDA.</w:t>
      </w:r>
    </w:p>
    <w:p>
      <w:pPr>
        <w:spacing w:after="0"/>
        <w:ind w:left="283"/>
      </w:pPr>
      <w:r>
        <w:rPr>
          <w:i/>
          <w:color w:val="595959"/>
          <w:sz w:val="16"/>
        </w:rPr>
        <w:t>Bagian 1.15 (Reactive Electrophiles &amp; Metabolic Activation by R.S. Obach):</w:t>
      </w:r>
      <w:r>
        <w:rPr>
          <w:color w:val="595959"/>
          <w:sz w:val="16"/>
        </w:rPr>
        <w:t xml:space="preserve"> Konsep HSAB Pearson, Aduk Protein dan DNA, Warhead Akrilamid.</w:t>
      </w:r>
    </w:p>
    <w:p>
      <w:pPr>
        <w:spacing w:after="0"/>
        <w:ind w:left="283"/>
      </w:pPr>
      <w:r>
        <w:rPr>
          <w:i/>
          <w:color w:val="595959"/>
          <w:sz w:val="16"/>
        </w:rPr>
        <w:t>Bagian 1.16 &amp; 1.17:</w:t>
      </w:r>
      <w:r>
        <w:rPr>
          <w:color w:val="595959"/>
          <w:sz w:val="16"/>
        </w:rPr>
        <w:t xml:space="preserve"> DNA-Protein dan DNA-DNA Cross-linking oleh Logam Berat Kromium, Formaldehida, dan Nitrogen Mustard.</w:t>
      </w:r>
    </w:p>
    <w:p>
      <w:pPr>
        <w:spacing w:after="0"/>
        <w:ind w:left="283"/>
      </w:pPr>
      <w:r>
        <w:rPr>
          <w:i/>
          <w:color w:val="595959"/>
          <w:sz w:val="16"/>
        </w:rPr>
        <w:t>Bagian Toksikologi Asfiksian:</w:t>
      </w:r>
      <w:r>
        <w:rPr>
          <w:color w:val="595959"/>
          <w:sz w:val="16"/>
        </w:rPr>
        <w:t xml:space="preserve"> Mekanisme Sianida Mengikat Fe3+ Sitokrom Oksidase, Inhibisi Respirasi Seluler, Warna Darah Vena Merah Terang.</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i/>
          <w:color w:val="595959"/>
          <w:sz w:val="16"/>
        </w:rPr>
        <w:t>Bab 4 &amp; 20:</w:t>
      </w:r>
      <w:r>
        <w:rPr>
          <w:color w:val="595959"/>
          <w:sz w:val="16"/>
        </w:rPr>
        <w:t xml:space="preserve"> Kinetika Interaksi Organofosfat dengan AChE, Formasi Kompleks Michaelis, Fosforilasi Serin, Reaktivasi Oksim 2-PAM, dan Mekanisme Aging; Neurotoksisitas Gas CO (COHb 15%-70%), Hidrogen Sulfida (H2S Kompleks IV dan Kematian Cepat), serta Toksisitas Nitrit/MetHb.</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w:t>
      </w:r>
    </w:p>
    <w:p>
      <w:pPr>
        <w:spacing w:after="0"/>
        <w:ind w:left="283"/>
      </w:pPr>
      <w:r>
        <w:rPr>
          <w:i/>
          <w:color w:val="595959"/>
          <w:sz w:val="16"/>
        </w:rPr>
        <w:t>Bab 2:</w:t>
      </w:r>
      <w:r>
        <w:rPr>
          <w:color w:val="595959"/>
          <w:sz w:val="16"/>
        </w:rPr>
        <w:t xml:space="preserve"> Gangguan Transpor Oksigen Hemoglobin, Pembentukan Karboksihemoglobin (CO 50 ppm mengikat 8% Hb), Pembentukan Methemoglobin oleh Amina Aromatik/Nitro/Nitrit, serta Sifat Stabil Sulfhemoglobin; Definisi dan Klasifikasi Asfiksian Sederhana (N2, CH4, CO2, Ar, He) vs Asfiksian Toksik/Kimiawi (CO, HCN, H2S).</w:t>
      </w:r>
    </w:p>
    <w:p>
      <w:pPr>
        <w:spacing w:after="0"/>
        <w:ind w:left="283"/>
      </w:pPr>
      <w:r>
        <w:rPr>
          <w:b/>
          <w:color w:val="595959"/>
          <w:sz w:val="16"/>
        </w:rPr>
        <w:t>T. Sakai (Biomarkers of Lead Exposure) &amp; Martin et al. (Zinc Protoporphyrin):</w:t>
      </w:r>
    </w:p>
    <w:p>
      <w:pPr>
        <w:spacing w:after="0"/>
        <w:ind w:left="283"/>
      </w:pPr>
      <w:r>
        <w:rPr>
          <w:i/>
          <w:color w:val="595959"/>
          <w:sz w:val="16"/>
        </w:rPr>
        <w:t>Industrial Health &amp; Occupational Medicine:</w:t>
      </w:r>
      <w:r>
        <w:rPr>
          <w:color w:val="595959"/>
          <w:sz w:val="16"/>
        </w:rPr>
        <w:t xml:space="preserve"> Inhibisi Enzim ALAD Eritrosit oleh Timbal via Pendesakan Seng dan Pengikatan Sulfhidril; Inhibisi Ferrochelatase (FECH) Mitokondria, Pembentukan dan Akumulasi Zinc Protoporphyrin (ZPP) Selama Masa Hidup Eritrosit 120 Hari.</w:t>
      </w:r>
    </w:p>
    <w:p>
      <w:pPr>
        <w:spacing w:after="0"/>
        <w:ind w:left="283"/>
      </w:pPr>
      <w:r>
        <w:rPr>
          <w:b/>
          <w:color w:val="595959"/>
          <w:sz w:val="16"/>
        </w:rPr>
        <w:t>Célia Ventura et al. (2021) / HBM4EU &amp; IARC Monograph 100C:</w:t>
      </w:r>
    </w:p>
    <w:p>
      <w:pPr>
        <w:spacing w:after="0"/>
        <w:ind w:left="283"/>
      </w:pPr>
      <w:r>
        <w:rPr>
          <w:i/>
          <w:color w:val="595959"/>
          <w:sz w:val="16"/>
        </w:rPr>
        <w:t>Environmental Research:</w:t>
      </w:r>
      <w:r>
        <w:rPr>
          <w:color w:val="595959"/>
          <w:sz w:val="16"/>
        </w:rPr>
        <w:t xml:space="preserve"> Mekanisme Kerusakan Oksidatif Kromium (VI) dan Kadmium, Induksi MDA, Penurunan Aktivitas SOD/GPx, Reduksi GSH menjadi GSSG, serta Pembentukan Aduk DNA Ternari Cr(III)-ligand-DNA dan Cross-links.</w:t>
      </w:r>
    </w:p>
    <w:p>
      <w:pPr>
        <w:spacing w:after="0"/>
        <w:ind w:left="283"/>
      </w:pPr>
      <w:r>
        <w:rPr>
          <w:b/>
          <w:color w:val="595959"/>
          <w:sz w:val="16"/>
        </w:rPr>
        <w:t>ACGIH (2026 Edition) &amp; Permenaker No. 5 Tahun 2018:</w:t>
      </w:r>
    </w:p>
    <w:p>
      <w:pPr>
        <w:spacing w:after="0"/>
        <w:ind w:left="283"/>
      </w:pPr>
      <w:r>
        <w:rPr>
          <w:color w:val="595959"/>
          <w:sz w:val="16"/>
        </w:rPr>
        <w:t>Lampiran Faktor Kimia: Penetapan Notasi Asfiksia Minimal Oxygen Content (Appendix F) untuk Gas Asfiksian Sederhana; Notasi Karboksihemoglobinemia (COHb-emia), Methemoglobinemia (MeHb-emia), serta Inhibisi Kolinesterase.</w:t>
      </w:r>
    </w:p>
    <w:p>
      <w:pPr>
        <w:pStyle w:val="Heading2"/>
      </w:pPr>
      <w:bookmarkStart w:id="112" w:name="toc_012"/>
      <w:r>
        <w:t>1.12 Klasifikasi karsinogen</w:t>
      </w:r>
      <w:bookmarkEnd w:id="112"/>
    </w:p>
    <w:p>
      <w:pPr>
        <w:pStyle w:val="Heading3"/>
      </w:pPr>
      <w:r>
        <w:t>1. Klasifikasi Karsinogen Menurut IARC (International Agency for Research on Cancer)</w:t>
      </w:r>
    </w:p>
    <w:p>
      <w:pPr>
        <w:spacing w:after="80"/>
      </w:pPr>
      <w:r>
        <w:rPr/>
        <w:t xml:space="preserve">IARC (badan di bawah Organisasi Kesehatan Dunia / WHO) mengevaluasi potensi karsinogenisitas suatu agen berdasarkan kajian telaah ilmiah komprehensif terhadap </w:t>
      </w:r>
      <w:r>
        <w:rPr>
          <w:b/>
        </w:rPr>
        <w:t>kekuatan bukti (</w:t>
      </w:r>
      <w:r>
        <w:rPr>
          <w:b/>
          <w:i/>
        </w:rPr>
        <w:t>strength / weight of evidence</w:t>
      </w:r>
      <w:r>
        <w:rPr>
          <w:b/>
        </w:rPr>
        <w:t>)</w:t>
      </w:r>
      <w:r>
        <w:rPr/>
        <w:t xml:space="preserve"> dari tiga pilar: studi epidemiologi manusia, bioasai karsinogenisitas hewan coba, serta data mekanistik.</w:t>
      </w:r>
    </w:p>
    <w:p>
      <w:pPr>
        <w:spacing w:after="120"/>
        <w:ind w:left="170"/>
      </w:pPr>
      <w:r>
        <w:rPr>
          <w:rFonts w:ascii="Consolas" w:hAnsi="Consolas" w:eastAsia="Consolas"/>
          <w:sz w:val="13"/>
        </w:rPr>
        <w:t xml:space="preserve">                          [ SISTEM EVALUASI IARC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BUKTI MANUSIA ]          [ BUKTI HEWAN COBA ]        [ BUKTI MEKANISTIK ]</w:t>
      </w:r>
      <w:r>
        <w:br/>
      </w:r>
      <w:r>
        <w:rPr>
          <w:rFonts w:ascii="Consolas" w:hAnsi="Consolas" w:eastAsia="Consolas"/>
          <w:sz w:val="13"/>
        </w:rPr>
        <w:t>• Sufficient               • Sufficient                • Strong (Key Characteristics)</w:t>
      </w:r>
      <w:r>
        <w:br/>
      </w:r>
      <w:r>
        <w:rPr>
          <w:rFonts w:ascii="Consolas" w:hAnsi="Consolas" w:eastAsia="Consolas"/>
          <w:sz w:val="13"/>
        </w:rPr>
        <w:t>• Limited                  • Limited                   • Operates in humans</w:t>
      </w:r>
      <w:r>
        <w:br/>
      </w:r>
      <w:r>
        <w:rPr>
          <w:rFonts w:ascii="Consolas" w:hAnsi="Consolas" w:eastAsia="Consolas"/>
          <w:sz w:val="13"/>
        </w:rPr>
        <w:t>• Inadequate               • Inadequate                • Inadequate</w:t>
      </w:r>
      <w:r>
        <w:br/>
      </w:r>
      <w:r>
        <w:rPr>
          <w:rFonts w:ascii="Consolas" w:hAnsi="Consolas" w:eastAsia="Consolas"/>
          <w:sz w:val="13"/>
        </w:rPr>
        <w:t xml:space="preserve">         │                           │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KATEGORI KARSINOGEN IARC ]</w:t>
      </w:r>
      <w:r>
        <w:br/>
      </w:r>
      <w:r>
        <w:rPr>
          <w:rFonts w:ascii="Consolas" w:hAnsi="Consolas" w:eastAsia="Consolas"/>
          <w:sz w:val="13"/>
        </w:rPr>
        <w:t xml:space="preserve">     ┌───────────────────┬───────────────────┬───────────────────┐</w:t>
      </w:r>
      <w:r>
        <w:br/>
      </w:r>
      <w:r>
        <w:rPr>
          <w:rFonts w:ascii="Consolas" w:hAnsi="Consolas" w:eastAsia="Consolas"/>
          <w:sz w:val="13"/>
        </w:rPr>
        <w:t xml:space="preserve">     ▼                   ▼                   ▼                   ▼</w:t>
      </w:r>
      <w:r>
        <w:br/>
      </w:r>
      <w:r>
        <w:rPr>
          <w:rFonts w:ascii="Consolas" w:hAnsi="Consolas" w:eastAsia="Consolas"/>
          <w:sz w:val="13"/>
        </w:rPr>
        <w:t xml:space="preserve">  GRUP 1              GRUP 2A             GRUP 2B             GRUP 3</w:t>
      </w:r>
      <w:r>
        <w:br/>
      </w:r>
      <w:r>
        <w:rPr>
          <w:rFonts w:ascii="Consolas" w:hAnsi="Consolas" w:eastAsia="Consolas"/>
          <w:sz w:val="13"/>
        </w:rPr>
        <w:t>Carcinogenic         Probably            Possibly        Not Classifiable</w:t>
      </w:r>
      <w:r>
        <w:br/>
      </w:r>
      <w:r>
        <w:rPr>
          <w:rFonts w:ascii="Consolas" w:hAnsi="Consolas" w:eastAsia="Consolas"/>
          <w:sz w:val="13"/>
        </w:rPr>
        <w:t xml:space="preserve"> to Humans         Carcinogenic        Carcinogenic      (Inadequate data)</w:t>
      </w:r>
      <w:r>
        <w:br/>
      </w:r>
      <w:r>
        <w:rPr>
          <w:rFonts w:ascii="Consolas" w:hAnsi="Consolas" w:eastAsia="Consolas"/>
          <w:sz w:val="13"/>
        </w:rPr>
        <w:t xml:space="preserve"> (Sufficient in   (Limited human +   (Limited human +    (Bukan berarti</w:t>
      </w:r>
      <w:r>
        <w:br/>
      </w:r>
      <w:r>
        <w:rPr>
          <w:rFonts w:ascii="Consolas" w:hAnsi="Consolas" w:eastAsia="Consolas"/>
          <w:sz w:val="13"/>
        </w:rPr>
        <w:t xml:space="preserve">    Humans)       Sufficient animal)  Inadequate animal)      aman!)</w:t>
      </w:r>
    </w:p>
    <w:p>
      <w:pPr>
        <w:pStyle w:val="Heading4"/>
      </w:pPr>
      <w:r>
        <w:t>a. Kategori Klasifikasi IARC</w:t>
      </w:r>
    </w:p>
    <w:p>
      <w:pPr>
        <w:spacing w:after="80"/>
      </w:pPr>
      <w:r>
        <w:rPr/>
        <w:t xml:space="preserve">Berdasarkan </w:t>
      </w:r>
      <w:r>
        <w:rPr>
          <w:i/>
        </w:rPr>
        <w:t>Preamble</w:t>
      </w:r>
      <w:r>
        <w:rPr/>
        <w:t xml:space="preserve"> dan Monograf IARC Volume 100C, agen dikelompokkan ke dalam kategori berikut:</w:t>
      </w:r>
    </w:p>
    <w:p>
      <w:pPr>
        <w:pStyle w:val="ListBullet"/>
        <w:spacing w:after="20"/>
      </w:pPr>
      <w:r>
        <w:rPr>
          <w:b/>
        </w:rPr>
        <w:t>Grup 1: Karsinogenik terhadap Manusia (</w:t>
      </w:r>
      <w:r>
        <w:rPr>
          <w:b/>
          <w:i/>
        </w:rPr>
        <w:t>Carcinogenic to humans</w:t>
      </w:r>
      <w:r>
        <w:rPr>
          <w:b/>
        </w:rPr>
        <w:t>)</w:t>
      </w:r>
    </w:p>
    <w:p>
      <w:pPr>
        <w:pStyle w:val="ListBullet2"/>
        <w:spacing w:after="20"/>
      </w:pPr>
      <w:r>
        <w:rPr>
          <w:i/>
        </w:rPr>
        <w:t>Kriteria Utama:</w:t>
      </w:r>
      <w:r>
        <w:rPr/>
        <w:t xml:space="preserve"> Terdapat </w:t>
      </w:r>
      <w:r>
        <w:rPr>
          <w:b/>
        </w:rPr>
        <w:t>bukti yang cukup (</w:t>
      </w:r>
      <w:r>
        <w:rPr>
          <w:b/>
          <w:i/>
        </w:rPr>
        <w:t>sufficient evidence</w:t>
      </w:r>
      <w:r>
        <w:rPr>
          <w:b/>
        </w:rPr>
        <w:t>) mengenai karsinogenisitas pada manusia</w:t>
      </w:r>
      <w:r>
        <w:rPr/>
        <w:t xml:space="preserve"> melalui studi epidemiologi yang membuktikan hubungan sebab-akibat (kausalitas) yang bebas dari bias, faktor perancu (</w:t>
      </w:r>
      <w:r>
        <w:rPr>
          <w:i/>
        </w:rPr>
        <w:t>confounding</w:t>
      </w:r>
      <w:r>
        <w:rPr/>
        <w:t>), atau kebetulan (</w:t>
      </w:r>
      <w:r>
        <w:rPr>
          <w:i/>
        </w:rPr>
        <w:t>chance</w:t>
      </w:r>
      <w:r>
        <w:rPr/>
        <w:t>).</w:t>
      </w:r>
    </w:p>
    <w:p>
      <w:pPr>
        <w:pStyle w:val="ListBullet2"/>
        <w:spacing w:after="20"/>
      </w:pPr>
      <w:r>
        <w:rPr>
          <w:i/>
        </w:rPr>
        <w:t>Kriteria Luar Biasa (*Exception</w:t>
      </w:r>
      <w:r>
        <w:rPr/>
        <w:t>):* Bukti pada manusia kurang dari cukup (</w:t>
      </w:r>
      <w:r>
        <w:rPr>
          <w:i/>
        </w:rPr>
        <w:t>less than sufficient</w:t>
      </w:r>
      <w:r>
        <w:rPr/>
        <w:t xml:space="preserve">), namun terdapat </w:t>
      </w:r>
      <w:r>
        <w:rPr>
          <w:b/>
        </w:rPr>
        <w:t>bukti yang cukup (</w:t>
      </w:r>
      <w:r>
        <w:rPr>
          <w:b/>
          <w:i/>
        </w:rPr>
        <w:t>sufficient evidence</w:t>
      </w:r>
      <w:r>
        <w:rPr>
          <w:b/>
        </w:rPr>
        <w:t>) pada hewan coba DAN bukti kuat pada manusia yang terpajan</w:t>
      </w:r>
      <w:r>
        <w:rPr/>
        <w:t xml:space="preserve"> bahwa agen tersebut bekerja melalui mekanisme karsinogenesis yang relevan.</w:t>
      </w:r>
    </w:p>
    <w:p>
      <w:pPr>
        <w:pStyle w:val="ListBullet"/>
        <w:spacing w:after="20"/>
      </w:pPr>
      <w:r>
        <w:rPr>
          <w:b/>
        </w:rPr>
        <w:t>Grup 2: Kategori Agen yang Buktinya Berada di Antara Cukup dan Terbatas</w:t>
      </w:r>
    </w:p>
    <w:p>
      <w:pPr>
        <w:spacing w:after="80"/>
      </w:pPr>
      <w:r>
        <w:rPr/>
        <w:t>Kategori ini dibagi menjadi dua sub-grup deskriptif kualitatif:</w:t>
      </w:r>
    </w:p>
    <w:p>
      <w:pPr>
        <w:pStyle w:val="ListBullet2"/>
        <w:spacing w:after="20"/>
      </w:pPr>
      <w:r>
        <w:rPr>
          <w:b/>
        </w:rPr>
        <w:t>Grup 2A: Mungkin Besar Karsinogenik terhadap Manusia (</w:t>
      </w:r>
      <w:r>
        <w:rPr>
          <w:b/>
          <w:i/>
        </w:rPr>
        <w:t>Probably carcinogenic to humans</w:t>
      </w:r>
      <w:r>
        <w:rPr>
          <w:b/>
        </w:rPr>
        <w:t>)</w:t>
      </w:r>
    </w:p>
    <w:p>
      <w:pPr>
        <w:pStyle w:val="ListBullet3"/>
        <w:spacing w:after="20"/>
      </w:pPr>
      <w:r>
        <w:rPr/>
        <w:t xml:space="preserve">Diterapkan bila terdapat </w:t>
      </w:r>
      <w:r>
        <w:rPr>
          <w:b/>
        </w:rPr>
        <w:t>bukti terbatas (</w:t>
      </w:r>
      <w:r>
        <w:rPr>
          <w:b/>
          <w:i/>
        </w:rPr>
        <w:t>limited evidence</w:t>
      </w:r>
      <w:r>
        <w:rPr>
          <w:b/>
        </w:rPr>
        <w:t>) pada manusia DAN bukti cukup (</w:t>
      </w:r>
      <w:r>
        <w:rPr>
          <w:b/>
          <w:i/>
        </w:rPr>
        <w:t>sufficient evidence</w:t>
      </w:r>
      <w:r>
        <w:rPr>
          <w:b/>
        </w:rPr>
        <w:t>) pada hewan coba</w:t>
      </w:r>
      <w:r>
        <w:rPr/>
        <w:t>.</w:t>
      </w:r>
    </w:p>
    <w:p>
      <w:pPr>
        <w:pStyle w:val="ListBullet3"/>
        <w:spacing w:after="20"/>
      </w:pPr>
      <w:r>
        <w:rPr/>
        <w:t>Dapat juga digunakan bila bukti pada manusia tidak memadai (</w:t>
      </w:r>
      <w:r>
        <w:rPr>
          <w:i/>
        </w:rPr>
        <w:t>inadequate evidence</w:t>
      </w:r>
      <w:r>
        <w:rPr/>
        <w:t>), namun bukti pada hewan coba cukup (</w:t>
      </w:r>
      <w:r>
        <w:rPr>
          <w:i/>
        </w:rPr>
        <w:t>sufficient</w:t>
      </w:r>
      <w:r>
        <w:rPr/>
        <w:t xml:space="preserve">) disertai </w:t>
      </w:r>
      <w:r>
        <w:rPr>
          <w:b/>
        </w:rPr>
        <w:t>bukti mekanistik yang kuat</w:t>
      </w:r>
      <w:r>
        <w:rPr/>
        <w:t xml:space="preserve"> bahwa proses karsinogenesis tersebut bekerja pada manusia.</w:t>
      </w:r>
    </w:p>
    <w:p>
      <w:pPr>
        <w:pStyle w:val="ListBullet3"/>
        <w:spacing w:after="20"/>
      </w:pPr>
      <w:r>
        <w:rPr/>
        <w:t>Secara luar biasa, dapat diterapkan semata-mata atas dasar bukti terbatas (</w:t>
      </w:r>
      <w:r>
        <w:rPr>
          <w:i/>
        </w:rPr>
        <w:t>limited evidence</w:t>
      </w:r>
      <w:r>
        <w:rPr/>
        <w:t>) pada manusia, atau agen tersebut terbukti secara mekanistik berada dalam kelas kimiawi yang sama dengan agen Grup 1/2A lainnya.</w:t>
      </w:r>
    </w:p>
    <w:p>
      <w:pPr>
        <w:pStyle w:val="ListBullet2"/>
        <w:spacing w:after="20"/>
      </w:pPr>
      <w:r>
        <w:rPr>
          <w:b/>
        </w:rPr>
        <w:t>Grup 2B: Mungkin Karsinogenik terhadap Manusia (</w:t>
      </w:r>
      <w:r>
        <w:rPr>
          <w:b/>
          <w:i/>
        </w:rPr>
        <w:t>Possibly carcinogenic to humans</w:t>
      </w:r>
      <w:r>
        <w:rPr>
          <w:b/>
        </w:rPr>
        <w:t>)</w:t>
      </w:r>
    </w:p>
    <w:p>
      <w:pPr>
        <w:pStyle w:val="ListBullet3"/>
        <w:spacing w:after="20"/>
      </w:pPr>
      <w:r>
        <w:rPr/>
        <w:t xml:space="preserve">Diterapkan bila terdapat </w:t>
      </w:r>
      <w:r>
        <w:rPr>
          <w:b/>
        </w:rPr>
        <w:t>bukti terbatas (</w:t>
      </w:r>
      <w:r>
        <w:rPr>
          <w:b/>
          <w:i/>
        </w:rPr>
        <w:t>limited evidence</w:t>
      </w:r>
      <w:r>
        <w:rPr>
          <w:b/>
        </w:rPr>
        <w:t>) pada manusia dan bukti kurang dari cukup (</w:t>
      </w:r>
      <w:r>
        <w:rPr>
          <w:b/>
          <w:i/>
        </w:rPr>
        <w:t>less than sufficient</w:t>
      </w:r>
      <w:r>
        <w:rPr>
          <w:b/>
        </w:rPr>
        <w:t>) pada hewan coba</w:t>
      </w:r>
      <w:r>
        <w:rPr/>
        <w:t>.</w:t>
      </w:r>
    </w:p>
    <w:p>
      <w:pPr>
        <w:pStyle w:val="ListBullet3"/>
        <w:spacing w:after="20"/>
      </w:pPr>
      <w:r>
        <w:rPr/>
        <w:t>Dapat diterapkan bila bukti pada manusia tidak memadai (</w:t>
      </w:r>
      <w:r>
        <w:rPr>
          <w:i/>
        </w:rPr>
        <w:t>inadequate</w:t>
      </w:r>
      <w:r>
        <w:rPr/>
        <w:t xml:space="preserve">), namun </w:t>
      </w:r>
      <w:r>
        <w:rPr>
          <w:b/>
        </w:rPr>
        <w:t>bukti pada hewan coba cukup (</w:t>
      </w:r>
      <w:r>
        <w:rPr>
          <w:b/>
          <w:i/>
        </w:rPr>
        <w:t>sufficient evidence</w:t>
      </w:r>
      <w:r>
        <w:rPr>
          <w:b/>
        </w:rPr>
        <w:t>)</w:t>
      </w:r>
      <w:r>
        <w:rPr/>
        <w:t>.</w:t>
      </w:r>
    </w:p>
    <w:p>
      <w:pPr>
        <w:pStyle w:val="ListBullet3"/>
        <w:spacing w:after="20"/>
      </w:pPr>
      <w:r>
        <w:rPr/>
        <w:t>Dapat pula diberikan berdasarkan pertimbangan bukti kuat dari data mekanistik semata.</w:t>
      </w:r>
    </w:p>
    <w:p>
      <w:pPr>
        <w:pStyle w:val="ListBullet"/>
        <w:spacing w:after="20"/>
      </w:pPr>
      <w:r>
        <w:rPr>
          <w:b/>
        </w:rPr>
        <w:t>Grup 3: Tidak Dapat Diklasifikasikan Karsinogenisitasnya terhadap Manusia (</w:t>
      </w:r>
      <w:r>
        <w:rPr>
          <w:b/>
          <w:i/>
        </w:rPr>
        <w:t>Not classifiable as to its carcinogenicity to humans</w:t>
      </w:r>
      <w:r>
        <w:rPr>
          <w:b/>
        </w:rPr>
        <w:t>)</w:t>
      </w:r>
    </w:p>
    <w:p>
      <w:pPr>
        <w:pStyle w:val="ListBullet2"/>
        <w:spacing w:after="20"/>
      </w:pPr>
      <w:r>
        <w:rPr/>
        <w:t xml:space="preserve">Kategori paling banyak, digunakan bila </w:t>
      </w:r>
      <w:r>
        <w:rPr>
          <w:b/>
        </w:rPr>
        <w:t>bukti karsinogenisitas tidak memadai (</w:t>
      </w:r>
      <w:r>
        <w:rPr>
          <w:b/>
          <w:i/>
        </w:rPr>
        <w:t>inadequate</w:t>
      </w:r>
      <w:r>
        <w:rPr>
          <w:b/>
        </w:rPr>
        <w:t>) pada manusia DAN tidak memadai atau terbatas (</w:t>
      </w:r>
      <w:r>
        <w:rPr>
          <w:b/>
          <w:i/>
        </w:rPr>
        <w:t>inadequate or limited</w:t>
      </w:r>
      <w:r>
        <w:rPr>
          <w:b/>
        </w:rPr>
        <w:t>) pada hewan coba</w:t>
      </w:r>
      <w:r>
        <w:rPr/>
        <w:t>.</w:t>
      </w:r>
    </w:p>
    <w:p>
      <w:pPr>
        <w:pStyle w:val="ListBullet2"/>
        <w:spacing w:after="20"/>
      </w:pPr>
      <w:r>
        <w:rPr/>
        <w:t>Diterapkan pula jika bukti pada hewan coba cukup (</w:t>
      </w:r>
      <w:r>
        <w:rPr>
          <w:i/>
        </w:rPr>
        <w:t>sufficient</w:t>
      </w:r>
      <w:r>
        <w:rPr/>
        <w:t xml:space="preserve">), tetapi terdapat bukti kuat bahwa mekanisme tumorogenesis pada hewan tersebut </w:t>
      </w:r>
      <w:r>
        <w:rPr>
          <w:b/>
        </w:rPr>
        <w:t>tidak bekerja pada manusia</w:t>
      </w:r>
      <w:r>
        <w:rPr/>
        <w:t>.</w:t>
      </w:r>
    </w:p>
    <w:p>
      <w:pPr>
        <w:pStyle w:val="ListBullet2"/>
        <w:spacing w:after="20"/>
      </w:pPr>
      <w:r>
        <w:rPr>
          <w:i/>
        </w:rPr>
        <w:t>Prinsip Mutlak Ujian:</w:t>
      </w:r>
      <w:r>
        <w:rPr/>
        <w:t xml:space="preserve"> Evaluasi Grup 3 </w:t>
      </w:r>
      <w:r>
        <w:rPr>
          <w:b/>
        </w:rPr>
        <w:t>BUKAN penentuan bahwa zat tersebut aman atau non-karsinogenik</w:t>
      </w:r>
      <w:r>
        <w:rPr/>
        <w:t>, melainkan menandakan bahwa data ilmiah yang ada belum mencukupi dan penelitian lebih lanjut masih diperlukan.</w:t>
      </w:r>
    </w:p>
    <w:p>
      <w:pPr>
        <w:pStyle w:val="ListBullet"/>
        <w:spacing w:after="20"/>
      </w:pPr>
      <w:r>
        <w:rPr>
          <w:i/>
        </w:rPr>
        <w:t>(Catatan Historis Grup 4):</w:t>
      </w:r>
      <w:r>
        <w:rPr/>
        <w:t xml:space="preserve"> Dahulu IARC memiliki Grup 4 (</w:t>
      </w:r>
      <w:r>
        <w:rPr>
          <w:i/>
        </w:rPr>
        <w:t>Probably not carcinogenic to humans</w:t>
      </w:r>
      <w:r>
        <w:rPr/>
        <w:t xml:space="preserve"> untuk zat dengan bukti ketiadaan karsinogenisitas), namun dalam sistem modern IARC, kategori ini hampir tidak lagi digunakan.</w:t>
      </w:r>
    </w:p>
    <w:p>
      <w:pPr>
        <w:pStyle w:val="Heading4"/>
      </w:pPr>
      <w:r>
        <w:t>b. Perbedaan Fundamental: Klasifikasi Bahaya (Hazard) vs. Risiko (Risk)</w:t>
      </w:r>
    </w:p>
    <w:p>
      <w:pPr>
        <w:spacing w:after="80"/>
      </w:pPr>
      <w:r>
        <w:rPr/>
        <w:t>Banyak residen salah kaprah mengira IARC mengukur "tingkat bahaya di lapangan". Pahami perbedaan aksiologis ini:</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Parameter</w:t>
            </w:r>
          </w:p>
        </w:tc>
        <w:tc>
          <w:tcPr>
            <w:tcW w:type="dxa" w:w="2381"/>
            <w:shd w:val="clear" w:color="auto" w:fill="DCE6F1"/>
          </w:tcPr>
          <w:p>
            <w:pPr>
              <w:spacing w:after="0"/>
            </w:pPr>
            <w:r/>
            <w:r>
              <w:rPr>
                <w:b/>
                <w:sz w:val="16"/>
              </w:rPr>
              <w:t>Identifikasi Bahaya Karsinogen (</w:t>
            </w:r>
            <w:r>
              <w:rPr>
                <w:b/>
                <w:i/>
                <w:sz w:val="16"/>
              </w:rPr>
              <w:t>Carcinogenic Hazard Identification</w:t>
            </w:r>
            <w:r>
              <w:rPr>
                <w:b/>
                <w:sz w:val="16"/>
              </w:rPr>
              <w:t>)</w:t>
            </w:r>
          </w:p>
        </w:tc>
        <w:tc>
          <w:tcPr>
            <w:tcW w:type="dxa" w:w="2381"/>
            <w:shd w:val="clear" w:color="auto" w:fill="DCE6F1"/>
          </w:tcPr>
          <w:p>
            <w:pPr>
              <w:spacing w:after="0"/>
            </w:pPr>
            <w:r/>
            <w:r>
              <w:rPr>
                <w:b/>
                <w:sz w:val="16"/>
              </w:rPr>
              <w:t>Penilaian Risiko Kanker (</w:t>
            </w:r>
            <w:r>
              <w:rPr>
                <w:b/>
                <w:i/>
                <w:sz w:val="16"/>
              </w:rPr>
              <w:t>Carcinogenic Risk Assessment</w:t>
            </w:r>
            <w:r>
              <w:rPr>
                <w:b/>
                <w:sz w:val="16"/>
              </w:rPr>
              <w:t>)</w:t>
            </w:r>
          </w:p>
        </w:tc>
        <w:tc>
          <w:tcPr>
            <w:tcW w:type="dxa" w:w="2381"/>
            <w:shd w:val="clear" w:color="auto" w:fill="DCE6F1"/>
          </w:tcPr>
          <w:p>
            <w:pPr>
              <w:spacing w:after="0"/>
            </w:pPr>
            <w:r/>
            <w:r>
              <w:rPr>
                <w:b/>
                <w:sz w:val="16"/>
              </w:rPr>
              <w:t>Sumber Acuan Dokumen</w:t>
            </w:r>
          </w:p>
        </w:tc>
      </w:tr>
      <w:tr>
        <w:tc>
          <w:tcPr>
            <w:tcW w:type="dxa" w:w="2381"/>
          </w:tcPr>
          <w:p>
            <w:pPr>
              <w:spacing w:after="0"/>
            </w:pPr>
            <w:r/>
            <w:r>
              <w:rPr>
                <w:b/>
                <w:sz w:val="16"/>
              </w:rPr>
              <w:t>Definisi Konseptual</w:t>
            </w:r>
          </w:p>
        </w:tc>
        <w:tc>
          <w:tcPr>
            <w:tcW w:type="dxa" w:w="2381"/>
          </w:tcPr>
          <w:p>
            <w:pPr>
              <w:spacing w:after="0"/>
            </w:pPr>
            <w:r/>
            <w:r>
              <w:rPr>
                <w:sz w:val="16"/>
              </w:rPr>
              <w:t xml:space="preserve">Evaluasi terhadap </w:t>
            </w:r>
            <w:r>
              <w:rPr>
                <w:b/>
                <w:sz w:val="16"/>
              </w:rPr>
              <w:t>kapasitas intrinsik/bawaan (</w:t>
            </w:r>
            <w:r>
              <w:rPr>
                <w:b/>
                <w:i/>
                <w:sz w:val="16"/>
              </w:rPr>
              <w:t>inherent/intrinsic capability</w:t>
            </w:r>
            <w:r>
              <w:rPr>
                <w:b/>
                <w:sz w:val="16"/>
              </w:rPr>
              <w:t>)</w:t>
            </w:r>
            <w:r>
              <w:rPr>
                <w:sz w:val="16"/>
              </w:rPr>
              <w:t xml:space="preserve"> suatu agen untuk memicu kanker dalam kondisi atau situasi apa pun.</w:t>
            </w:r>
          </w:p>
        </w:tc>
        <w:tc>
          <w:tcPr>
            <w:tcW w:type="dxa" w:w="2381"/>
          </w:tcPr>
          <w:p>
            <w:pPr>
              <w:spacing w:after="0"/>
            </w:pPr>
            <w:r/>
            <w:r>
              <w:rPr>
                <w:sz w:val="16"/>
              </w:rPr>
              <w:t xml:space="preserve">Estimasi probabilitas matematis terjadinya kanker pada populasi pekerja/manusia yang terpajan pada </w:t>
            </w:r>
            <w:r>
              <w:rPr>
                <w:b/>
                <w:sz w:val="16"/>
              </w:rPr>
              <w:t>dosis, durasi, dan skenario pajanan nyata tertentu</w:t>
            </w:r>
            <w:r>
              <w:rPr>
                <w:sz w:val="16"/>
              </w:rPr>
              <w:t>.</w:t>
            </w:r>
          </w:p>
        </w:tc>
        <w:tc>
          <w:tcPr>
            <w:tcW w:type="dxa" w:w="2381"/>
          </w:tcPr>
          <w:p>
            <w:pPr>
              <w:spacing w:after="0"/>
            </w:pPr>
            <w:r/>
          </w:p>
        </w:tc>
      </w:tr>
      <w:tr>
        <w:tc>
          <w:tcPr>
            <w:tcW w:type="dxa" w:w="2381"/>
          </w:tcPr>
          <w:p>
            <w:pPr>
              <w:spacing w:after="0"/>
            </w:pPr>
            <w:r/>
            <w:r>
              <w:rPr>
                <w:b/>
                <w:sz w:val="16"/>
              </w:rPr>
              <w:t>Lembaga Pelaksana</w:t>
            </w:r>
          </w:p>
        </w:tc>
        <w:tc>
          <w:tcPr>
            <w:tcW w:type="dxa" w:w="2381"/>
          </w:tcPr>
          <w:p>
            <w:pPr>
              <w:spacing w:after="0"/>
            </w:pPr>
            <w:r/>
            <w:r>
              <w:rPr>
                <w:b/>
                <w:sz w:val="16"/>
              </w:rPr>
              <w:t>IARC Monographs</w:t>
            </w:r>
            <w:r>
              <w:rPr>
                <w:sz w:val="16"/>
              </w:rPr>
              <w:t xml:space="preserve"> dan klasifikasi bahaya bahan kimia murni GHS.</w:t>
            </w:r>
          </w:p>
        </w:tc>
        <w:tc>
          <w:tcPr>
            <w:tcW w:type="dxa" w:w="2381"/>
          </w:tcPr>
          <w:p>
            <w:pPr>
              <w:spacing w:after="0"/>
            </w:pPr>
            <w:r/>
            <w:r>
              <w:rPr>
                <w:b/>
                <w:sz w:val="16"/>
              </w:rPr>
              <w:t>Badan Regulasi:</w:t>
            </w:r>
            <w:r>
              <w:rPr>
                <w:sz w:val="16"/>
              </w:rPr>
              <w:t xml:space="preserve"> US-EPA, OSHA, Kemenkes (ARKL), dan higienis industri.</w:t>
            </w:r>
          </w:p>
        </w:tc>
        <w:tc>
          <w:tcPr>
            <w:tcW w:type="dxa" w:w="2381"/>
          </w:tcPr>
          <w:p>
            <w:pPr>
              <w:spacing w:after="0"/>
            </w:pPr>
            <w:r/>
          </w:p>
        </w:tc>
      </w:tr>
      <w:tr>
        <w:tc>
          <w:tcPr>
            <w:tcW w:type="dxa" w:w="2381"/>
          </w:tcPr>
          <w:p>
            <w:pPr>
              <w:spacing w:after="0"/>
            </w:pPr>
            <w:r/>
            <w:r>
              <w:rPr>
                <w:b/>
                <w:sz w:val="16"/>
              </w:rPr>
              <w:t>Sifat Evaluasi</w:t>
            </w:r>
          </w:p>
        </w:tc>
        <w:tc>
          <w:tcPr>
            <w:tcW w:type="dxa" w:w="2381"/>
          </w:tcPr>
          <w:p>
            <w:pPr>
              <w:spacing w:after="0"/>
            </w:pPr>
            <w:r/>
            <w:r>
              <w:rPr>
                <w:b/>
                <w:sz w:val="16"/>
              </w:rPr>
              <w:t>Kualitatif (</w:t>
            </w:r>
            <w:r>
              <w:rPr>
                <w:b/>
                <w:i/>
                <w:sz w:val="16"/>
              </w:rPr>
              <w:t>Weight of Evidence</w:t>
            </w:r>
            <w:r>
              <w:rPr>
                <w:b/>
                <w:sz w:val="16"/>
              </w:rPr>
              <w:t>):</w:t>
            </w:r>
            <w:r>
              <w:rPr>
                <w:sz w:val="16"/>
              </w:rPr>
              <w:t xml:space="preserve"> Menilai seberapa meyakinkan bukti ilmiah bahwa zat tersebut </w:t>
            </w:r>
            <w:r>
              <w:rPr>
                <w:i/>
                <w:sz w:val="16"/>
              </w:rPr>
              <w:t>mampu</w:t>
            </w:r>
            <w:r>
              <w:rPr>
                <w:sz w:val="16"/>
              </w:rPr>
              <w:t xml:space="preserve"> menyebabkan kanker, tanpa memandang dosis.</w:t>
            </w:r>
          </w:p>
        </w:tc>
        <w:tc>
          <w:tcPr>
            <w:tcW w:type="dxa" w:w="2381"/>
          </w:tcPr>
          <w:p>
            <w:pPr>
              <w:spacing w:after="0"/>
            </w:pPr>
            <w:r/>
            <w:r>
              <w:rPr>
                <w:b/>
                <w:sz w:val="16"/>
              </w:rPr>
              <w:t>Kuantitatif (</w:t>
            </w:r>
            <w:r>
              <w:rPr>
                <w:b/>
                <w:i/>
                <w:sz w:val="16"/>
              </w:rPr>
              <w:t>Dose-Response Modeling</w:t>
            </w:r>
            <w:r>
              <w:rPr>
                <w:b/>
                <w:sz w:val="16"/>
              </w:rPr>
              <w:t>):</w:t>
            </w:r>
            <w:r>
              <w:rPr>
                <w:sz w:val="16"/>
              </w:rPr>
              <w:t xml:space="preserve"> Menghitung </w:t>
            </w:r>
            <w:r>
              <w:rPr>
                <w:i/>
                <w:sz w:val="16"/>
              </w:rPr>
              <w:t>Slope Factor</w:t>
            </w:r>
            <w:r>
              <w:rPr>
                <w:sz w:val="16"/>
              </w:rPr>
              <w:t xml:space="preserve"> (CSF), </w:t>
            </w:r>
            <w:r>
              <w:rPr>
                <w:i/>
                <w:sz w:val="16"/>
              </w:rPr>
              <w:t>Inhalation Unit Risk</w:t>
            </w:r>
            <w:r>
              <w:rPr>
                <w:sz w:val="16"/>
              </w:rPr>
              <w:t xml:space="preserve"> (IUR), dan </w:t>
            </w:r>
            <w:r>
              <w:rPr>
                <w:i/>
                <w:sz w:val="16"/>
              </w:rPr>
              <w:t>Excess Cancer Risk</w:t>
            </w:r>
            <w:r>
              <w:rPr>
                <w:sz w:val="16"/>
              </w:rPr>
              <w:t xml:space="preserve"> (Risk = Dosis × CSF).</w:t>
            </w:r>
          </w:p>
        </w:tc>
        <w:tc>
          <w:tcPr>
            <w:tcW w:type="dxa" w:w="2381"/>
          </w:tcPr>
          <w:p>
            <w:pPr>
              <w:spacing w:after="0"/>
            </w:pPr>
            <w:r/>
          </w:p>
        </w:tc>
      </w:tr>
      <w:tr>
        <w:tc>
          <w:tcPr>
            <w:tcW w:type="dxa" w:w="2381"/>
          </w:tcPr>
          <w:p>
            <w:pPr>
              <w:spacing w:after="0"/>
            </w:pPr>
            <w:r/>
            <w:r>
              <w:rPr>
                <w:b/>
                <w:sz w:val="16"/>
              </w:rPr>
              <w:t>Rumus Hubungan</w:t>
            </w:r>
          </w:p>
        </w:tc>
        <w:tc>
          <w:tcPr>
            <w:tcW w:type="dxa" w:w="2381"/>
          </w:tcPr>
          <w:p>
            <w:pPr>
              <w:spacing w:after="0"/>
            </w:pPr>
            <w:r/>
            <w:r>
              <w:rPr>
                <w:i/>
                <w:sz w:val="16"/>
              </w:rPr>
              <w:t>Hazard</w:t>
            </w:r>
            <w:r>
              <w:rPr>
                <w:sz w:val="16"/>
              </w:rPr>
              <w:t xml:space="preserve"> adalah komponen dari risiko.</w:t>
            </w:r>
          </w:p>
        </w:tc>
        <w:tc>
          <w:tcPr>
            <w:tcW w:type="dxa" w:w="2381"/>
          </w:tcPr>
          <w:p>
            <w:pPr>
              <w:spacing w:after="0"/>
            </w:pPr>
            <w:r/>
            <w:r>
              <w:rPr>
                <w:sz w:val="16"/>
              </w:rPr>
              <w:t>Risiko = Bahaya (Hazard) × Besaran Pajanan (Exposure).</w:t>
            </w:r>
          </w:p>
        </w:tc>
        <w:tc>
          <w:tcPr>
            <w:tcW w:type="dxa" w:w="2381"/>
          </w:tcPr>
          <w:p>
            <w:pPr>
              <w:spacing w:after="0"/>
            </w:pPr>
            <w:r/>
          </w:p>
        </w:tc>
      </w:tr>
      <w:tr>
        <w:tc>
          <w:tcPr>
            <w:tcW w:type="dxa" w:w="2381"/>
          </w:tcPr>
          <w:p>
            <w:pPr>
              <w:spacing w:after="0"/>
            </w:pPr>
            <w:r/>
            <w:r>
              <w:rPr>
                <w:b/>
                <w:sz w:val="16"/>
              </w:rPr>
              <w:t>Aplikasi Praktis</w:t>
            </w:r>
          </w:p>
        </w:tc>
        <w:tc>
          <w:tcPr>
            <w:tcW w:type="dxa" w:w="2381"/>
          </w:tcPr>
          <w:p>
            <w:pPr>
              <w:spacing w:after="0"/>
            </w:pPr>
            <w:r/>
            <w:r>
              <w:rPr>
                <w:sz w:val="16"/>
              </w:rPr>
              <w:t>Jika zat masuk Grup 1 IARC, zat tersebut terbukti karsinogenik (misalnya debu kayu atau Cr VI).</w:t>
            </w:r>
          </w:p>
        </w:tc>
        <w:tc>
          <w:tcPr>
            <w:tcW w:type="dxa" w:w="2381"/>
          </w:tcPr>
          <w:p>
            <w:pPr>
              <w:spacing w:after="0"/>
            </w:pPr>
            <w:r/>
            <w:r>
              <w:rPr>
                <w:sz w:val="16"/>
              </w:rPr>
              <w:t xml:space="preserve">Bila pekerja terpajan zat Grup 1 dalam sistem tertutup total dengan konsentrasi nol, maka </w:t>
            </w:r>
            <w:r>
              <w:rPr>
                <w:b/>
                <w:sz w:val="16"/>
              </w:rPr>
              <w:t>bahayanya tetap Grup 1, tetapi risikonya mendekati nol</w:t>
            </w:r>
            <w:r>
              <w:rPr>
                <w:sz w:val="16"/>
              </w:rPr>
              <w:t>.</w:t>
            </w:r>
          </w:p>
        </w:tc>
        <w:tc>
          <w:tcPr>
            <w:tcW w:type="dxa" w:w="2381"/>
          </w:tcPr>
          <w:p>
            <w:pPr>
              <w:spacing w:after="0"/>
            </w:pPr>
            <w:r/>
          </w:p>
        </w:tc>
      </w:tr>
    </w:tbl>
    <w:p>
      <w:pPr>
        <w:spacing w:after="40"/>
      </w:pPr>
    </w:p>
    <w:p>
      <w:pPr>
        <w:pStyle w:val="Heading3"/>
      </w:pPr>
      <w:r>
        <w:t>2. Klasifikasi Karsinogen Menurut GHS (Globally Harmonized System)</w:t>
      </w:r>
    </w:p>
    <w:p>
      <w:pPr>
        <w:spacing w:after="80"/>
      </w:pPr>
      <w:r>
        <w:rPr/>
        <w:t xml:space="preserve">Sistem GHS PBB (Bab 3.6 </w:t>
      </w:r>
      <w:r>
        <w:rPr>
          <w:i/>
        </w:rPr>
        <w:t>Carcinogenicity</w:t>
      </w:r>
      <w:r>
        <w:rPr/>
        <w:t xml:space="preserve">) membagi karsinogen menjadi </w:t>
      </w:r>
      <w:r>
        <w:rPr>
          <w:b/>
        </w:rPr>
        <w:t>dua kategori bahaya utama</w:t>
      </w:r>
      <w:r>
        <w:rPr/>
        <w:t xml:space="preserve"> dengan subkategori berdasarkan kekuatan bukti (</w:t>
      </w:r>
      <w:r>
        <w:rPr>
          <w:i/>
        </w:rPr>
        <w:t>strength of evidence</w:t>
      </w:r>
      <w:r>
        <w:rPr/>
        <w:t>) epidemiologi dan bioasai hewan coba:</w:t>
      </w:r>
    </w:p>
    <w:p>
      <w:pPr>
        <w:spacing w:after="120"/>
        <w:ind w:left="170"/>
      </w:pPr>
      <w:r>
        <w:rPr>
          <w:rFonts w:ascii="Consolas" w:hAnsi="Consolas" w:eastAsia="Consolas"/>
          <w:sz w:val="13"/>
        </w:rPr>
        <w:t xml:space="preserve">                     [ KLASIFIKASI KARSINOGEN GHS BAB 3.6 ]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KATEGORI 1 ]                                                [ KATEGORI 2 ]</w:t>
      </w:r>
      <w:r>
        <w:br/>
      </w:r>
      <w:r>
        <w:rPr>
          <w:rFonts w:ascii="Consolas" w:hAnsi="Consolas" w:eastAsia="Consolas"/>
          <w:sz w:val="13"/>
        </w:rPr>
        <w:t>Known or Presumed Human Carcinogen                            Suspected Human Carcinogen</w:t>
      </w:r>
      <w:r>
        <w:br/>
      </w:r>
      <w:r>
        <w:rPr>
          <w:rFonts w:ascii="Consolas" w:hAnsi="Consolas" w:eastAsia="Consolas"/>
          <w:sz w:val="13"/>
        </w:rPr>
        <w:t xml:space="preserve">         │                                                             │</w:t>
      </w:r>
      <w:r>
        <w:br/>
      </w:r>
      <w:r>
        <w:rPr>
          <w:rFonts w:ascii="Consolas" w:hAnsi="Consolas" w:eastAsia="Consolas"/>
          <w:sz w:val="13"/>
        </w:rPr>
        <w:t xml:space="preserve">   ┌─────┴─────┐                                                       │</w:t>
      </w:r>
      <w:r>
        <w:br/>
      </w:r>
      <w:r>
        <w:rPr>
          <w:rFonts w:ascii="Consolas" w:hAnsi="Consolas" w:eastAsia="Consolas"/>
          <w:sz w:val="13"/>
        </w:rPr>
        <w:t xml:space="preserve">   ▼           ▼                                                       ▼</w:t>
      </w:r>
      <w:r>
        <w:br/>
      </w:r>
      <w:r>
        <w:rPr>
          <w:rFonts w:ascii="Consolas" w:hAnsi="Consolas" w:eastAsia="Consolas"/>
          <w:sz w:val="13"/>
        </w:rPr>
        <w:t>Kat 1A       Kat 1B                                             • Bukti terbatas manusia</w:t>
      </w:r>
      <w:r>
        <w:br/>
      </w:r>
      <w:r>
        <w:rPr>
          <w:rFonts w:ascii="Consolas" w:hAnsi="Consolas" w:eastAsia="Consolas"/>
          <w:sz w:val="13"/>
        </w:rPr>
        <w:t>Bukti        Bukti hewan coba                                     atau hewan coba</w:t>
      </w:r>
      <w:r>
        <w:br/>
      </w:r>
      <w:r>
        <w:rPr>
          <w:rFonts w:ascii="Consolas" w:hAnsi="Consolas" w:eastAsia="Consolas"/>
          <w:sz w:val="13"/>
        </w:rPr>
        <w:t>Manusia      cukup (sufficient)                                 • Piktogram: Health Hazard</w:t>
      </w:r>
      <w:r>
        <w:br/>
      </w:r>
      <w:r>
        <w:rPr>
          <w:rFonts w:ascii="Consolas" w:hAnsi="Consolas" w:eastAsia="Consolas"/>
          <w:sz w:val="13"/>
        </w:rPr>
        <w:t>(Epidemiologi)                                                  • Signal Word: WARNING</w:t>
      </w:r>
      <w:r>
        <w:br/>
      </w:r>
      <w:r>
        <w:rPr>
          <w:rFonts w:ascii="Consolas" w:hAnsi="Consolas" w:eastAsia="Consolas"/>
          <w:sz w:val="13"/>
        </w:rPr>
        <w:t xml:space="preserve">   │           │                                                • Hazard Statement: H351</w:t>
      </w:r>
      <w:r>
        <w:br/>
      </w:r>
      <w:r>
        <w:rPr>
          <w:rFonts w:ascii="Consolas" w:hAnsi="Consolas" w:eastAsia="Consolas"/>
          <w:sz w:val="13"/>
        </w:rPr>
        <w:t xml:space="preserve">   └─────┬─────┘                                                  ("Suspected of causing cancer")</w:t>
      </w:r>
      <w:r>
        <w:br/>
      </w:r>
      <w:r>
        <w:rPr>
          <w:rFonts w:ascii="Consolas" w:hAnsi="Consolas" w:eastAsia="Consolas"/>
          <w:sz w:val="13"/>
        </w:rPr>
        <w:t xml:space="preserve">         │</w:t>
      </w:r>
      <w:r>
        <w:br/>
      </w:r>
      <w:r>
        <w:rPr>
          <w:rFonts w:ascii="Consolas" w:hAnsi="Consolas" w:eastAsia="Consolas"/>
          <w:sz w:val="13"/>
        </w:rPr>
        <w:t>• Piktogram: Health Hazard (Dada Meledak)</w:t>
      </w:r>
      <w:r>
        <w:br/>
      </w:r>
      <w:r>
        <w:rPr>
          <w:rFonts w:ascii="Consolas" w:hAnsi="Consolas" w:eastAsia="Consolas"/>
          <w:sz w:val="13"/>
        </w:rPr>
        <w:t>• Signal Word: DANGER</w:t>
      </w:r>
      <w:r>
        <w:br/>
      </w:r>
      <w:r>
        <w:rPr>
          <w:rFonts w:ascii="Consolas" w:hAnsi="Consolas" w:eastAsia="Consolas"/>
          <w:sz w:val="13"/>
        </w:rPr>
        <w:t>• Hazard Statement: H350 ("May cause cancer")</w:t>
      </w:r>
    </w:p>
    <w:p>
      <w:pPr>
        <w:pStyle w:val="Heading4"/>
      </w:pPr>
      <w:r>
        <w:t>a. Kategori 1: Known or Presumed Human Carcinogens</w:t>
      </w:r>
    </w:p>
    <w:p>
      <w:pPr>
        <w:spacing w:after="80"/>
      </w:pPr>
      <w:r>
        <w:rPr/>
        <w:t>Zat kimia yang diketahui atau diperkirakan memiliki potensi karsinogenik pada manusia. Dibagi menjadi dua sub-kategori:</w:t>
      </w:r>
    </w:p>
    <w:p>
      <w:pPr>
        <w:pStyle w:val="ListBullet"/>
        <w:spacing w:after="20"/>
      </w:pPr>
      <w:r>
        <w:rPr>
          <w:b/>
        </w:rPr>
        <w:t>Kategori 1A (</w:t>
      </w:r>
      <w:r>
        <w:rPr>
          <w:b/>
          <w:i/>
        </w:rPr>
        <w:t>Known to have carcinogenic potential for humans</w:t>
      </w:r>
      <w:r>
        <w:rPr>
          <w:b/>
        </w:rPr>
        <w:t>):</w:t>
      </w:r>
      <w:r>
        <w:rPr/>
        <w:t xml:space="preserve"> Penempatan zat sebagian besar didasarkan pada </w:t>
      </w:r>
      <w:r>
        <w:rPr>
          <w:b/>
        </w:rPr>
        <w:t>bukti nyata pada manusia (</w:t>
      </w:r>
      <w:r>
        <w:rPr>
          <w:b/>
          <w:i/>
        </w:rPr>
        <w:t>human evidence</w:t>
      </w:r>
      <w:r>
        <w:rPr>
          <w:b/>
        </w:rPr>
        <w:t>)</w:t>
      </w:r>
      <w:r>
        <w:rPr/>
        <w:t xml:space="preserve"> dari studi epidemiologi yang menunjukkan hubungan kausal yang meyakinkan.</w:t>
      </w:r>
    </w:p>
    <w:p>
      <w:pPr>
        <w:pStyle w:val="ListBullet"/>
        <w:spacing w:after="20"/>
      </w:pPr>
      <w:r>
        <w:rPr>
          <w:b/>
        </w:rPr>
        <w:t>Kategori 1B (</w:t>
      </w:r>
      <w:r>
        <w:rPr>
          <w:b/>
          <w:i/>
        </w:rPr>
        <w:t>Presumed to have carcinogenic potential for humans</w:t>
      </w:r>
      <w:r>
        <w:rPr>
          <w:b/>
        </w:rPr>
        <w:t>):</w:t>
      </w:r>
      <w:r>
        <w:rPr/>
        <w:t xml:space="preserve"> Penempatan zat sebagian besar didasarkan pada </w:t>
      </w:r>
      <w:r>
        <w:rPr>
          <w:b/>
        </w:rPr>
        <w:t>bukti hewan coba (</w:t>
      </w:r>
      <w:r>
        <w:rPr>
          <w:b/>
          <w:i/>
        </w:rPr>
        <w:t>animal evidence</w:t>
      </w:r>
      <w:r>
        <w:rPr>
          <w:b/>
        </w:rPr>
        <w:t>) yang memadai (</w:t>
      </w:r>
      <w:r>
        <w:rPr>
          <w:b/>
          <w:i/>
        </w:rPr>
        <w:t>sufficient evidence</w:t>
      </w:r>
      <w:r>
        <w:rPr>
          <w:b/>
        </w:rPr>
        <w:t>)</w:t>
      </w:r>
      <w:r>
        <w:rPr/>
        <w:t xml:space="preserve"> (misalnya peningkatan tumor ganas pada dua spesies berbeda, atau satu studi dengan keganasan yang luar biasa). Dapat juga mencakup studi manusia dengan bukti terbatas yang didukung bukti hewan coba terbatas.</w:t>
      </w:r>
    </w:p>
    <w:p>
      <w:pPr>
        <w:pStyle w:val="ListBullet"/>
        <w:spacing w:after="20"/>
      </w:pPr>
      <w:r>
        <w:rPr>
          <w:b/>
        </w:rPr>
        <w:t>Elemen Komunikasi Bahaya Kategori 1 (1A dan 1B):</w:t>
      </w:r>
    </w:p>
    <w:p>
      <w:pPr>
        <w:pStyle w:val="ListBullet2"/>
        <w:spacing w:after="20"/>
      </w:pPr>
      <w:r>
        <w:rPr>
          <w:i/>
        </w:rPr>
        <w:t>Piktogram:</w:t>
      </w:r>
      <w:r>
        <w:rPr/>
        <w:t xml:space="preserve"> </w:t>
      </w:r>
      <w:r>
        <w:rPr>
          <w:b/>
        </w:rPr>
        <w:t>Health Hazard</w:t>
      </w:r>
      <w:r>
        <w:rPr/>
        <w:t xml:space="preserve"> (siluet manusia dengan bintang meledak di dada).</w:t>
      </w:r>
    </w:p>
    <w:p>
      <w:pPr>
        <w:pStyle w:val="ListBullet2"/>
        <w:spacing w:after="20"/>
      </w:pPr>
      <w:r>
        <w:rPr>
          <w:i/>
        </w:rPr>
        <w:t>Kata Sinyal (*Signal Word</w:t>
      </w:r>
      <w:r>
        <w:rPr/>
        <w:t xml:space="preserve">):* </w:t>
      </w:r>
      <w:r>
        <w:rPr>
          <w:b/>
        </w:rPr>
        <w:t>DANGER</w:t>
      </w:r>
      <w:r>
        <w:rPr/>
        <w:t>.</w:t>
      </w:r>
    </w:p>
    <w:p>
      <w:pPr>
        <w:pStyle w:val="ListBullet2"/>
        <w:spacing w:after="20"/>
      </w:pPr>
      <w:r>
        <w:rPr>
          <w:i/>
        </w:rPr>
        <w:t>Pernyataan Bahaya (*Hazard Statement</w:t>
      </w:r>
      <w:r>
        <w:rPr/>
        <w:t xml:space="preserve">):* </w:t>
      </w:r>
      <w:r>
        <w:rPr>
          <w:b/>
        </w:rPr>
        <w:t>H350: "May cause cancer"</w:t>
      </w:r>
      <w:r>
        <w:rPr/>
        <w:t xml:space="preserve"> (Dapat menyebabkan kanker).</w:t>
      </w:r>
    </w:p>
    <w:p>
      <w:pPr>
        <w:pStyle w:val="ListBullet2"/>
        <w:spacing w:after="20"/>
      </w:pPr>
      <w:r>
        <w:rPr>
          <w:i/>
        </w:rPr>
        <w:t>Cut-off konsentrasi pada campuran:</w:t>
      </w:r>
      <w:r>
        <w:rPr/>
        <w:t xml:space="preserve"> </w:t>
      </w:r>
      <w:r>
        <w:rPr>
          <w:b/>
        </w:rPr>
        <w:t>≥ 0,1%</w:t>
      </w:r>
      <w:r>
        <w:rPr/>
        <w:t xml:space="preserve"> memicu klasifikasi campuran sebagai Kategori 1.</w:t>
      </w:r>
    </w:p>
    <w:p>
      <w:pPr>
        <w:pStyle w:val="Heading4"/>
      </w:pPr>
      <w:r>
        <w:t>b. Kategori 2: Suspected Human Carcinogens</w:t>
      </w:r>
    </w:p>
    <w:p>
      <w:pPr>
        <w:pStyle w:val="ListBullet"/>
        <w:spacing w:after="20"/>
      </w:pPr>
      <w:r>
        <w:rPr>
          <w:b/>
        </w:rPr>
        <w:t>Kriteria Penetapan:</w:t>
      </w:r>
      <w:r>
        <w:rPr/>
        <w:t xml:space="preserve"> Bukti karsinogenisitas diperoleh dari studi manusia dan/atau hewan coba, namun </w:t>
      </w:r>
      <w:r>
        <w:rPr>
          <w:b/>
        </w:rPr>
        <w:t>tidak cukup meyakinkan untuk menempatkan zat tersebut ke dalam Kategori 1</w:t>
      </w:r>
      <w:r>
        <w:rPr/>
        <w:t>. Didasarkan pada bukti terbatas (</w:t>
      </w:r>
      <w:r>
        <w:rPr>
          <w:i/>
        </w:rPr>
        <w:t>limited evidence</w:t>
      </w:r>
      <w:r>
        <w:rPr/>
        <w:t>) pada manusia atau bukti terbatas pada hewan coba.</w:t>
      </w:r>
    </w:p>
    <w:p>
      <w:pPr>
        <w:pStyle w:val="ListBullet"/>
        <w:spacing w:after="20"/>
      </w:pPr>
      <w:r>
        <w:rPr>
          <w:b/>
        </w:rPr>
        <w:t>Elemen Komunikasi Bahaya Kategori 2:</w:t>
      </w:r>
    </w:p>
    <w:p>
      <w:pPr>
        <w:pStyle w:val="ListBullet2"/>
        <w:spacing w:after="20"/>
      </w:pPr>
      <w:r>
        <w:rPr>
          <w:i/>
        </w:rPr>
        <w:t>Piktogram:</w:t>
      </w:r>
      <w:r>
        <w:rPr/>
        <w:t xml:space="preserve"> </w:t>
      </w:r>
      <w:r>
        <w:rPr>
          <w:b/>
        </w:rPr>
        <w:t>Health Hazard</w:t>
      </w:r>
      <w:r>
        <w:rPr/>
        <w:t>.</w:t>
      </w:r>
    </w:p>
    <w:p>
      <w:pPr>
        <w:pStyle w:val="ListBullet2"/>
        <w:spacing w:after="20"/>
      </w:pPr>
      <w:r>
        <w:rPr>
          <w:i/>
        </w:rPr>
        <w:t>Kata Sinyal (*Signal Word</w:t>
      </w:r>
      <w:r>
        <w:rPr/>
        <w:t xml:space="preserve">):* </w:t>
      </w:r>
      <w:r>
        <w:rPr>
          <w:b/>
        </w:rPr>
        <w:t>WARNING</w:t>
      </w:r>
      <w:r>
        <w:rPr/>
        <w:t>.</w:t>
      </w:r>
    </w:p>
    <w:p>
      <w:pPr>
        <w:pStyle w:val="ListBullet2"/>
        <w:spacing w:after="20"/>
      </w:pPr>
      <w:r>
        <w:rPr>
          <w:i/>
        </w:rPr>
        <w:t>Pernyataan Bahaya (*Hazard Statement</w:t>
      </w:r>
      <w:r>
        <w:rPr/>
        <w:t xml:space="preserve">):* </w:t>
      </w:r>
      <w:r>
        <w:rPr>
          <w:b/>
        </w:rPr>
        <w:t>H351: "Suspected of causing cancer"</w:t>
      </w:r>
      <w:r>
        <w:rPr/>
        <w:t xml:space="preserve"> (Diduga menyebabkan kanker).</w:t>
      </w:r>
    </w:p>
    <w:p>
      <w:pPr>
        <w:pStyle w:val="ListBullet2"/>
        <w:spacing w:after="20"/>
      </w:pPr>
      <w:r>
        <w:rPr>
          <w:i/>
        </w:rPr>
        <w:t>Cut-off konsentrasi pada campuran:</w:t>
      </w:r>
      <w:r>
        <w:rPr/>
        <w:t xml:space="preserve"> </w:t>
      </w:r>
      <w:r>
        <w:rPr>
          <w:b/>
        </w:rPr>
        <w:t>≥ 0,1% atau ≥ 1,0%</w:t>
      </w:r>
      <w:r>
        <w:rPr/>
        <w:t xml:space="preserve"> bergantung pada regulasi otoritas kompeten negara setempat.</w:t>
      </w:r>
    </w:p>
    <w:p>
      <w:pPr>
        <w:pStyle w:val="Heading3"/>
      </w:pPr>
      <w:r>
        <w:t>3. Klasifikasi Karsinogen Menurut ACGIH (Kategori A1 sampai A5)</w:t>
      </w:r>
    </w:p>
    <w:p>
      <w:pPr>
        <w:spacing w:after="80"/>
      </w:pPr>
      <w:r>
        <w:rPr/>
        <w:t>ACGIH menerbitkan kategori karsinogenisitas okupasi melalui Lampiran A (</w:t>
      </w:r>
      <w:r>
        <w:rPr>
          <w:i/>
        </w:rPr>
        <w:t>Appendix A: Carcinogenicity</w:t>
      </w:r>
      <w:r>
        <w:rPr/>
        <w:t xml:space="preserve">) yang juga diadopsi secara identik dalam </w:t>
      </w:r>
      <w:r>
        <w:rPr>
          <w:b/>
        </w:rPr>
        <w:t>Permenaker No. 5 Tahun 2018 (Lampiran 3 Huruf B)</w:t>
      </w:r>
      <w:r>
        <w:rPr/>
        <w:t>:</w:t>
      </w:r>
    </w:p>
    <w:p>
      <w:pPr>
        <w:pStyle w:val="ListBullet"/>
        <w:spacing w:after="20"/>
      </w:pPr>
      <w:r>
        <w:rPr>
          <w:b/>
        </w:rPr>
        <w:t xml:space="preserve">A1 — </w:t>
      </w:r>
      <w:r>
        <w:rPr>
          <w:b/>
          <w:i/>
        </w:rPr>
        <w:t>Confirmed Human Carcinogen</w:t>
      </w:r>
      <w:r>
        <w:rPr>
          <w:b/>
        </w:rPr>
        <w:t xml:space="preserve"> (Terbukti Karsinogen untuk Manusia):</w:t>
      </w:r>
    </w:p>
    <w:p>
      <w:pPr>
        <w:spacing w:after="80"/>
      </w:pPr>
      <w:r>
        <w:rPr/>
        <w:t>Zat terbukti bersifat karsinogenik terhadap manusia berdasarkan bobot bukti dari studi-studi epidemiologi.</w:t>
      </w:r>
    </w:p>
    <w:p>
      <w:pPr>
        <w:spacing w:after="80"/>
      </w:pPr>
      <w:r>
        <w:rPr>
          <w:i/>
        </w:rPr>
        <w:t>Tindakan Okupasi:</w:t>
      </w:r>
      <w:r>
        <w:rPr/>
        <w:t xml:space="preserve"> Pajanan pekerja harus diminimalkan serendah mungkin; untuk karsinogen A1 tanpa nilai TLV numerik (notasi L), pajanan pekerja </w:t>
      </w:r>
      <w:r>
        <w:rPr>
          <w:b/>
        </w:rPr>
        <w:t>harus dieliminasi sepenuhnya</w:t>
      </w:r>
      <w:r>
        <w:rPr/>
        <w:t>.</w:t>
      </w:r>
    </w:p>
    <w:p>
      <w:pPr>
        <w:pStyle w:val="ListBullet"/>
        <w:spacing w:after="20"/>
      </w:pPr>
      <w:r>
        <w:rPr>
          <w:b/>
        </w:rPr>
        <w:t xml:space="preserve">A2 — </w:t>
      </w:r>
      <w:r>
        <w:rPr>
          <w:b/>
          <w:i/>
        </w:rPr>
        <w:t>Suspected Human Carcinogen</w:t>
      </w:r>
      <w:r>
        <w:rPr>
          <w:b/>
        </w:rPr>
        <w:t xml:space="preserve"> (Diduga/Diperkirakan Karsinogen untuk Manusia):</w:t>
      </w:r>
    </w:p>
    <w:p>
      <w:pPr>
        <w:spacing w:after="80"/>
      </w:pPr>
      <w:r>
        <w:rPr/>
        <w:t>Data pada manusia dapat diterima secara kualitas tetapi saling bertentangan atau belum cukup untuk menyatakan karsinogen terbukti; ATAU zat bersifat karsinogenik pada hewan coba pada dosis, rute, lokasi, tipe histologi, atau mekanisme yang dianggap relevan terhadap pajanan pekerja. Terutama digunakan bila bukti epidemiologi terbatas dan bukti hewan coba cukup serta didukung karakteristik kunci karsinogen.</w:t>
      </w:r>
    </w:p>
    <w:p>
      <w:pPr>
        <w:pStyle w:val="ListBullet"/>
        <w:spacing w:after="20"/>
      </w:pPr>
      <w:r>
        <w:rPr>
          <w:b/>
        </w:rPr>
        <w:t xml:space="preserve">A3 — </w:t>
      </w:r>
      <w:r>
        <w:rPr>
          <w:b/>
          <w:i/>
        </w:rPr>
        <w:t>Confirmed Animal Carcinogen with Unknown Relevance to Humans</w:t>
      </w:r>
      <w:r>
        <w:rPr>
          <w:b/>
        </w:rPr>
        <w:t xml:space="preserve"> (Karsinogen Terbukti pada Hewan dengan Relevansi Belum Pasti pada Manusia):</w:t>
      </w:r>
    </w:p>
    <w:p>
      <w:pPr>
        <w:spacing w:after="80"/>
      </w:pPr>
      <w:r>
        <w:rPr/>
        <w:t>Zat terbukti memicu kanker pada hewan coba pada dosis relatif tinggi, rute, atau mekanisme yang belum tentu atau kurang relevan terhadap pajanan manusia di tempat kerja. Studi epidemiologi yang ada belum membuktikan adanya peningkatan risiko kanker pada manusia.</w:t>
      </w:r>
    </w:p>
    <w:p>
      <w:pPr>
        <w:pStyle w:val="ListBullet"/>
        <w:spacing w:after="20"/>
      </w:pPr>
      <w:r>
        <w:rPr>
          <w:b/>
        </w:rPr>
        <w:t xml:space="preserve">A4 — </w:t>
      </w:r>
      <w:r>
        <w:rPr>
          <w:b/>
          <w:i/>
        </w:rPr>
        <w:t>Not Classifiable as a Human Carcinogen</w:t>
      </w:r>
      <w:r>
        <w:rPr>
          <w:b/>
        </w:rPr>
        <w:t xml:space="preserve"> (Tidak Dapat Diklasifikasikan Karsinogen terhadap Manusia):</w:t>
      </w:r>
    </w:p>
    <w:p>
      <w:pPr>
        <w:spacing w:after="80"/>
      </w:pPr>
      <w:r>
        <w:rPr/>
        <w:t xml:space="preserve">Bahan kimia yang menimbulkan kekhawatiran karsinogenik namun tidak dapat dinilai akibat ketiadaan data manusia; serta bioasai hewan coba atau uji </w:t>
      </w:r>
      <w:r>
        <w:rPr>
          <w:i/>
        </w:rPr>
        <w:t>in vitro</w:t>
      </w:r>
      <w:r>
        <w:rPr/>
        <w:t xml:space="preserve"> tidak memberikan bukti mekanistik yang memadai untuk memasukkannya ke kategori lain.</w:t>
      </w:r>
    </w:p>
    <w:p>
      <w:pPr>
        <w:pStyle w:val="ListBullet"/>
        <w:spacing w:after="20"/>
      </w:pPr>
      <w:r>
        <w:rPr>
          <w:b/>
        </w:rPr>
        <w:t xml:space="preserve">A5 — </w:t>
      </w:r>
      <w:r>
        <w:rPr>
          <w:b/>
          <w:i/>
        </w:rPr>
        <w:t>Not Suspected as a Human Carcinogen</w:t>
      </w:r>
      <w:r>
        <w:rPr>
          <w:b/>
        </w:rPr>
        <w:t xml:space="preserve"> (Tidak Dicurigai Karsinogen terhadap Manusia):</w:t>
      </w:r>
    </w:p>
    <w:p>
      <w:pPr>
        <w:spacing w:after="80"/>
      </w:pPr>
      <w:r>
        <w:rPr/>
        <w:t>Zat tidak dicurigai karsinogenik pada manusia berdasarkan studi epidemiologi yang dirancang baik, masa tindak lanjut (</w:t>
      </w:r>
      <w:r>
        <w:rPr>
          <w:i/>
        </w:rPr>
        <w:t>follow-up</w:t>
      </w:r>
      <w:r>
        <w:rPr/>
        <w:t>) panjang, riwayat pajanan jelas, dosis memadai, dan daya statistik yang cukup.</w:t>
      </w:r>
    </w:p>
    <w:p>
      <w:pPr>
        <w:pStyle w:val="Heading3"/>
      </w:pPr>
      <w:r>
        <w:t>4. Matriks Komparasi dan Contoh Agen Okupasi Kunci</w:t>
      </w:r>
    </w:p>
    <w:p>
      <w:pPr>
        <w:spacing w:after="80"/>
      </w:pPr>
      <w:r>
        <w:rPr/>
        <w:t>Berikut adalah rangkuman komparatif status karsinogenisitas 10 agen okupasi dan logam berat penting yang tercantum dalam dokumen rujukan:</w:t>
      </w:r>
    </w:p>
    <w:tbl>
      <w:tblPr>
        <w:tblStyle w:val="TableGrid"/>
        <w:tblW w:type="auto" w:w="0"/>
        <w:tblLook w:firstColumn="1" w:firstRow="1" w:lastColumn="0" w:lastRow="0" w:noHBand="0" w:noVBand="1" w:val="04A0"/>
      </w:tblPr>
      <w:tblGrid>
        <w:gridCol w:w="1587"/>
        <w:gridCol w:w="1587"/>
        <w:gridCol w:w="1587"/>
        <w:gridCol w:w="1587"/>
        <w:gridCol w:w="1587"/>
        <w:gridCol w:w="1587"/>
      </w:tblGrid>
      <w:tr>
        <w:tc>
          <w:tcPr>
            <w:tcW w:type="dxa" w:w="1587"/>
            <w:shd w:val="clear" w:color="auto" w:fill="DCE6F1"/>
          </w:tcPr>
          <w:p>
            <w:pPr>
              <w:spacing w:after="0"/>
            </w:pPr>
            <w:r/>
            <w:r>
              <w:rPr>
                <w:b/>
                <w:sz w:val="16"/>
              </w:rPr>
              <w:t>Bahan Kimia / Logam Okupasi</w:t>
            </w:r>
          </w:p>
        </w:tc>
        <w:tc>
          <w:tcPr>
            <w:tcW w:type="dxa" w:w="1587"/>
            <w:shd w:val="clear" w:color="auto" w:fill="DCE6F1"/>
          </w:tcPr>
          <w:p>
            <w:pPr>
              <w:spacing w:after="0"/>
            </w:pPr>
            <w:r/>
            <w:r>
              <w:rPr>
                <w:b/>
                <w:sz w:val="16"/>
              </w:rPr>
              <w:t>Klasifikasi IARC</w:t>
            </w:r>
          </w:p>
        </w:tc>
        <w:tc>
          <w:tcPr>
            <w:tcW w:type="dxa" w:w="1587"/>
            <w:shd w:val="clear" w:color="auto" w:fill="DCE6F1"/>
          </w:tcPr>
          <w:p>
            <w:pPr>
              <w:spacing w:after="0"/>
            </w:pPr>
            <w:r/>
            <w:r>
              <w:rPr>
                <w:b/>
                <w:sz w:val="16"/>
              </w:rPr>
              <w:t>Klasifikasi GHS</w:t>
            </w:r>
          </w:p>
        </w:tc>
        <w:tc>
          <w:tcPr>
            <w:tcW w:type="dxa" w:w="1587"/>
            <w:shd w:val="clear" w:color="auto" w:fill="DCE6F1"/>
          </w:tcPr>
          <w:p>
            <w:pPr>
              <w:spacing w:after="0"/>
            </w:pPr>
            <w:r/>
            <w:r>
              <w:rPr>
                <w:b/>
                <w:sz w:val="16"/>
              </w:rPr>
              <w:t>Klasifikasi ACGIH / Permenaker 5/2018</w:t>
            </w:r>
          </w:p>
        </w:tc>
        <w:tc>
          <w:tcPr>
            <w:tcW w:type="dxa" w:w="1587"/>
            <w:shd w:val="clear" w:color="auto" w:fill="DCE6F1"/>
          </w:tcPr>
          <w:p>
            <w:pPr>
              <w:spacing w:after="0"/>
            </w:pPr>
            <w:r/>
            <w:r>
              <w:rPr>
                <w:b/>
                <w:sz w:val="16"/>
              </w:rPr>
              <w:t>Organ Target Kanker Terkait &amp; Catatan Okupasi</w:t>
            </w:r>
          </w:p>
        </w:tc>
        <w:tc>
          <w:tcPr>
            <w:tcW w:type="dxa" w:w="1587"/>
            <w:shd w:val="clear" w:color="auto" w:fill="DCE6F1"/>
          </w:tcPr>
          <w:p>
            <w:pPr>
              <w:spacing w:after="0"/>
            </w:pPr>
            <w:r/>
            <w:r>
              <w:rPr>
                <w:b/>
                <w:sz w:val="16"/>
              </w:rPr>
              <w:t>Dasar Sumber Grounding</w:t>
            </w:r>
          </w:p>
        </w:tc>
      </w:tr>
      <w:tr>
        <w:tc>
          <w:tcPr>
            <w:tcW w:type="dxa" w:w="1587"/>
          </w:tcPr>
          <w:p>
            <w:pPr>
              <w:spacing w:after="0"/>
            </w:pPr>
            <w:r/>
            <w:r>
              <w:rPr>
                <w:b/>
                <w:sz w:val="16"/>
              </w:rPr>
              <w:t>Kromium Heksavalen [Cr(VI)]</w:t>
            </w:r>
          </w:p>
        </w:tc>
        <w:tc>
          <w:tcPr>
            <w:tcW w:type="dxa" w:w="1587"/>
          </w:tcPr>
          <w:p>
            <w:pPr>
              <w:spacing w:after="0"/>
            </w:pPr>
            <w:r/>
            <w:r>
              <w:rPr>
                <w:b/>
                <w:sz w:val="16"/>
              </w:rPr>
              <w:t>Grup 1</w:t>
            </w:r>
          </w:p>
        </w:tc>
        <w:tc>
          <w:tcPr>
            <w:tcW w:type="dxa" w:w="1587"/>
          </w:tcPr>
          <w:p>
            <w:pPr>
              <w:spacing w:after="0"/>
            </w:pPr>
            <w:r/>
            <w:r>
              <w:rPr>
                <w:b/>
                <w:sz w:val="16"/>
              </w:rPr>
              <w:t>Kategori 1A</w:t>
            </w:r>
          </w:p>
        </w:tc>
        <w:tc>
          <w:tcPr>
            <w:tcW w:type="dxa" w:w="1587"/>
          </w:tcPr>
          <w:p>
            <w:pPr>
              <w:spacing w:after="0"/>
            </w:pPr>
            <w:r/>
            <w:r>
              <w:rPr>
                <w:b/>
                <w:sz w:val="16"/>
              </w:rPr>
              <w:t>A1</w:t>
            </w:r>
          </w:p>
        </w:tc>
        <w:tc>
          <w:tcPr>
            <w:tcW w:type="dxa" w:w="1587"/>
          </w:tcPr>
          <w:p>
            <w:pPr>
              <w:spacing w:after="0"/>
            </w:pPr>
            <w:r/>
            <w:r>
              <w:rPr>
                <w:b/>
                <w:sz w:val="16"/>
              </w:rPr>
              <w:t>Kanker Paru, Kanker Rongga Hidung dan Sinus Paranasal</w:t>
            </w:r>
            <w:r>
              <w:rPr>
                <w:sz w:val="16"/>
              </w:rPr>
              <w:t>. Senyawa larut maupun tidak larut air.</w:t>
            </w:r>
          </w:p>
        </w:tc>
        <w:tc>
          <w:tcPr>
            <w:tcW w:type="dxa" w:w="1587"/>
          </w:tcPr>
          <w:p>
            <w:pPr>
              <w:spacing w:after="0"/>
            </w:pPr>
            <w:r/>
          </w:p>
        </w:tc>
      </w:tr>
      <w:tr>
        <w:tc>
          <w:tcPr>
            <w:tcW w:type="dxa" w:w="1587"/>
          </w:tcPr>
          <w:p>
            <w:pPr>
              <w:spacing w:after="0"/>
            </w:pPr>
            <w:r/>
            <w:r>
              <w:rPr>
                <w:b/>
                <w:sz w:val="16"/>
              </w:rPr>
              <w:t>Arsen dan Senyawa Anorganik (As)</w:t>
            </w:r>
          </w:p>
        </w:tc>
        <w:tc>
          <w:tcPr>
            <w:tcW w:type="dxa" w:w="1587"/>
          </w:tcPr>
          <w:p>
            <w:pPr>
              <w:spacing w:after="0"/>
            </w:pPr>
            <w:r/>
            <w:r>
              <w:rPr>
                <w:b/>
                <w:sz w:val="16"/>
              </w:rPr>
              <w:t>Grup 1</w:t>
            </w:r>
          </w:p>
        </w:tc>
        <w:tc>
          <w:tcPr>
            <w:tcW w:type="dxa" w:w="1587"/>
          </w:tcPr>
          <w:p>
            <w:pPr>
              <w:spacing w:after="0"/>
            </w:pPr>
            <w:r/>
            <w:r>
              <w:rPr>
                <w:b/>
                <w:sz w:val="16"/>
              </w:rPr>
              <w:t>Kategori 1A</w:t>
            </w:r>
          </w:p>
        </w:tc>
        <w:tc>
          <w:tcPr>
            <w:tcW w:type="dxa" w:w="1587"/>
          </w:tcPr>
          <w:p>
            <w:pPr>
              <w:spacing w:after="0"/>
            </w:pPr>
            <w:r/>
            <w:r>
              <w:rPr>
                <w:b/>
                <w:sz w:val="16"/>
              </w:rPr>
              <w:t>A1</w:t>
            </w:r>
          </w:p>
        </w:tc>
        <w:tc>
          <w:tcPr>
            <w:tcW w:type="dxa" w:w="1587"/>
          </w:tcPr>
          <w:p>
            <w:pPr>
              <w:spacing w:after="0"/>
            </w:pPr>
            <w:r/>
            <w:r>
              <w:rPr>
                <w:b/>
                <w:sz w:val="16"/>
              </w:rPr>
              <w:t>Kanker Paru, Kanker Kulit, Kanker Kandung Kemih</w:t>
            </w:r>
            <w:r>
              <w:rPr>
                <w:sz w:val="16"/>
              </w:rPr>
              <w:t>. (Catatan: metabolit DMA/MMA tergolong IARC Grup 2B).</w:t>
            </w:r>
          </w:p>
        </w:tc>
        <w:tc>
          <w:tcPr>
            <w:tcW w:type="dxa" w:w="1587"/>
          </w:tcPr>
          <w:p>
            <w:pPr>
              <w:spacing w:after="0"/>
            </w:pPr>
            <w:r/>
          </w:p>
        </w:tc>
      </w:tr>
      <w:tr>
        <w:tc>
          <w:tcPr>
            <w:tcW w:type="dxa" w:w="1587"/>
          </w:tcPr>
          <w:p>
            <w:pPr>
              <w:spacing w:after="0"/>
            </w:pPr>
            <w:r/>
            <w:r>
              <w:rPr>
                <w:b/>
                <w:sz w:val="16"/>
              </w:rPr>
              <w:t>Kadmium dan Senyawanya (Cd)</w:t>
            </w:r>
          </w:p>
        </w:tc>
        <w:tc>
          <w:tcPr>
            <w:tcW w:type="dxa" w:w="1587"/>
          </w:tcPr>
          <w:p>
            <w:pPr>
              <w:spacing w:after="0"/>
            </w:pPr>
            <w:r/>
            <w:r>
              <w:rPr>
                <w:b/>
                <w:sz w:val="16"/>
              </w:rPr>
              <w:t>Grup 1</w:t>
            </w:r>
          </w:p>
        </w:tc>
        <w:tc>
          <w:tcPr>
            <w:tcW w:type="dxa" w:w="1587"/>
          </w:tcPr>
          <w:p>
            <w:pPr>
              <w:spacing w:after="0"/>
            </w:pPr>
            <w:r/>
            <w:r>
              <w:rPr>
                <w:b/>
                <w:sz w:val="16"/>
              </w:rPr>
              <w:t>Kategori 1B</w:t>
            </w:r>
            <w:r>
              <w:rPr>
                <w:sz w:val="16"/>
              </w:rPr>
              <w:t xml:space="preserve"> </w:t>
            </w:r>
            <w:r>
              <w:rPr>
                <w:i/>
                <w:sz w:val="16"/>
              </w:rPr>
              <w:t>(CLP Carc. 1B)</w:t>
            </w:r>
          </w:p>
        </w:tc>
        <w:tc>
          <w:tcPr>
            <w:tcW w:type="dxa" w:w="1587"/>
          </w:tcPr>
          <w:p>
            <w:pPr>
              <w:spacing w:after="0"/>
            </w:pPr>
            <w:r/>
            <w:r>
              <w:rPr>
                <w:b/>
                <w:sz w:val="16"/>
              </w:rPr>
              <w:t>A2</w:t>
            </w:r>
            <w:r>
              <w:rPr>
                <w:sz w:val="16"/>
              </w:rPr>
              <w:t xml:space="preserve"> </w:t>
            </w:r>
            <w:r>
              <w:rPr>
                <w:i/>
                <w:sz w:val="16"/>
              </w:rPr>
              <w:t>(Permenaker A2)</w:t>
            </w:r>
          </w:p>
        </w:tc>
        <w:tc>
          <w:tcPr>
            <w:tcW w:type="dxa" w:w="1587"/>
          </w:tcPr>
          <w:p>
            <w:pPr>
              <w:spacing w:after="0"/>
            </w:pPr>
            <w:r/>
            <w:r>
              <w:rPr>
                <w:b/>
                <w:sz w:val="16"/>
              </w:rPr>
              <w:t>Kanker Paru</w:t>
            </w:r>
            <w:r>
              <w:rPr>
                <w:sz w:val="16"/>
              </w:rPr>
              <w:t>; bukti terbatas pada kanker prostat dan ginjal. Efek kumulatif korteks ginjal.</w:t>
            </w:r>
          </w:p>
        </w:tc>
        <w:tc>
          <w:tcPr>
            <w:tcW w:type="dxa" w:w="1587"/>
          </w:tcPr>
          <w:p>
            <w:pPr>
              <w:spacing w:after="0"/>
            </w:pPr>
            <w:r/>
          </w:p>
        </w:tc>
      </w:tr>
      <w:tr>
        <w:tc>
          <w:tcPr>
            <w:tcW w:type="dxa" w:w="1587"/>
          </w:tcPr>
          <w:p>
            <w:pPr>
              <w:spacing w:after="0"/>
            </w:pPr>
            <w:r/>
            <w:r>
              <w:rPr>
                <w:b/>
                <w:sz w:val="16"/>
              </w:rPr>
              <w:t>Berilium dan Senyawanya (Be)</w:t>
            </w:r>
          </w:p>
        </w:tc>
        <w:tc>
          <w:tcPr>
            <w:tcW w:type="dxa" w:w="1587"/>
          </w:tcPr>
          <w:p>
            <w:pPr>
              <w:spacing w:after="0"/>
            </w:pPr>
            <w:r/>
            <w:r>
              <w:rPr>
                <w:b/>
                <w:sz w:val="16"/>
              </w:rPr>
              <w:t>Grup 1</w:t>
            </w:r>
          </w:p>
        </w:tc>
        <w:tc>
          <w:tcPr>
            <w:tcW w:type="dxa" w:w="1587"/>
          </w:tcPr>
          <w:p>
            <w:pPr>
              <w:spacing w:after="0"/>
            </w:pPr>
            <w:r/>
            <w:r>
              <w:rPr>
                <w:b/>
                <w:sz w:val="16"/>
              </w:rPr>
              <w:t>Kategori 1A / 1B</w:t>
            </w:r>
          </w:p>
        </w:tc>
        <w:tc>
          <w:tcPr>
            <w:tcW w:type="dxa" w:w="1587"/>
          </w:tcPr>
          <w:p>
            <w:pPr>
              <w:spacing w:after="0"/>
            </w:pPr>
            <w:r/>
            <w:r>
              <w:rPr>
                <w:b/>
                <w:sz w:val="16"/>
              </w:rPr>
              <w:t>A1</w:t>
            </w:r>
            <w:r>
              <w:rPr>
                <w:sz w:val="16"/>
              </w:rPr>
              <w:t xml:space="preserve"> </w:t>
            </w:r>
            <w:r>
              <w:rPr>
                <w:i/>
                <w:sz w:val="16"/>
              </w:rPr>
              <w:t>(Permenaker A1; Kulit, DSEN, RSEN)</w:t>
            </w:r>
          </w:p>
        </w:tc>
        <w:tc>
          <w:tcPr>
            <w:tcW w:type="dxa" w:w="1587"/>
          </w:tcPr>
          <w:p>
            <w:pPr>
              <w:spacing w:after="0"/>
            </w:pPr>
            <w:r/>
            <w:r>
              <w:rPr>
                <w:b/>
                <w:sz w:val="16"/>
              </w:rPr>
              <w:t>Kanker Paru</w:t>
            </w:r>
            <w:r>
              <w:rPr>
                <w:sz w:val="16"/>
              </w:rPr>
              <w:t>. Disertai risiko hipersensitivitas paru granulomatosa kronis (CBD).</w:t>
            </w:r>
          </w:p>
        </w:tc>
        <w:tc>
          <w:tcPr>
            <w:tcW w:type="dxa" w:w="1587"/>
          </w:tcPr>
          <w:p>
            <w:pPr>
              <w:spacing w:after="0"/>
            </w:pPr>
            <w:r/>
          </w:p>
        </w:tc>
      </w:tr>
      <w:tr>
        <w:tc>
          <w:tcPr>
            <w:tcW w:type="dxa" w:w="1587"/>
          </w:tcPr>
          <w:p>
            <w:pPr>
              <w:spacing w:after="0"/>
            </w:pPr>
            <w:r/>
            <w:r>
              <w:rPr>
                <w:b/>
                <w:sz w:val="16"/>
              </w:rPr>
              <w:t>Nikel &amp; Senyawanya (Ni)</w:t>
            </w:r>
          </w:p>
        </w:tc>
        <w:tc>
          <w:tcPr>
            <w:tcW w:type="dxa" w:w="1587"/>
          </w:tcPr>
          <w:p>
            <w:pPr>
              <w:spacing w:after="0"/>
            </w:pPr>
            <w:r/>
            <w:r>
              <w:rPr>
                <w:b/>
                <w:sz w:val="16"/>
              </w:rPr>
              <w:t>Grup 1</w:t>
            </w:r>
            <w:r>
              <w:rPr>
                <w:sz w:val="16"/>
              </w:rPr>
              <w:t xml:space="preserve"> </w:t>
            </w:r>
            <w:r>
              <w:rPr>
                <w:i/>
                <w:sz w:val="16"/>
              </w:rPr>
              <w:t>(Senyawa Ni)</w:t>
            </w:r>
            <w:r>
              <w:rPr>
                <w:sz w:val="16"/>
              </w:rPr>
              <w:t xml:space="preserve">; </w:t>
            </w:r>
            <w:r>
              <w:rPr>
                <w:b/>
                <w:sz w:val="16"/>
              </w:rPr>
              <w:t>Grup 2B</w:t>
            </w:r>
            <w:r>
              <w:rPr>
                <w:sz w:val="16"/>
              </w:rPr>
              <w:t xml:space="preserve"> </w:t>
            </w:r>
            <w:r>
              <w:rPr>
                <w:i/>
                <w:sz w:val="16"/>
              </w:rPr>
              <w:t>(Logam Ni)</w:t>
            </w:r>
          </w:p>
        </w:tc>
        <w:tc>
          <w:tcPr>
            <w:tcW w:type="dxa" w:w="1587"/>
          </w:tcPr>
          <w:p>
            <w:pPr>
              <w:spacing w:after="0"/>
            </w:pPr>
            <w:r/>
            <w:r>
              <w:rPr>
                <w:b/>
                <w:sz w:val="16"/>
              </w:rPr>
              <w:t>Kategori 1A</w:t>
            </w:r>
            <w:r>
              <w:rPr>
                <w:sz w:val="16"/>
              </w:rPr>
              <w:t xml:space="preserve"> </w:t>
            </w:r>
            <w:r>
              <w:rPr>
                <w:i/>
                <w:sz w:val="16"/>
              </w:rPr>
              <w:t>(Senyawa Ni)</w:t>
            </w:r>
          </w:p>
        </w:tc>
        <w:tc>
          <w:tcPr>
            <w:tcW w:type="dxa" w:w="1587"/>
          </w:tcPr>
          <w:p>
            <w:pPr>
              <w:spacing w:after="0"/>
            </w:pPr>
            <w:r/>
            <w:r>
              <w:rPr>
                <w:b/>
                <w:sz w:val="16"/>
              </w:rPr>
              <w:t>A1</w:t>
            </w:r>
            <w:r>
              <w:rPr>
                <w:sz w:val="16"/>
              </w:rPr>
              <w:t xml:space="preserve"> </w:t>
            </w:r>
            <w:r>
              <w:rPr>
                <w:i/>
                <w:sz w:val="16"/>
              </w:rPr>
              <w:t>(Nickel subsulfide &amp; insoluble)</w:t>
            </w:r>
            <w:r>
              <w:rPr>
                <w:sz w:val="16"/>
              </w:rPr>
              <w:t xml:space="preserve">; </w:t>
            </w:r>
            <w:r>
              <w:rPr>
                <w:b/>
                <w:sz w:val="16"/>
              </w:rPr>
              <w:t>A4 / A5</w:t>
            </w:r>
            <w:r>
              <w:rPr>
                <w:sz w:val="16"/>
              </w:rPr>
              <w:t xml:space="preserve"> </w:t>
            </w:r>
            <w:r>
              <w:rPr>
                <w:i/>
                <w:sz w:val="16"/>
              </w:rPr>
              <w:t>(Logam/Soluble)</w:t>
            </w:r>
          </w:p>
        </w:tc>
        <w:tc>
          <w:tcPr>
            <w:tcW w:type="dxa" w:w="1587"/>
          </w:tcPr>
          <w:p>
            <w:pPr>
              <w:spacing w:after="0"/>
            </w:pPr>
            <w:r/>
            <w:r>
              <w:rPr>
                <w:b/>
                <w:sz w:val="16"/>
              </w:rPr>
              <w:t>Kanker Paru dan Kanker Rongga Hidung / Sinus</w:t>
            </w:r>
            <w:r>
              <w:rPr>
                <w:sz w:val="16"/>
              </w:rPr>
              <w:t xml:space="preserve">. Bukti paling kuat pada </w:t>
            </w:r>
            <w:r>
              <w:rPr>
                <w:i/>
                <w:sz w:val="16"/>
              </w:rPr>
              <w:t>nickel subsulfide</w:t>
            </w:r>
            <w:r>
              <w:rPr>
                <w:sz w:val="16"/>
              </w:rPr>
              <w:t xml:space="preserve"> (Ni₃S₂).</w:t>
            </w:r>
          </w:p>
        </w:tc>
        <w:tc>
          <w:tcPr>
            <w:tcW w:type="dxa" w:w="1587"/>
          </w:tcPr>
          <w:p>
            <w:pPr>
              <w:spacing w:after="0"/>
            </w:pPr>
            <w:r/>
          </w:p>
        </w:tc>
      </w:tr>
      <w:tr>
        <w:tc>
          <w:tcPr>
            <w:tcW w:type="dxa" w:w="1587"/>
          </w:tcPr>
          <w:p>
            <w:pPr>
              <w:spacing w:after="0"/>
            </w:pPr>
            <w:r/>
            <w:r>
              <w:rPr>
                <w:b/>
                <w:sz w:val="16"/>
              </w:rPr>
              <w:t>Benzena</w:t>
            </w:r>
          </w:p>
        </w:tc>
        <w:tc>
          <w:tcPr>
            <w:tcW w:type="dxa" w:w="1587"/>
          </w:tcPr>
          <w:p>
            <w:pPr>
              <w:spacing w:after="0"/>
            </w:pPr>
            <w:r/>
            <w:r>
              <w:rPr>
                <w:b/>
                <w:sz w:val="16"/>
              </w:rPr>
              <w:t>Grup 1</w:t>
            </w:r>
          </w:p>
        </w:tc>
        <w:tc>
          <w:tcPr>
            <w:tcW w:type="dxa" w:w="1587"/>
          </w:tcPr>
          <w:p>
            <w:pPr>
              <w:spacing w:after="0"/>
            </w:pPr>
            <w:r/>
            <w:r>
              <w:rPr>
                <w:b/>
                <w:sz w:val="16"/>
              </w:rPr>
              <w:t>Kategori 1A</w:t>
            </w:r>
          </w:p>
        </w:tc>
        <w:tc>
          <w:tcPr>
            <w:tcW w:type="dxa" w:w="1587"/>
          </w:tcPr>
          <w:p>
            <w:pPr>
              <w:spacing w:after="0"/>
            </w:pPr>
            <w:r/>
            <w:r>
              <w:rPr>
                <w:b/>
                <w:sz w:val="16"/>
              </w:rPr>
              <w:t>A1</w:t>
            </w:r>
            <w:r>
              <w:rPr>
                <w:sz w:val="16"/>
              </w:rPr>
              <w:t xml:space="preserve"> </w:t>
            </w:r>
            <w:r>
              <w:rPr>
                <w:i/>
                <w:sz w:val="16"/>
              </w:rPr>
              <w:t>(Permenaker A1; Kulit, BEI)</w:t>
            </w:r>
          </w:p>
        </w:tc>
        <w:tc>
          <w:tcPr>
            <w:tcW w:type="dxa" w:w="1587"/>
          </w:tcPr>
          <w:p>
            <w:pPr>
              <w:spacing w:after="0"/>
            </w:pPr>
            <w:r/>
            <w:r>
              <w:rPr>
                <w:b/>
                <w:sz w:val="16"/>
              </w:rPr>
              <w:t>Leukemia Mieloid Akut (AML)</w:t>
            </w:r>
            <w:r>
              <w:rPr>
                <w:sz w:val="16"/>
              </w:rPr>
              <w:t>, Sindrom Mielodisplastik (MDS), kerusakan sumsum tulang kumulatif.</w:t>
            </w:r>
          </w:p>
        </w:tc>
        <w:tc>
          <w:tcPr>
            <w:tcW w:type="dxa" w:w="1587"/>
          </w:tcPr>
          <w:p>
            <w:pPr>
              <w:spacing w:after="0"/>
            </w:pPr>
            <w:r/>
          </w:p>
        </w:tc>
      </w:tr>
      <w:tr>
        <w:tc>
          <w:tcPr>
            <w:tcW w:type="dxa" w:w="1587"/>
          </w:tcPr>
          <w:p>
            <w:pPr>
              <w:spacing w:after="0"/>
            </w:pPr>
            <w:r/>
            <w:r>
              <w:rPr>
                <w:b/>
                <w:sz w:val="16"/>
              </w:rPr>
              <w:t>Asbes (Semua bentuk serat)</w:t>
            </w:r>
          </w:p>
        </w:tc>
        <w:tc>
          <w:tcPr>
            <w:tcW w:type="dxa" w:w="1587"/>
          </w:tcPr>
          <w:p>
            <w:pPr>
              <w:spacing w:after="0"/>
            </w:pPr>
            <w:r/>
            <w:r>
              <w:rPr>
                <w:b/>
                <w:sz w:val="16"/>
              </w:rPr>
              <w:t>Grup 1</w:t>
            </w:r>
          </w:p>
        </w:tc>
        <w:tc>
          <w:tcPr>
            <w:tcW w:type="dxa" w:w="1587"/>
          </w:tcPr>
          <w:p>
            <w:pPr>
              <w:spacing w:after="0"/>
            </w:pPr>
            <w:r/>
            <w:r>
              <w:rPr>
                <w:b/>
                <w:sz w:val="16"/>
              </w:rPr>
              <w:t>Kategori 1A</w:t>
            </w:r>
          </w:p>
        </w:tc>
        <w:tc>
          <w:tcPr>
            <w:tcW w:type="dxa" w:w="1587"/>
          </w:tcPr>
          <w:p>
            <w:pPr>
              <w:spacing w:after="0"/>
            </w:pPr>
            <w:r/>
            <w:r>
              <w:rPr>
                <w:b/>
                <w:sz w:val="16"/>
              </w:rPr>
              <w:t>A1</w:t>
            </w:r>
            <w:r>
              <w:rPr>
                <w:sz w:val="16"/>
              </w:rPr>
              <w:t xml:space="preserve"> </w:t>
            </w:r>
            <w:r>
              <w:rPr>
                <w:i/>
                <w:sz w:val="16"/>
              </w:rPr>
              <w:t>(Permenaker A1; 0,1 serat/ml)</w:t>
            </w:r>
          </w:p>
        </w:tc>
        <w:tc>
          <w:tcPr>
            <w:tcW w:type="dxa" w:w="1587"/>
          </w:tcPr>
          <w:p>
            <w:pPr>
              <w:spacing w:after="0"/>
            </w:pPr>
            <w:r/>
            <w:r>
              <w:rPr>
                <w:b/>
                <w:sz w:val="16"/>
              </w:rPr>
              <w:t>Mesotelioma (Pleura/Peritoneum), Kanker Paru</w:t>
            </w:r>
            <w:r>
              <w:rPr>
                <w:sz w:val="16"/>
              </w:rPr>
              <w:t>, Kanker Laring, Kanker Ovarium.</w:t>
            </w:r>
          </w:p>
        </w:tc>
        <w:tc>
          <w:tcPr>
            <w:tcW w:type="dxa" w:w="1587"/>
          </w:tcPr>
          <w:p>
            <w:pPr>
              <w:spacing w:after="0"/>
            </w:pPr>
            <w:r/>
          </w:p>
        </w:tc>
      </w:tr>
      <w:tr>
        <w:tc>
          <w:tcPr>
            <w:tcW w:type="dxa" w:w="1587"/>
          </w:tcPr>
          <w:p>
            <w:pPr>
              <w:spacing w:after="0"/>
            </w:pPr>
            <w:r/>
            <w:r>
              <w:rPr>
                <w:b/>
                <w:sz w:val="16"/>
              </w:rPr>
              <w:t>Vinil Klorida Monomer (VCM)</w:t>
            </w:r>
          </w:p>
        </w:tc>
        <w:tc>
          <w:tcPr>
            <w:tcW w:type="dxa" w:w="1587"/>
          </w:tcPr>
          <w:p>
            <w:pPr>
              <w:spacing w:after="0"/>
            </w:pPr>
            <w:r/>
            <w:r>
              <w:rPr>
                <w:b/>
                <w:sz w:val="16"/>
              </w:rPr>
              <w:t>Grup 1</w:t>
            </w:r>
          </w:p>
        </w:tc>
        <w:tc>
          <w:tcPr>
            <w:tcW w:type="dxa" w:w="1587"/>
          </w:tcPr>
          <w:p>
            <w:pPr>
              <w:spacing w:after="0"/>
            </w:pPr>
            <w:r/>
            <w:r>
              <w:rPr>
                <w:b/>
                <w:sz w:val="16"/>
              </w:rPr>
              <w:t>Kategori 1A</w:t>
            </w:r>
          </w:p>
        </w:tc>
        <w:tc>
          <w:tcPr>
            <w:tcW w:type="dxa" w:w="1587"/>
          </w:tcPr>
          <w:p>
            <w:pPr>
              <w:spacing w:after="0"/>
            </w:pPr>
            <w:r/>
            <w:r>
              <w:rPr>
                <w:b/>
                <w:sz w:val="16"/>
              </w:rPr>
              <w:t>A1</w:t>
            </w:r>
            <w:r>
              <w:rPr>
                <w:sz w:val="16"/>
              </w:rPr>
              <w:t xml:space="preserve"> </w:t>
            </w:r>
            <w:r>
              <w:rPr>
                <w:i/>
                <w:sz w:val="16"/>
              </w:rPr>
              <w:t>(Permenaker A1)</w:t>
            </w:r>
          </w:p>
        </w:tc>
        <w:tc>
          <w:tcPr>
            <w:tcW w:type="dxa" w:w="1587"/>
          </w:tcPr>
          <w:p>
            <w:pPr>
              <w:spacing w:after="0"/>
            </w:pPr>
            <w:r/>
            <w:r>
              <w:rPr>
                <w:b/>
                <w:sz w:val="16"/>
              </w:rPr>
              <w:t>Angiosarkoma Hati (</w:t>
            </w:r>
            <w:r>
              <w:rPr>
                <w:b/>
                <w:i/>
                <w:sz w:val="16"/>
              </w:rPr>
              <w:t>Hepatic Angiosarcoma</w:t>
            </w:r>
            <w:r>
              <w:rPr>
                <w:b/>
                <w:sz w:val="16"/>
              </w:rPr>
              <w:t>)</w:t>
            </w:r>
            <w:r>
              <w:rPr>
                <w:sz w:val="16"/>
              </w:rPr>
              <w:t>, Karsinoma Hepatoseluler.</w:t>
            </w:r>
          </w:p>
        </w:tc>
        <w:tc>
          <w:tcPr>
            <w:tcW w:type="dxa" w:w="1587"/>
          </w:tcPr>
          <w:p>
            <w:pPr>
              <w:spacing w:after="0"/>
            </w:pPr>
            <w:r/>
          </w:p>
        </w:tc>
      </w:tr>
      <w:tr>
        <w:tc>
          <w:tcPr>
            <w:tcW w:type="dxa" w:w="1587"/>
          </w:tcPr>
          <w:p>
            <w:pPr>
              <w:spacing w:after="0"/>
            </w:pPr>
            <w:r/>
            <w:r>
              <w:rPr>
                <w:b/>
                <w:sz w:val="16"/>
              </w:rPr>
              <w:t>Timbal Anorganik (Pb)</w:t>
            </w:r>
          </w:p>
        </w:tc>
        <w:tc>
          <w:tcPr>
            <w:tcW w:type="dxa" w:w="1587"/>
          </w:tcPr>
          <w:p>
            <w:pPr>
              <w:spacing w:after="0"/>
            </w:pPr>
            <w:r/>
            <w:r>
              <w:rPr>
                <w:b/>
                <w:sz w:val="16"/>
              </w:rPr>
              <w:t>Grup 2A</w:t>
            </w:r>
            <w:r>
              <w:rPr>
                <w:sz w:val="16"/>
              </w:rPr>
              <w:t xml:space="preserve"> </w:t>
            </w:r>
            <w:r>
              <w:rPr>
                <w:i/>
                <w:sz w:val="16"/>
              </w:rPr>
              <w:t>(Inorganik Pb)</w:t>
            </w:r>
            <w:r>
              <w:rPr>
                <w:sz w:val="16"/>
              </w:rPr>
              <w:t xml:space="preserve">; </w:t>
            </w:r>
            <w:r>
              <w:rPr>
                <w:b/>
                <w:sz w:val="16"/>
              </w:rPr>
              <w:t>Grup 3</w:t>
            </w:r>
            <w:r>
              <w:rPr>
                <w:sz w:val="16"/>
              </w:rPr>
              <w:t xml:space="preserve"> </w:t>
            </w:r>
            <w:r>
              <w:rPr>
                <w:i/>
                <w:sz w:val="16"/>
              </w:rPr>
              <w:t>(Organik Pb)</w:t>
            </w:r>
          </w:p>
        </w:tc>
        <w:tc>
          <w:tcPr>
            <w:tcW w:type="dxa" w:w="1587"/>
          </w:tcPr>
          <w:p>
            <w:pPr>
              <w:spacing w:after="0"/>
            </w:pPr>
            <w:r/>
            <w:r>
              <w:rPr>
                <w:b/>
                <w:sz w:val="16"/>
              </w:rPr>
              <w:t>Kategori 1B / 2</w:t>
            </w:r>
          </w:p>
        </w:tc>
        <w:tc>
          <w:tcPr>
            <w:tcW w:type="dxa" w:w="1587"/>
          </w:tcPr>
          <w:p>
            <w:pPr>
              <w:spacing w:after="0"/>
            </w:pPr>
            <w:r/>
            <w:r>
              <w:rPr>
                <w:b/>
                <w:sz w:val="16"/>
              </w:rPr>
              <w:t>A3</w:t>
            </w:r>
            <w:r>
              <w:rPr>
                <w:sz w:val="16"/>
              </w:rPr>
              <w:t xml:space="preserve"> </w:t>
            </w:r>
            <w:r>
              <w:rPr>
                <w:i/>
                <w:sz w:val="16"/>
              </w:rPr>
              <w:t>(Inorganik Pb)</w:t>
            </w:r>
            <w:r>
              <w:rPr>
                <w:sz w:val="16"/>
              </w:rPr>
              <w:t xml:space="preserve">; </w:t>
            </w:r>
            <w:r>
              <w:rPr>
                <w:b/>
                <w:sz w:val="16"/>
              </w:rPr>
              <w:t>A2</w:t>
            </w:r>
            <w:r>
              <w:rPr>
                <w:sz w:val="16"/>
              </w:rPr>
              <w:t xml:space="preserve"> </w:t>
            </w:r>
            <w:r>
              <w:rPr>
                <w:i/>
                <w:sz w:val="16"/>
              </w:rPr>
              <w:t>(Timbal kromat)</w:t>
            </w:r>
            <w:r>
              <w:rPr>
                <w:sz w:val="16"/>
              </w:rPr>
              <w:t xml:space="preserve">; </w:t>
            </w:r>
            <w:r>
              <w:rPr>
                <w:b/>
                <w:sz w:val="16"/>
              </w:rPr>
              <w:t>A4</w:t>
            </w:r>
            <w:r>
              <w:rPr>
                <w:sz w:val="16"/>
              </w:rPr>
              <w:t xml:space="preserve"> </w:t>
            </w:r>
            <w:r>
              <w:rPr>
                <w:i/>
                <w:sz w:val="16"/>
              </w:rPr>
              <w:t>(Tetraetil Pb)</w:t>
            </w:r>
          </w:p>
        </w:tc>
        <w:tc>
          <w:tcPr>
            <w:tcW w:type="dxa" w:w="1587"/>
          </w:tcPr>
          <w:p>
            <w:pPr>
              <w:spacing w:after="0"/>
            </w:pPr>
            <w:r/>
            <w:r>
              <w:rPr>
                <w:sz w:val="16"/>
              </w:rPr>
              <w:t>Bukti terbatas pada kanker lambung, paru, dan ginjal pada manusia; tumor ginjal pada hewan coba.</w:t>
            </w:r>
          </w:p>
        </w:tc>
        <w:tc>
          <w:tcPr>
            <w:tcW w:type="dxa" w:w="1587"/>
          </w:tcPr>
          <w:p>
            <w:pPr>
              <w:spacing w:after="0"/>
            </w:pPr>
            <w:r/>
          </w:p>
        </w:tc>
      </w:tr>
      <w:tr>
        <w:tc>
          <w:tcPr>
            <w:tcW w:type="dxa" w:w="1587"/>
          </w:tcPr>
          <w:p>
            <w:pPr>
              <w:spacing w:after="0"/>
            </w:pPr>
            <w:r/>
            <w:r>
              <w:rPr>
                <w:b/>
                <w:sz w:val="16"/>
              </w:rPr>
              <w:t>Merkuri / Raksa (Hg)</w:t>
            </w:r>
          </w:p>
        </w:tc>
        <w:tc>
          <w:tcPr>
            <w:tcW w:type="dxa" w:w="1587"/>
          </w:tcPr>
          <w:p>
            <w:pPr>
              <w:spacing w:after="0"/>
            </w:pPr>
            <w:r/>
            <w:r>
              <w:rPr>
                <w:b/>
                <w:sz w:val="16"/>
              </w:rPr>
              <w:t>Grup 3</w:t>
            </w:r>
            <w:r>
              <w:rPr>
                <w:sz w:val="16"/>
              </w:rPr>
              <w:t xml:space="preserve"> </w:t>
            </w:r>
            <w:r>
              <w:rPr>
                <w:i/>
                <w:sz w:val="16"/>
              </w:rPr>
              <w:t>(Elemental &amp; Anorganik)</w:t>
            </w:r>
            <w:r>
              <w:rPr>
                <w:sz w:val="16"/>
              </w:rPr>
              <w:t xml:space="preserve">; </w:t>
            </w:r>
            <w:r>
              <w:rPr>
                <w:b/>
                <w:sz w:val="16"/>
              </w:rPr>
              <w:t>Grup 2B</w:t>
            </w:r>
            <w:r>
              <w:rPr>
                <w:sz w:val="16"/>
              </w:rPr>
              <w:t xml:space="preserve"> </w:t>
            </w:r>
            <w:r>
              <w:rPr>
                <w:i/>
                <w:sz w:val="16"/>
              </w:rPr>
              <w:t>(Metilmerkuri)</w:t>
            </w:r>
          </w:p>
        </w:tc>
        <w:tc>
          <w:tcPr>
            <w:tcW w:type="dxa" w:w="1587"/>
          </w:tcPr>
          <w:p>
            <w:pPr>
              <w:spacing w:after="0"/>
            </w:pPr>
            <w:r/>
            <w:r>
              <w:rPr>
                <w:b/>
                <w:sz w:val="16"/>
              </w:rPr>
              <w:t>Bukan Karsinogen</w:t>
            </w:r>
            <w:r>
              <w:rPr>
                <w:sz w:val="16"/>
              </w:rPr>
              <w:t xml:space="preserve"> </w:t>
            </w:r>
            <w:r>
              <w:rPr>
                <w:i/>
                <w:sz w:val="16"/>
              </w:rPr>
              <w:t>(Not Classified)</w:t>
            </w:r>
          </w:p>
        </w:tc>
        <w:tc>
          <w:tcPr>
            <w:tcW w:type="dxa" w:w="1587"/>
          </w:tcPr>
          <w:p>
            <w:pPr>
              <w:spacing w:after="0"/>
            </w:pPr>
            <w:r/>
            <w:r>
              <w:rPr>
                <w:b/>
                <w:sz w:val="16"/>
              </w:rPr>
              <w:t>A4</w:t>
            </w:r>
            <w:r>
              <w:rPr>
                <w:sz w:val="16"/>
              </w:rPr>
              <w:t xml:space="preserve"> </w:t>
            </w:r>
            <w:r>
              <w:rPr>
                <w:i/>
                <w:sz w:val="16"/>
              </w:rPr>
              <w:t>(Permenaker: Bukan Karsinogen)</w:t>
            </w:r>
          </w:p>
        </w:tc>
        <w:tc>
          <w:tcPr>
            <w:tcW w:type="dxa" w:w="1587"/>
          </w:tcPr>
          <w:p>
            <w:pPr>
              <w:spacing w:after="0"/>
            </w:pPr>
            <w:r/>
            <w:r>
              <w:rPr>
                <w:sz w:val="16"/>
              </w:rPr>
              <w:t>Tidak dapat diklasifikasikan sebagai karsinogen manusia karena bukti epidemiologi tidak memadai.</w:t>
            </w:r>
          </w:p>
        </w:tc>
        <w:tc>
          <w:tcPr>
            <w:tcW w:type="dxa" w:w="1587"/>
          </w:tcPr>
          <w:p>
            <w:pPr>
              <w:spacing w:after="0"/>
            </w:pPr>
            <w:r/>
          </w:p>
        </w:tc>
      </w:tr>
    </w:tbl>
    <w:p>
      <w:pPr>
        <w:spacing w:after="40"/>
      </w:pPr>
    </w:p>
    <w:p>
      <w:r>
        <w:rPr>
          <w:b/>
          <w:sz w:val="16"/>
        </w:rPr>
        <w:t>Sumber yang dirujuk NotebookLM:</w:t>
      </w:r>
    </w:p>
    <w:p>
      <w:pPr>
        <w:spacing w:after="0"/>
        <w:ind w:left="283"/>
      </w:pPr>
      <w:r>
        <w:rPr>
          <w:b/>
          <w:color w:val="595959"/>
          <w:sz w:val="16"/>
        </w:rPr>
        <w:t>IARC (2012).</w:t>
      </w:r>
      <w:r>
        <w:rPr>
          <w:color w:val="595959"/>
          <w:sz w:val="16"/>
        </w:rPr>
        <w:t xml:space="preserve"> </w:t>
      </w:r>
      <w:r>
        <w:rPr>
          <w:i/>
          <w:color w:val="595959"/>
          <w:sz w:val="16"/>
        </w:rPr>
        <w:t>A Review of Human Carcinogens: Arsenic, Metals, Fibres, and Dusts (IARC Monographs Vol. 100C)</w:t>
      </w:r>
      <w:r>
        <w:rPr>
          <w:color w:val="595959"/>
          <w:sz w:val="16"/>
        </w:rPr>
        <w:t xml:space="preserve"> — </w:t>
      </w:r>
      <w:r>
        <w:rPr>
          <w:i/>
          <w:color w:val="595959"/>
          <w:sz w:val="16"/>
        </w:rPr>
        <w:t>Preamble</w:t>
      </w:r>
      <w:r>
        <w:rPr>
          <w:color w:val="595959"/>
          <w:sz w:val="16"/>
        </w:rPr>
        <w:t xml:space="preserve"> (Kriteria Grup 1, 2A, 2B, 3, dan Evaluasi Bukti, hlm. 22–27); </w:t>
      </w:r>
      <w:r>
        <w:rPr>
          <w:i/>
          <w:color w:val="595959"/>
          <w:sz w:val="16"/>
        </w:rPr>
        <w:t>General Remarks &amp; Evaluations</w:t>
      </w:r>
      <w:r>
        <w:rPr>
          <w:color w:val="595959"/>
          <w:sz w:val="16"/>
        </w:rPr>
        <w:t xml:space="preserve"> untuk Arsenik [Grup 1, hlm. 48], Berilium [Grup 1, hlm. 102], Kadmium [Grup 1, hlm. 144], Kromium VI [Grup 1, hlm. 165], Nikel [Grup 1 senyawa vs Grup 2B logam, hlm. 197–198, 211], Asbes [Grup 1 semua bentuk, hlm. 294–295]; serta </w:t>
      </w:r>
      <w:r>
        <w:rPr>
          <w:i/>
          <w:color w:val="595959"/>
          <w:sz w:val="16"/>
        </w:rPr>
        <w:t>Cumulative Cross Index</w:t>
      </w:r>
      <w:r>
        <w:rPr>
          <w:color w:val="595959"/>
          <w:sz w:val="16"/>
        </w:rPr>
        <w:t>.</w:t>
      </w:r>
    </w:p>
    <w:p>
      <w:pPr>
        <w:spacing w:after="0"/>
        <w:ind w:left="283"/>
      </w:pPr>
      <w:r>
        <w:rPr>
          <w:b/>
          <w:color w:val="595959"/>
          <w:sz w:val="16"/>
        </w:rPr>
        <w:t>United Nations (2019).</w:t>
      </w:r>
      <w:r>
        <w:rPr>
          <w:color w:val="595959"/>
          <w:sz w:val="16"/>
        </w:rPr>
        <w:t xml:space="preserve"> </w:t>
      </w:r>
      <w:r>
        <w:rPr>
          <w:i/>
          <w:color w:val="595959"/>
          <w:sz w:val="16"/>
        </w:rPr>
        <w:t>Globally Harmonized System of Classification and Labelling of Chemicals (GHS), 8th revised edition</w:t>
      </w:r>
      <w:r>
        <w:rPr>
          <w:color w:val="595959"/>
          <w:sz w:val="16"/>
        </w:rPr>
        <w:t xml:space="preserve"> — Bab 1.1 (</w:t>
      </w:r>
      <w:r>
        <w:rPr>
          <w:i/>
          <w:color w:val="595959"/>
          <w:sz w:val="16"/>
        </w:rPr>
        <w:t>Hazard vs. Risk</w:t>
      </w:r>
      <w:r>
        <w:rPr>
          <w:color w:val="595959"/>
          <w:sz w:val="16"/>
        </w:rPr>
        <w:t>, Formula Risk = Hazard × Exposure, hlm. 5); Bab 3.6 (</w:t>
      </w:r>
      <w:r>
        <w:rPr>
          <w:i/>
          <w:color w:val="595959"/>
          <w:sz w:val="16"/>
        </w:rPr>
        <w:t>Carcinogenicity</w:t>
      </w:r>
      <w:r>
        <w:rPr>
          <w:color w:val="595959"/>
          <w:sz w:val="16"/>
        </w:rPr>
        <w:t>: Kriteria Kategori 1A, 1B, 2; Tabel Piktogram, Kata Sinyal Danger/Warning, Hazard Statement H350/H351, Decision Logic, dan Cut-off Campuran 0,1% vs 1,0%, hlm. 175–186).</w:t>
      </w:r>
    </w:p>
    <w:p>
      <w:pPr>
        <w:spacing w:after="0"/>
        <w:ind w:left="283"/>
      </w:pPr>
      <w:r>
        <w:rPr>
          <w:b/>
          <w:color w:val="595959"/>
          <w:sz w:val="16"/>
        </w:rPr>
        <w:t>ACGIH (2026/Current Edition).</w:t>
      </w:r>
      <w:r>
        <w:rPr>
          <w:color w:val="595959"/>
          <w:sz w:val="16"/>
        </w:rPr>
        <w:t xml:space="preserve"> </w:t>
      </w:r>
      <w:r>
        <w:rPr>
          <w:i/>
          <w:color w:val="595959"/>
          <w:sz w:val="16"/>
        </w:rPr>
        <w:t>TLVs® and BEIs®: Threshold Limit Values for Chemical Substances</w:t>
      </w:r>
      <w:r>
        <w:rPr>
          <w:color w:val="595959"/>
          <w:sz w:val="16"/>
        </w:rPr>
        <w:t xml:space="preserve"> — </w:t>
      </w:r>
      <w:r>
        <w:rPr>
          <w:i/>
          <w:color w:val="595959"/>
          <w:sz w:val="16"/>
        </w:rPr>
        <w:t>Appendix A: Carcinogenicity Categories A1 to A5</w:t>
      </w:r>
      <w:r>
        <w:rPr>
          <w:color w:val="595959"/>
          <w:sz w:val="16"/>
        </w:rPr>
        <w:t xml:space="preserve"> (Definisi Lengkap dan Implikasi Perlindungan ALARA, hlm. 83–84) serta </w:t>
      </w:r>
      <w:r>
        <w:rPr>
          <w:i/>
          <w:color w:val="595959"/>
          <w:sz w:val="16"/>
        </w:rPr>
        <w:t>Adopted Values Table</w:t>
      </w:r>
      <w:r>
        <w:rPr>
          <w:color w:val="595959"/>
          <w:sz w:val="16"/>
        </w:rPr>
        <w:t xml:space="preserve"> (Notasi Karsinogenitas Arsen, Asbes, Kadmium, Cr VI, Benzena, Nikel, Timbal, Merkuri).</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 xml:space="preserve"> — Lampiran 3: Bagian B (</w:t>
      </w:r>
      <w:r>
        <w:rPr>
          <w:i/>
          <w:color w:val="595959"/>
          <w:sz w:val="16"/>
        </w:rPr>
        <w:t>Kategori Karsinogenitas A-1 sampai A-5, Repr</w:t>
      </w:r>
      <w:r>
        <w:rPr>
          <w:color w:val="595959"/>
          <w:sz w:val="16"/>
        </w:rPr>
        <w:t>) dan Tabel Nilai Ambang Batas Faktor Kimia.</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 xml:space="preserve"> — Bab 11 (</w:t>
      </w:r>
      <w:r>
        <w:rPr>
          <w:i/>
          <w:color w:val="595959"/>
          <w:sz w:val="16"/>
        </w:rPr>
        <w:t>Chemical Carcinogenesis: IARC System Table 11.3, EPA Weight of Evidence Table 23.3, Mutagenesis vs Carcinogenesis</w:t>
      </w:r>
      <w:r>
        <w:rPr>
          <w:color w:val="595959"/>
          <w:sz w:val="16"/>
        </w:rPr>
        <w:t>); Bab 23 (</w:t>
      </w:r>
      <w:r>
        <w:rPr>
          <w:i/>
          <w:color w:val="595959"/>
          <w:sz w:val="16"/>
        </w:rPr>
        <w:t>Cancer Risk Assessment: Non-threshold, Slope Factor, Excess Cancer Risk, Hazard Identification Step</w:t>
      </w:r>
      <w:r>
        <w:rPr>
          <w:color w:val="595959"/>
          <w:sz w:val="16"/>
        </w:rPr>
        <w:t>).</w:t>
      </w:r>
    </w:p>
    <w:p>
      <w:pPr>
        <w:spacing w:after="0"/>
        <w:ind w:left="283"/>
      </w:pPr>
      <w:r>
        <w:rPr>
          <w:b/>
          <w:color w:val="595959"/>
          <w:sz w:val="16"/>
        </w:rPr>
        <w:t>Wild et al. (2009) / Methods in Molecular Biology.</w:t>
      </w:r>
      <w:r>
        <w:rPr>
          <w:color w:val="595959"/>
          <w:sz w:val="16"/>
        </w:rPr>
        <w:t xml:space="preserve"> </w:t>
      </w:r>
      <w:r>
        <w:rPr>
          <w:i/>
          <w:color w:val="595959"/>
          <w:sz w:val="16"/>
        </w:rPr>
        <w:t>Lung Cancer and Exposure to Metals: The Epidemiological Evidence</w:t>
      </w:r>
      <w:r>
        <w:rPr>
          <w:color w:val="595959"/>
          <w:sz w:val="16"/>
        </w:rPr>
        <w:t xml:space="preserve"> — Tinjauan Epidemiologi Logam: Cr(VI), Ni, Cd, Be, As (Grup 1); Timbal Inorganik (Grup 2A); dan Merkuri (Grup 3).</w:t>
      </w:r>
    </w:p>
    <w:p>
      <w:pPr>
        <w:spacing w:after="0"/>
        <w:ind w:left="283"/>
      </w:pPr>
      <w:r>
        <w:rPr>
          <w:b/>
          <w:color w:val="595959"/>
          <w:sz w:val="16"/>
        </w:rPr>
        <w:t>Salinan Peraturan Presiden RI No. 7 Tahun 2019.</w:t>
      </w:r>
      <w:r>
        <w:rPr>
          <w:color w:val="595959"/>
          <w:sz w:val="16"/>
        </w:rPr>
        <w:t xml:space="preserve"> </w:t>
      </w:r>
      <w:r>
        <w:rPr>
          <w:i/>
          <w:color w:val="595959"/>
          <w:sz w:val="16"/>
        </w:rPr>
        <w:t>tentang Penyakit Akibat Kerja</w:t>
      </w:r>
      <w:r>
        <w:rPr>
          <w:color w:val="595959"/>
          <w:sz w:val="16"/>
        </w:rPr>
        <w:t xml:space="preserve"> — Lampiran Bagian III: Daftar Kanker Akibat Kerja (Asbes, Cr VI, Vinil Klorida, Benzena, Nikel, Arsen, Berilium, Kadmium).</w:t>
      </w:r>
    </w:p>
    <w:p>
      <w:r>
        <w:br w:type="page"/>
      </w:r>
    </w:p>
    <w:p>
      <w:pPr>
        <w:pStyle w:val="Heading1"/>
      </w:pPr>
      <w:bookmarkStart w:id="113" w:name="toc_013"/>
      <w:r>
        <w:t>2. REGULASI INDONESIA</w:t>
      </w:r>
      <w:bookmarkEnd w:id="113"/>
    </w:p>
    <w:p>
      <w:pPr>
        <w:pStyle w:val="Heading2"/>
      </w:pPr>
      <w:bookmarkStart w:id="114" w:name="toc_014"/>
      <w:r>
        <w:t>2.1 Permenaker No. 5 Tahun 2018 (K3 lingkungan kerja, NAB, IPB) dan Kepmenaker 187/1999</w:t>
      </w:r>
      <w:bookmarkEnd w:id="114"/>
    </w:p>
    <w:p>
      <w:pPr>
        <w:pStyle w:val="Heading3"/>
      </w:pPr>
      <w:r>
        <w:t>1. Ruang Lingkup Permenaker No. 5 Tahun 2018</w:t>
      </w:r>
    </w:p>
    <w:p>
      <w:pPr>
        <w:spacing w:after="80"/>
      </w:pPr>
      <w:r>
        <w:rPr/>
        <w:t xml:space="preserve">Berdasarkan Pasal 2, Pasal 3, dan Pasal 5, ruang lingkup Permenaker No. 5 Tahun 2018 mencakup </w:t>
      </w:r>
      <w:r>
        <w:rPr>
          <w:b/>
        </w:rPr>
        <w:t>penyelenggaraan syarat-syarat K3 Lingkungan Kerja</w:t>
      </w:r>
      <w:r>
        <w:rPr/>
        <w:t xml:space="preserve"> yang bertujuan menciptakan lingkungan kerja yang aman, sehat, dan nyaman melalui dua kegiatan utama:</w:t>
      </w:r>
    </w:p>
    <w:p>
      <w:pPr>
        <w:spacing w:after="40"/>
        <w:ind w:left="340" w:hanging="283"/>
      </w:pPr>
      <w:r>
        <w:rPr/>
        <w:t xml:space="preserve">1. </w:t>
      </w:r>
      <w:r>
        <w:rPr>
          <w:b/>
        </w:rPr>
        <w:t>Pengukuran dan Pengendalian Lingkungan Kerja</w:t>
      </w:r>
      <w:r>
        <w:rPr/>
        <w:t>, yang meliputi 5 faktor bahaya:</w:t>
      </w:r>
    </w:p>
    <w:p>
      <w:pPr>
        <w:pStyle w:val="ListBullet2"/>
        <w:spacing w:after="20"/>
      </w:pPr>
      <w:r>
        <w:rPr>
          <w:b/>
        </w:rPr>
        <w:t>Faktor Fisika:</w:t>
      </w:r>
      <w:r>
        <w:rPr/>
        <w:t xml:space="preserve"> Iklim kerja (ISBB), kebisingan, getaran, gelombang radio/mikro, radiasi ultra ungu (UV), medan magnet statis, tekanan udara ekstrim, dan pencahayaan.</w:t>
      </w:r>
    </w:p>
    <w:p>
      <w:pPr>
        <w:pStyle w:val="ListBullet2"/>
        <w:spacing w:after="20"/>
      </w:pPr>
      <w:r>
        <w:rPr>
          <w:b/>
        </w:rPr>
        <w:t>Faktor Kimia:</w:t>
      </w:r>
      <w:r>
        <w:rPr/>
        <w:t xml:space="preserve"> Pengendalian kontaminan udara (gas, uap, debu, mist, fume) agar berada di bawah Nilai Ambang Batas (NAB).</w:t>
      </w:r>
    </w:p>
    <w:p>
      <w:pPr>
        <w:pStyle w:val="ListBullet2"/>
        <w:spacing w:after="20"/>
      </w:pPr>
      <w:r>
        <w:rPr>
          <w:b/>
        </w:rPr>
        <w:t>Faktor Biologi:</w:t>
      </w:r>
      <w:r>
        <w:rPr/>
        <w:t xml:space="preserve"> Mikroorganisme (bakteri, jamur) dan produknya, alergen/toksin tumbuhan dan hewan, serta serangga pembawa penyakit.</w:t>
      </w:r>
    </w:p>
    <w:p>
      <w:pPr>
        <w:pStyle w:val="ListBullet2"/>
        <w:spacing w:after="20"/>
      </w:pPr>
      <w:r>
        <w:rPr>
          <w:b/>
        </w:rPr>
        <w:t>Faktor Ergonomi:</w:t>
      </w:r>
      <w:r>
        <w:rPr/>
        <w:t xml:space="preserve"> Postur janggal, desain stasiun kerja tidak sesuai antropometri, dan penanganan beban manual (</w:t>
      </w:r>
      <w:r>
        <w:rPr>
          <w:i/>
        </w:rPr>
        <w:t>manual handling</w:t>
      </w:r>
      <w:r>
        <w:rPr/>
        <w:t>).</w:t>
      </w:r>
    </w:p>
    <w:p>
      <w:pPr>
        <w:pStyle w:val="ListBullet2"/>
        <w:spacing w:after="20"/>
      </w:pPr>
      <w:r>
        <w:rPr>
          <w:b/>
        </w:rPr>
        <w:t>Faktor Psikologi Kerja:</w:t>
      </w:r>
      <w:r>
        <w:rPr/>
        <w:t xml:space="preserve"> Ketaksaan peran, konflik peran, beban kerja kualitatif/kuantitatif berlebih, dan pengembangan karir.</w:t>
      </w:r>
    </w:p>
    <w:p>
      <w:pPr>
        <w:spacing w:after="40"/>
        <w:ind w:left="340" w:hanging="283"/>
      </w:pPr>
      <w:r>
        <w:rPr/>
        <w:t xml:space="preserve">2. </w:t>
      </w:r>
      <w:r>
        <w:rPr>
          <w:b/>
        </w:rPr>
        <w:t>Penerapan Higiene dan Sanitasi</w:t>
      </w:r>
      <w:r>
        <w:rPr/>
        <w:t>, yang meliputi persyaratan bangunan tempat kerja, fasilitas kebersihan, pemenuhan kebutuhan udara (ventilasi &amp; KUDR), serta tata laksana kerumahtanggaan (</w:t>
      </w:r>
      <w:r>
        <w:rPr>
          <w:i/>
        </w:rPr>
        <w:t>housekeeping</w:t>
      </w:r>
      <w:r>
        <w:rPr/>
        <w:t>).</w:t>
      </w:r>
    </w:p>
    <w:p>
      <w:pPr>
        <w:pStyle w:val="Heading3"/>
      </w:pPr>
      <w:r>
        <w:t>2. Peraturan yang Dicabut dan Dinyatakan Tidak Berlaku</w:t>
      </w:r>
    </w:p>
    <w:p>
      <w:pPr>
        <w:spacing w:after="80"/>
      </w:pPr>
      <w:r>
        <w:rPr/>
        <w:t xml:space="preserve">Ketika Permenaker No. 5 Tahun 2018 diundangkan pada tanggal </w:t>
      </w:r>
      <w:r>
        <w:rPr>
          <w:b/>
        </w:rPr>
        <w:t>27 April 2018</w:t>
      </w:r>
      <w:r>
        <w:rPr/>
        <w:t xml:space="preserve"> (Pasal 74), berdasarkan </w:t>
      </w:r>
      <w:r>
        <w:rPr>
          <w:b/>
        </w:rPr>
        <w:t>Pasal 73</w:t>
      </w:r>
      <w:r>
        <w:rPr/>
        <w:t xml:space="preserve">, terdapat 3 regulasi historis yang resmi </w:t>
      </w:r>
      <w:r>
        <w:rPr>
          <w:b/>
        </w:rPr>
        <w:t>dicabut dan dinyatakan tidak berlaku lagi</w:t>
      </w:r>
      <w:r>
        <w:rPr/>
        <w:t>:</w:t>
      </w:r>
    </w:p>
    <w:p>
      <w:pPr>
        <w:spacing w:after="40"/>
        <w:ind w:left="340" w:hanging="283"/>
      </w:pPr>
      <w:r>
        <w:rPr/>
        <w:t xml:space="preserve">1. </w:t>
      </w:r>
      <w:r>
        <w:rPr>
          <w:b/>
        </w:rPr>
        <w:t>Peraturan Menteri Perburuhan Nomor 7 Tahun 1964</w:t>
      </w:r>
      <w:r>
        <w:rPr/>
        <w:t xml:space="preserve"> tentang Syarat Kesehatan, Kebersihan serta Penerangan dalam Tempat Kerja.</w:t>
      </w:r>
    </w:p>
    <w:p>
      <w:pPr>
        <w:spacing w:after="40"/>
        <w:ind w:left="340" w:hanging="283"/>
      </w:pPr>
      <w:r>
        <w:rPr/>
        <w:t xml:space="preserve">2. </w:t>
      </w:r>
      <w:r>
        <w:rPr>
          <w:b/>
        </w:rPr>
        <w:t>Peraturan Menteri Tenaga Kerja dan Transmigrasi Nomor PER.13/MEN/X/2011</w:t>
      </w:r>
      <w:r>
        <w:rPr/>
        <w:t xml:space="preserve"> tentang Nilai Ambang Batas Faktor Fisika dan Faktor Kimia di Tempat Kerja.</w:t>
      </w:r>
    </w:p>
    <w:p>
      <w:pPr>
        <w:spacing w:after="40"/>
        <w:ind w:left="340" w:hanging="283"/>
      </w:pPr>
      <w:r>
        <w:rPr/>
        <w:t xml:space="preserve">3. </w:t>
      </w:r>
      <w:r>
        <w:rPr>
          <w:b/>
        </w:rPr>
        <w:t>Surat Edaran Menteri Tenaga Kerja dan Transmigrasi Nomor SE.01/MEN/1978</w:t>
      </w:r>
      <w:r>
        <w:rPr/>
        <w:t xml:space="preserve"> tentang Nilai Ambang Batas untuk Iklim Kerja dan Nilai Ambang Batas untuk Kebisingan di Tempat Kerja.</w:t>
      </w:r>
    </w:p>
    <w:p>
      <w:pPr>
        <w:pStyle w:val="Heading3"/>
      </w:pPr>
      <w:r>
        <w:t>3. Kewajiban Pengusaha/Pengurus Terkait Faktor Kimia</w:t>
      </w:r>
    </w:p>
    <w:p>
      <w:pPr>
        <w:spacing w:after="80"/>
      </w:pPr>
      <w:r>
        <w:rPr/>
        <w:t>Bagi tempat kerja yang memiliki potensi bahaya bahan kimia, pengusaha atau pengurus memiliki kewajiban hukum yang mengikat secara pidana maupun administratif (Pasal 2, 7, 20, dan 71):</w:t>
      </w:r>
    </w:p>
    <w:p>
      <w:pPr>
        <w:spacing w:after="120"/>
        <w:ind w:left="170"/>
      </w:pPr>
      <w:r>
        <w:rPr>
          <w:rFonts w:ascii="Consolas" w:hAnsi="Consolas" w:eastAsia="Consolas"/>
          <w:sz w:val="13"/>
        </w:rPr>
        <w:t xml:space="preserve">                     [ KEWAJIBAN PENGUSAHA UNTUK FAKTOR KIMIA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PENGUKURAN &amp; PENGUJIAN ]        [ KEPATUHAN NILAI AMBANG ]       [ HIERARKI PENGENDALIAN ]</w:t>
      </w:r>
      <w:r>
        <w:br/>
      </w:r>
      <w:r>
        <w:rPr>
          <w:rFonts w:ascii="Consolas" w:hAnsi="Consolas" w:eastAsia="Consolas"/>
          <w:sz w:val="13"/>
        </w:rPr>
        <w:t>• Internal &amp; Eksternal            • Kadar udara &lt; NAB             • Eliminasi</w:t>
      </w:r>
      <w:r>
        <w:br/>
      </w:r>
      <w:r>
        <w:rPr>
          <w:rFonts w:ascii="Consolas" w:hAnsi="Consolas" w:eastAsia="Consolas"/>
          <w:sz w:val="13"/>
        </w:rPr>
        <w:t>• Berkala min. 1x setahun         • Kadar sekejap &lt; KTD           • Substitusi</w:t>
      </w:r>
      <w:r>
        <w:br/>
      </w:r>
      <w:r>
        <w:rPr>
          <w:rFonts w:ascii="Consolas" w:hAnsi="Consolas" w:eastAsia="Consolas"/>
          <w:sz w:val="13"/>
        </w:rPr>
        <w:t>• Dilakukan Personil K3           • Pajanan 15 mnt &lt; PSD          • Rekayasa Teknis (LEV)</w:t>
      </w:r>
      <w:r>
        <w:br/>
      </w:r>
      <w:r>
        <w:rPr>
          <w:rFonts w:ascii="Consolas" w:hAnsi="Consolas" w:eastAsia="Consolas"/>
          <w:sz w:val="13"/>
        </w:rPr>
        <w:t xml:space="preserve">  Lingkungan Kerja Berlisensi     • Dosis internal &lt; IPB          • Administratif (Rotasi, SDS)</w:t>
      </w:r>
      <w:r>
        <w:br/>
      </w:r>
      <w:r>
        <w:rPr>
          <w:rFonts w:ascii="Consolas" w:hAnsi="Consolas" w:eastAsia="Consolas"/>
          <w:sz w:val="13"/>
        </w:rPr>
        <w:t xml:space="preserve">                                                                  • Alat Pelindung Diri (APD)</w:t>
      </w:r>
    </w:p>
    <w:p>
      <w:pPr>
        <w:spacing w:after="40"/>
        <w:ind w:left="340" w:hanging="283"/>
      </w:pPr>
      <w:r>
        <w:rPr/>
        <w:t xml:space="preserve">1. </w:t>
      </w:r>
      <w:r>
        <w:rPr>
          <w:b/>
        </w:rPr>
        <w:t>Kewajiban Pengukuran dan Pemantauan (Pasal 20 &amp; Pasal 58–62):</w:t>
      </w:r>
    </w:p>
    <w:p>
      <w:pPr>
        <w:pStyle w:val="ListBullet2"/>
        <w:spacing w:after="20"/>
      </w:pPr>
      <w:r>
        <w:rPr/>
        <w:t xml:space="preserve">Pengukuran wajib dilakukan terhadap </w:t>
      </w:r>
      <w:r>
        <w:rPr>
          <w:b/>
        </w:rPr>
        <w:t>pajanan di udara kerja</w:t>
      </w:r>
      <w:r>
        <w:rPr/>
        <w:t xml:space="preserve"> dan terhadap </w:t>
      </w:r>
      <w:r>
        <w:rPr>
          <w:b/>
        </w:rPr>
        <w:t>pekerja yang terpajan</w:t>
      </w:r>
      <w:r>
        <w:rPr/>
        <w:t>.</w:t>
      </w:r>
    </w:p>
    <w:p>
      <w:pPr>
        <w:pStyle w:val="ListBullet2"/>
        <w:spacing w:after="20"/>
      </w:pPr>
      <w:r>
        <w:rPr/>
        <w:t xml:space="preserve">Pemeriksaan dan pengujian berkala secara eksternal wajib dilakukan </w:t>
      </w:r>
      <w:r>
        <w:rPr>
          <w:b/>
        </w:rPr>
        <w:t>paling sedikit 1 (satu) tahun sekali</w:t>
      </w:r>
      <w:r>
        <w:rPr/>
        <w:t xml:space="preserve"> oleh UPTD Pengujian K3, Balai K3 Kemenaker, atau Perusahaan Jasa K3 (PJK3) yang ditunjuk oleh Menteri.</w:t>
      </w:r>
    </w:p>
    <w:p>
      <w:pPr>
        <w:pStyle w:val="ListBullet2"/>
        <w:spacing w:after="20"/>
      </w:pPr>
      <w:r>
        <w:rPr/>
        <w:t xml:space="preserve">Pelaksanaan pengukuran wajib dilakukan oleh </w:t>
      </w:r>
      <w:r>
        <w:rPr>
          <w:b/>
        </w:rPr>
        <w:t>Personil K3 bidang Lingkungan Kerja</w:t>
      </w:r>
      <w:r>
        <w:rPr/>
        <w:t xml:space="preserve"> yang memiliki lisensi resmi (Ahli K3 Muda, Madya, atau Utama Lingkungan Kerja).</w:t>
      </w:r>
    </w:p>
    <w:p>
      <w:pPr>
        <w:spacing w:after="40"/>
        <w:ind w:left="340" w:hanging="283"/>
      </w:pPr>
      <w:r>
        <w:rPr/>
        <w:t xml:space="preserve">2. </w:t>
      </w:r>
      <w:r>
        <w:rPr>
          <w:b/>
        </w:rPr>
        <w:t>Kewajiban Menjamin Kepatuhan Ambang Batas (Pasal 3 &amp; 20):</w:t>
      </w:r>
    </w:p>
    <w:p>
      <w:pPr>
        <w:pStyle w:val="ListBullet2"/>
        <w:spacing w:after="20"/>
      </w:pPr>
      <w:r>
        <w:rPr/>
        <w:t xml:space="preserve">Konsentrasi bahan kimia di udara kerja rata-rata 8 jam per hari wajib dikendalikan agar </w:t>
      </w:r>
      <w:r>
        <w:rPr>
          <w:b/>
        </w:rPr>
        <w:t>berada di bawah NAB</w:t>
      </w:r>
      <w:r>
        <w:rPr/>
        <w:t>.</w:t>
      </w:r>
    </w:p>
    <w:p>
      <w:pPr>
        <w:pStyle w:val="ListBullet2"/>
        <w:spacing w:after="20"/>
      </w:pPr>
      <w:r>
        <w:rPr/>
        <w:t xml:space="preserve">Konsentrasi seketika tidak boleh melampaui </w:t>
      </w:r>
      <w:r>
        <w:rPr>
          <w:b/>
        </w:rPr>
        <w:t>Kadar Tertinggi Diperkenankan (KTD / Ceiling)</w:t>
      </w:r>
      <w:r>
        <w:rPr/>
        <w:t>.</w:t>
      </w:r>
    </w:p>
    <w:p>
      <w:pPr>
        <w:pStyle w:val="ListBullet2"/>
        <w:spacing w:after="20"/>
      </w:pPr>
      <w:r>
        <w:rPr/>
        <w:t xml:space="preserve">Fluktuasi konsentrasi 15 menit tidak boleh melampaui </w:t>
      </w:r>
      <w:r>
        <w:rPr>
          <w:b/>
        </w:rPr>
        <w:t>Pajanan Singkat Diperkenankan (PSD / STEL)</w:t>
      </w:r>
      <w:r>
        <w:rPr/>
        <w:t>.</w:t>
      </w:r>
    </w:p>
    <w:p>
      <w:pPr>
        <w:spacing w:after="40"/>
        <w:ind w:left="340" w:hanging="283"/>
      </w:pPr>
      <w:r>
        <w:rPr/>
        <w:t xml:space="preserve">3. </w:t>
      </w:r>
      <w:r>
        <w:rPr>
          <w:b/>
        </w:rPr>
        <w:t>Kewajiban Menerapkan Hierarki Pengendalian (Pasal 7 ayat 3 &amp; Pasal 21):</w:t>
      </w:r>
    </w:p>
    <w:p>
      <w:pPr>
        <w:spacing w:after="80"/>
      </w:pPr>
      <w:r>
        <w:rPr/>
        <w:t xml:space="preserve">Jika hasil pengukuran membuktikan konsentrasi bahan kimia melampaui NAB, pengusaha </w:t>
      </w:r>
      <w:r>
        <w:rPr>
          <w:b/>
        </w:rPr>
        <w:t>wajib</w:t>
      </w:r>
      <w:r>
        <w:rPr/>
        <w:t xml:space="preserve"> melakukan pengendalian teknis secara berjenjang:</w:t>
      </w:r>
    </w:p>
    <w:p>
      <w:pPr>
        <w:pStyle w:val="ListBullet2"/>
        <w:spacing w:after="20"/>
      </w:pPr>
      <w:r>
        <w:rPr>
          <w:b/>
        </w:rPr>
        <w:t>Eliminasi:</w:t>
      </w:r>
      <w:r>
        <w:rPr/>
        <w:t xml:space="preserve"> Menghilangkan sumber potensi bahaya bahan kimia dari tempat kerja.</w:t>
      </w:r>
    </w:p>
    <w:p>
      <w:pPr>
        <w:pStyle w:val="ListBullet2"/>
        <w:spacing w:after="20"/>
      </w:pPr>
      <w:r>
        <w:rPr>
          <w:b/>
        </w:rPr>
        <w:t>Substitusi:</w:t>
      </w:r>
      <w:r>
        <w:rPr/>
        <w:t xml:space="preserve"> Mengganti bahan kimia dengan bahan kimia lain yang tidak berbahaya atau memiliki potensi bahaya lebih rendah.</w:t>
      </w:r>
    </w:p>
    <w:p>
      <w:pPr>
        <w:pStyle w:val="ListBullet2"/>
        <w:spacing w:after="20"/>
      </w:pPr>
      <w:r>
        <w:rPr>
          <w:b/>
        </w:rPr>
        <w:t>Rekayasa Teknis (</w:t>
      </w:r>
      <w:r>
        <w:rPr>
          <w:b/>
          <w:i/>
        </w:rPr>
        <w:t>Engineering Controls</w:t>
      </w:r>
      <w:r>
        <w:rPr>
          <w:b/>
        </w:rPr>
        <w:t>):</w:t>
      </w:r>
      <w:r>
        <w:rPr/>
        <w:t xml:space="preserve"> Memodifikasi proses kerja, mengisolasi sumber bahan kimia, dan/atau </w:t>
      </w:r>
      <w:r>
        <w:rPr>
          <w:b/>
        </w:rPr>
        <w:t>menyediakan sistem ventilasi</w:t>
      </w:r>
      <w:r>
        <w:rPr/>
        <w:t xml:space="preserve"> pembuangan lokal (</w:t>
      </w:r>
      <w:r>
        <w:rPr>
          <w:i/>
        </w:rPr>
        <w:t>Local Exhaust Ventilation</w:t>
      </w:r>
      <w:r>
        <w:rPr/>
        <w:t xml:space="preserve"> / LEV).</w:t>
      </w:r>
    </w:p>
    <w:p>
      <w:pPr>
        <w:pStyle w:val="ListBullet2"/>
        <w:spacing w:after="20"/>
      </w:pPr>
      <w:r>
        <w:rPr>
          <w:b/>
        </w:rPr>
        <w:t>Pengendalian Administratif:</w:t>
      </w:r>
      <w:r>
        <w:rPr/>
        <w:t xml:space="preserve"> Pengaturan dan pembatasan waktu pajanan kerja, </w:t>
      </w:r>
      <w:r>
        <w:rPr>
          <w:b/>
        </w:rPr>
        <w:t>rotasi pekerja</w:t>
      </w:r>
      <w:r>
        <w:rPr/>
        <w:t xml:space="preserve">, serta </w:t>
      </w:r>
      <w:r>
        <w:rPr>
          <w:b/>
        </w:rPr>
        <w:t>penyediaan Lembar Data Keselamatan Bahan (LDKB / SDS) dan label</w:t>
      </w:r>
      <w:r>
        <w:rPr/>
        <w:t>.</w:t>
      </w:r>
    </w:p>
    <w:p>
      <w:pPr>
        <w:pStyle w:val="ListBullet2"/>
        <w:spacing w:after="20"/>
      </w:pPr>
      <w:r>
        <w:rPr>
          <w:b/>
        </w:rPr>
        <w:t>Alat Pelindung Diri (APD):</w:t>
      </w:r>
      <w:r>
        <w:rPr/>
        <w:t xml:space="preserve"> Penggunaan respirator atau pakaian pelindung kimia yang sesuai sebagai benteng pertahanan terakhir.</w:t>
      </w:r>
    </w:p>
    <w:p>
      <w:pPr>
        <w:pStyle w:val="Heading3"/>
      </w:pPr>
      <w:r>
        <w:t>4. Istilah Indeks Pajanan Biologi (IPB)</w:t>
      </w:r>
    </w:p>
    <w:p>
      <w:pPr>
        <w:spacing w:after="80"/>
      </w:pPr>
      <w:r>
        <w:rPr/>
        <w:t>Dalam Pasal 1 angka 10 Permenaker No. 5 Tahun 2018, Indonesia secara resmi mengadopsi konsep biomonitoring dengan nomenklatur:</w:t>
      </w:r>
    </w:p>
    <w:p>
      <w:pPr>
        <w:ind w:left="454"/>
      </w:pPr>
      <w:r>
        <w:rPr>
          <w:b/>
          <w:i/>
        </w:rPr>
        <w:t>Indeks Pajanan Biologi (IPB)</w:t>
      </w:r>
      <w:r>
        <w:rPr>
          <w:i/>
        </w:rPr>
        <w:t xml:space="preserve"> adalah standar faktor bahaya di tempat kerja sebagai kadar konsentrasi bahan kimia yang didapatkan pada spesimen tubuh Tenaga Kerja dan dibandingkan dengan nilai IPB.</w:t>
      </w:r>
    </w:p>
    <w:p>
      <w:pPr>
        <w:pStyle w:val="ListBullet"/>
        <w:spacing w:after="20"/>
      </w:pPr>
      <w:r>
        <w:rPr>
          <w:b/>
        </w:rPr>
        <w:t>Aplikasi Regulasi (Pasal 20 ayat 6 &amp; 7):</w:t>
      </w:r>
      <w:r>
        <w:rPr/>
        <w:t xml:space="preserve"> Pengukuran faktor kimia tidak hanya dilakukan di udara, tetapi juga melalui </w:t>
      </w:r>
      <w:r>
        <w:rPr>
          <w:b/>
        </w:rPr>
        <w:t>pengukuran spesimen tubuh pekerja</w:t>
      </w:r>
      <w:r>
        <w:rPr/>
        <w:t xml:space="preserve"> (darah, urin, atau udara ekspirasi) yang kemudian dibandingkan dengan nilai baku pada </w:t>
      </w:r>
      <w:r>
        <w:rPr>
          <w:b/>
        </w:rPr>
        <w:t>Lampiran 4 (Tabel Indeks Pajanan Biologi)</w:t>
      </w:r>
      <w:r>
        <w:rPr/>
        <w:t>.</w:t>
      </w:r>
    </w:p>
    <w:p>
      <w:pPr>
        <w:pStyle w:val="ListBullet"/>
        <w:spacing w:after="20"/>
      </w:pPr>
      <w:r>
        <w:rPr>
          <w:i/>
        </w:rPr>
        <w:t>Catatan Ujian:</w:t>
      </w:r>
      <w:r>
        <w:rPr/>
        <w:t xml:space="preserve"> IPB di Indonesia merupakan adopsi langsung dari konsep </w:t>
      </w:r>
      <w:r>
        <w:rPr>
          <w:i/>
        </w:rPr>
        <w:t>Biological Exposure Indices</w:t>
      </w:r>
      <w:r>
        <w:rPr/>
        <w:t xml:space="preserve"> (BEI®) ACGIH, yang berfungsi sebagai tolok ukur dosis internal (</w:t>
      </w:r>
      <w:r>
        <w:rPr>
          <w:i/>
        </w:rPr>
        <w:t>internal dose</w:t>
      </w:r>
      <w:r>
        <w:rPr/>
        <w:t>) guna menjamin bahwa pengendalian teknis dan pemakaian APD di tempat kerja benar-benar efektif mencegah penyerapan toksikan.</w:t>
      </w:r>
    </w:p>
    <w:p>
      <w:pPr>
        <w:pStyle w:val="Heading3"/>
      </w:pPr>
      <w:r>
        <w:t>5. Poin Lampiran yang Wajib Dicek untuk NAB Zat Kimia</w:t>
      </w:r>
    </w:p>
    <w:p>
      <w:pPr>
        <w:spacing w:after="80"/>
      </w:pPr>
      <w:r>
        <w:rPr/>
        <w:t xml:space="preserve">Bila Anda mengaudit lingkungan kerja industri, buka </w:t>
      </w:r>
      <w:r>
        <w:rPr>
          <w:b/>
        </w:rPr>
        <w:t>Lampiran 3 Permenaker No. 5 Tahun 2018</w:t>
      </w:r>
      <w:r>
        <w:rPr/>
        <w:t>. Terdapat parameter-parameter kritis yang wajib Anda periksa:</w:t>
      </w:r>
    </w:p>
    <w:p>
      <w:pPr>
        <w:spacing w:after="120"/>
        <w:ind w:left="170"/>
      </w:pPr>
      <w:r>
        <w:rPr>
          <w:rFonts w:ascii="Consolas" w:hAnsi="Consolas" w:eastAsia="Consolas"/>
          <w:sz w:val="13"/>
        </w:rPr>
        <w:t xml:space="preserve">                  [ KOLOM PARAMETER LAMPIRAN 3 PERMENAKER 5/2018 ]</w:t>
      </w:r>
      <w:r>
        <w:br/>
      </w:r>
      <w:r>
        <w:rPr>
          <w:rFonts w:ascii="Consolas" w:hAnsi="Consolas" w:eastAsia="Consolas"/>
          <w:sz w:val="13"/>
        </w:rPr>
        <w:t xml:space="preserve"> ┌───────────────┬────────────────────────┬─────────────┬─────────────┬──────────────┬────────────┐</w:t>
      </w:r>
      <w:r>
        <w:br/>
      </w:r>
      <w:r>
        <w:rPr>
          <w:rFonts w:ascii="Consolas" w:hAnsi="Consolas" w:eastAsia="Consolas"/>
          <w:sz w:val="13"/>
        </w:rPr>
        <w:t xml:space="preserve"> │ Nomor CAS     │ Nama Bahan Kimia       │ NAB (TWA)   │ PSD / KTD   │ Notasi       │ Keterangan │</w:t>
      </w:r>
      <w:r>
        <w:br/>
      </w:r>
      <w:r>
        <w:rPr>
          <w:rFonts w:ascii="Consolas" w:hAnsi="Consolas" w:eastAsia="Consolas"/>
          <w:sz w:val="13"/>
        </w:rPr>
        <w:t xml:space="preserve"> │ (Identitas)   │ (Spesiasi &amp; Isomer)    │ (BDS / mg/m³)│ (STEL / C)  │ (Kulit, A,   │ (Efek      │</w:t>
      </w:r>
      <w:r>
        <w:br/>
      </w:r>
      <w:r>
        <w:rPr>
          <w:rFonts w:ascii="Consolas" w:hAnsi="Consolas" w:eastAsia="Consolas"/>
          <w:sz w:val="13"/>
        </w:rPr>
        <w:t xml:space="preserve"> │               │                        │             │             │  Repr, BEI)  │  Kritis)   │</w:t>
      </w:r>
      <w:r>
        <w:br/>
      </w:r>
      <w:r>
        <w:rPr>
          <w:rFonts w:ascii="Consolas" w:hAnsi="Consolas" w:eastAsia="Consolas"/>
          <w:sz w:val="13"/>
        </w:rPr>
        <w:t xml:space="preserve"> └───────────────┴────────────────────────┴─────────────┴─────────────┴──────────────┴────────────┘</w:t>
      </w:r>
    </w:p>
    <w:p>
      <w:pPr>
        <w:pStyle w:val="Heading4"/>
      </w:pPr>
      <w:r>
        <w:t>a. Elemen Kolom Wajib Periksa</w:t>
      </w:r>
    </w:p>
    <w:p>
      <w:pPr>
        <w:spacing w:after="40"/>
        <w:ind w:left="340" w:hanging="283"/>
      </w:pPr>
      <w:r>
        <w:rPr/>
        <w:t xml:space="preserve">1. </w:t>
      </w:r>
      <w:r>
        <w:rPr>
          <w:b/>
        </w:rPr>
        <w:t>Nomor CAS (</w:t>
      </w:r>
      <w:r>
        <w:rPr>
          <w:b/>
          <w:i/>
        </w:rPr>
        <w:t>Chemical Abstracts Services</w:t>
      </w:r>
      <w:r>
        <w:rPr>
          <w:b/>
        </w:rPr>
        <w:t>):</w:t>
      </w:r>
      <w:r>
        <w:rPr/>
        <w:t xml:space="preserve"> Nomor identitas tunggal internasional untuk mencegah salah tafsir nama dagang kimia.</w:t>
      </w:r>
    </w:p>
    <w:p>
      <w:pPr>
        <w:spacing w:after="40"/>
        <w:ind w:left="340" w:hanging="283"/>
      </w:pPr>
      <w:r>
        <w:rPr/>
        <w:t xml:space="preserve">2. </w:t>
      </w:r>
      <w:r>
        <w:rPr>
          <w:b/>
        </w:rPr>
        <w:t>NAB (</w:t>
      </w:r>
      <w:r>
        <w:rPr>
          <w:b/>
          <w:i/>
        </w:rPr>
        <w:t>TWA 8 jam</w:t>
      </w:r>
      <w:r>
        <w:rPr>
          <w:b/>
        </w:rPr>
        <w:t>):</w:t>
      </w:r>
      <w:r>
        <w:rPr/>
        <w:t xml:space="preserve"> Dinyatakan dalam </w:t>
      </w:r>
      <w:r>
        <w:rPr>
          <w:b/>
        </w:rPr>
        <w:t>BDS (Bagian Dalam Sejuta / ppm)</w:t>
      </w:r>
      <w:r>
        <w:rPr/>
        <w:t xml:space="preserve"> untuk gas/uap dan </w:t>
      </w:r>
      <w:r>
        <w:rPr>
          <w:b/>
        </w:rPr>
        <w:t>mg/m³</w:t>
      </w:r>
      <w:r>
        <w:rPr/>
        <w:t xml:space="preserve"> untuk partikulat/debu.</w:t>
      </w:r>
    </w:p>
    <w:p>
      <w:pPr>
        <w:spacing w:after="40"/>
        <w:ind w:left="340" w:hanging="283"/>
      </w:pPr>
      <w:r>
        <w:rPr/>
        <w:t xml:space="preserve">3. </w:t>
      </w:r>
      <w:r>
        <w:rPr>
          <w:b/>
        </w:rPr>
        <w:t>PSD / KTD:</w:t>
      </w:r>
      <w:r>
        <w:rPr/>
        <w:t xml:space="preserve"> Nilai ekskursi pajanan singkat 15 menit (PSD) atau batas sesaat tertinggi yang tidak boleh dilampaui dengan simbol </w:t>
      </w:r>
      <w:r>
        <w:rPr>
          <w:b/>
        </w:rPr>
        <w:t>KTD / T / Ceiling</w:t>
      </w:r>
      <w:r>
        <w:rPr/>
        <w:t>.</w:t>
      </w:r>
    </w:p>
    <w:p>
      <w:pPr>
        <w:spacing w:after="40"/>
        <w:ind w:left="340" w:hanging="283"/>
      </w:pPr>
      <w:r>
        <w:rPr/>
        <w:t xml:space="preserve">4. </w:t>
      </w:r>
      <w:r>
        <w:rPr>
          <w:b/>
        </w:rPr>
        <w:t>Kolom Notasi:</w:t>
      </w:r>
    </w:p>
    <w:p>
      <w:pPr>
        <w:pStyle w:val="ListBullet2"/>
        <w:spacing w:after="20"/>
      </w:pPr>
      <w:r>
        <w:rPr>
          <w:b/>
        </w:rPr>
        <w:t>Kulit:</w:t>
      </w:r>
      <w:r>
        <w:rPr/>
        <w:t xml:space="preserve"> Adanya absorpsi kutaneus sistemik yang signifikan.</w:t>
      </w:r>
    </w:p>
    <w:p>
      <w:pPr>
        <w:pStyle w:val="ListBullet2"/>
        <w:spacing w:after="20"/>
      </w:pPr>
      <w:r>
        <w:rPr>
          <w:b/>
        </w:rPr>
        <w:t>A1 – A5:</w:t>
      </w:r>
      <w:r>
        <w:rPr/>
        <w:t xml:space="preserve"> Tingkat karsinogenisitas (A1 = Terbukti Karsinogen Manusia, A2 = Diduga Karsinogen Manusia, dst.).</w:t>
      </w:r>
    </w:p>
    <w:p>
      <w:pPr>
        <w:pStyle w:val="ListBullet2"/>
        <w:spacing w:after="20"/>
      </w:pPr>
      <w:r>
        <w:rPr>
          <w:b/>
        </w:rPr>
        <w:t>Repr:</w:t>
      </w:r>
      <w:r>
        <w:rPr/>
        <w:t xml:space="preserve"> Toksik terhadap reproduksi atau perkembangan embrio/janin.</w:t>
      </w:r>
    </w:p>
    <w:p>
      <w:pPr>
        <w:pStyle w:val="ListBullet2"/>
        <w:spacing w:after="20"/>
      </w:pPr>
      <w:r>
        <w:rPr>
          <w:b/>
        </w:rPr>
        <w:t>DSEN / RSEN:</w:t>
      </w:r>
      <w:r>
        <w:rPr/>
        <w:t xml:space="preserve"> Sensitisasi kulit (</w:t>
      </w:r>
      <w:r>
        <w:rPr>
          <w:i/>
        </w:rPr>
        <w:t>Dermal</w:t>
      </w:r>
      <w:r>
        <w:rPr/>
        <w:t>) atau pernapasan (</w:t>
      </w:r>
      <w:r>
        <w:rPr>
          <w:i/>
        </w:rPr>
        <w:t>Respiratory</w:t>
      </w:r>
      <w:r>
        <w:rPr/>
        <w:t>).</w:t>
      </w:r>
    </w:p>
    <w:p>
      <w:pPr>
        <w:pStyle w:val="ListBullet2"/>
        <w:spacing w:after="20"/>
      </w:pPr>
      <w:r>
        <w:rPr>
          <w:b/>
        </w:rPr>
        <w:t>Simbol Segitiga (▲ / BEI):</w:t>
      </w:r>
      <w:r>
        <w:rPr/>
        <w:t xml:space="preserve"> Menandakan bahwa bahan kimia tersebut </w:t>
      </w:r>
      <w:r>
        <w:rPr>
          <w:b/>
        </w:rPr>
        <w:t>memiliki rujukan Indeks Pajanan Biologi (IPB)</w:t>
      </w:r>
      <w:r>
        <w:rPr/>
        <w:t xml:space="preserve"> di Lampiran 4.</w:t>
      </w:r>
    </w:p>
    <w:p>
      <w:pPr>
        <w:spacing w:after="40"/>
        <w:ind w:left="340" w:hanging="283"/>
      </w:pPr>
      <w:r>
        <w:rPr/>
        <w:t xml:space="preserve">5. </w:t>
      </w:r>
      <w:r>
        <w:rPr>
          <w:b/>
        </w:rPr>
        <w:t>Perhitungan NAB Campuran (Lampiran 3 Huruf C):</w:t>
      </w:r>
      <w:r>
        <w:rPr/>
        <w:t xml:space="preserve"> Evaluasi apakah zat-zat kimia di udara memiliki efek aditif pada organ target yang sama (menggunakan </w:t>
      </w:r>
      <w:r>
        <w:rPr>
          <w:b/>
        </w:rPr>
        <w:t>rumus unity Σ C_i/NAB_i ≤ 1</w:t>
      </w:r>
      <w:r>
        <w:rPr/>
        <w:t>) atau berefek independen.</w:t>
      </w:r>
    </w:p>
    <w:p>
      <w:pPr>
        <w:pStyle w:val="Heading4"/>
      </w:pPr>
      <w:r>
        <w:t>b. Nilai Batas NAB Logam Berat Kunci dalam Lampiran 3 (Wajib Dihafal Presisi)</w:t>
      </w:r>
    </w:p>
    <w:p>
      <w:pPr>
        <w:spacing w:after="80"/>
      </w:pPr>
      <w:r>
        <w:rPr/>
        <w:t>Sebagai calon konsultan okupasi, Anda wajib menguasai angka baku untuk 8 logam berat industri berikut:</w:t>
      </w:r>
    </w:p>
    <w:tbl>
      <w:tblPr>
        <w:tblStyle w:val="TableGrid"/>
        <w:tblW w:type="auto" w:w="0"/>
        <w:tblLook w:firstColumn="1" w:firstRow="1" w:lastColumn="0" w:lastRow="0" w:noHBand="0" w:noVBand="1" w:val="04A0"/>
      </w:tblPr>
      <w:tblGrid>
        <w:gridCol w:w="1587"/>
        <w:gridCol w:w="1587"/>
        <w:gridCol w:w="1587"/>
        <w:gridCol w:w="1587"/>
        <w:gridCol w:w="1587"/>
        <w:gridCol w:w="1587"/>
      </w:tblGrid>
      <w:tr>
        <w:tc>
          <w:tcPr>
            <w:tcW w:type="dxa" w:w="1587"/>
            <w:shd w:val="clear" w:color="auto" w:fill="DCE6F1"/>
          </w:tcPr>
          <w:p>
            <w:pPr>
              <w:spacing w:after="0"/>
            </w:pPr>
            <w:r/>
            <w:r>
              <w:rPr>
                <w:b/>
                <w:sz w:val="16"/>
              </w:rPr>
              <w:t>Nama Logam / Senyawa</w:t>
            </w:r>
          </w:p>
        </w:tc>
        <w:tc>
          <w:tcPr>
            <w:tcW w:type="dxa" w:w="1587"/>
            <w:shd w:val="clear" w:color="auto" w:fill="DCE6F1"/>
          </w:tcPr>
          <w:p>
            <w:pPr>
              <w:spacing w:after="0"/>
            </w:pPr>
            <w:r/>
            <w:r>
              <w:rPr>
                <w:b/>
                <w:sz w:val="16"/>
              </w:rPr>
              <w:t>Nilai Ambang Batas (NAB)</w:t>
            </w:r>
          </w:p>
        </w:tc>
        <w:tc>
          <w:tcPr>
            <w:tcW w:type="dxa" w:w="1587"/>
            <w:shd w:val="clear" w:color="auto" w:fill="DCE6F1"/>
          </w:tcPr>
          <w:p>
            <w:pPr>
              <w:spacing w:after="0"/>
            </w:pPr>
            <w:r/>
            <w:r>
              <w:rPr>
                <w:b/>
                <w:sz w:val="16"/>
              </w:rPr>
              <w:t>PSD / KTD</w:t>
            </w:r>
          </w:p>
        </w:tc>
        <w:tc>
          <w:tcPr>
            <w:tcW w:type="dxa" w:w="1587"/>
            <w:shd w:val="clear" w:color="auto" w:fill="DCE6F1"/>
          </w:tcPr>
          <w:p>
            <w:pPr>
              <w:spacing w:after="0"/>
            </w:pPr>
            <w:r/>
            <w:r>
              <w:rPr>
                <w:b/>
                <w:sz w:val="16"/>
              </w:rPr>
              <w:t>Notasi Lampiran</w:t>
            </w:r>
          </w:p>
        </w:tc>
        <w:tc>
          <w:tcPr>
            <w:tcW w:type="dxa" w:w="1587"/>
            <w:shd w:val="clear" w:color="auto" w:fill="DCE6F1"/>
          </w:tcPr>
          <w:p>
            <w:pPr>
              <w:spacing w:after="0"/>
            </w:pPr>
            <w:r/>
            <w:r>
              <w:rPr>
                <w:b/>
                <w:sz w:val="16"/>
              </w:rPr>
              <w:t>Target Organ / Efek Kritis Lampiran</w:t>
            </w:r>
          </w:p>
        </w:tc>
        <w:tc>
          <w:tcPr>
            <w:tcW w:type="dxa" w:w="1587"/>
            <w:shd w:val="clear" w:color="auto" w:fill="DCE6F1"/>
          </w:tcPr>
          <w:p>
            <w:pPr>
              <w:spacing w:after="0"/>
            </w:pPr>
            <w:r/>
            <w:r>
              <w:rPr>
                <w:b/>
                <w:sz w:val="16"/>
              </w:rPr>
              <w:t>Dasar Rujukan Dokumen</w:t>
            </w:r>
          </w:p>
        </w:tc>
      </w:tr>
      <w:tr>
        <w:tc>
          <w:tcPr>
            <w:tcW w:type="dxa" w:w="1587"/>
          </w:tcPr>
          <w:p>
            <w:pPr>
              <w:spacing w:after="0"/>
            </w:pPr>
            <w:r/>
            <w:r>
              <w:rPr>
                <w:b/>
                <w:sz w:val="16"/>
              </w:rPr>
              <w:t>Timbal (Pb) Anorganik</w:t>
            </w:r>
          </w:p>
        </w:tc>
        <w:tc>
          <w:tcPr>
            <w:tcW w:type="dxa" w:w="1587"/>
          </w:tcPr>
          <w:p>
            <w:pPr>
              <w:spacing w:after="0"/>
            </w:pPr>
            <w:r/>
            <w:r>
              <w:rPr>
                <w:b/>
                <w:sz w:val="16"/>
              </w:rPr>
              <w:t>0,05 mg/m³</w:t>
            </w:r>
          </w:p>
        </w:tc>
        <w:tc>
          <w:tcPr>
            <w:tcW w:type="dxa" w:w="1587"/>
          </w:tcPr>
          <w:p>
            <w:pPr>
              <w:spacing w:after="0"/>
            </w:pPr>
            <w:r/>
            <w:r>
              <w:rPr>
                <w:sz w:val="16"/>
              </w:rPr>
              <w:t>—</w:t>
            </w:r>
          </w:p>
        </w:tc>
        <w:tc>
          <w:tcPr>
            <w:tcW w:type="dxa" w:w="1587"/>
          </w:tcPr>
          <w:p>
            <w:pPr>
              <w:spacing w:after="0"/>
            </w:pPr>
            <w:r/>
            <w:r>
              <w:rPr>
                <w:b/>
                <w:sz w:val="16"/>
              </w:rPr>
              <w:t>A3, BEI</w:t>
            </w:r>
            <w:r>
              <w:rPr>
                <w:sz w:val="16"/>
              </w:rPr>
              <w:t xml:space="preserve"> (▲)</w:t>
            </w:r>
          </w:p>
        </w:tc>
        <w:tc>
          <w:tcPr>
            <w:tcW w:type="dxa" w:w="1587"/>
          </w:tcPr>
          <w:p>
            <w:pPr>
              <w:spacing w:after="0"/>
            </w:pPr>
            <w:r/>
            <w:r>
              <w:rPr>
                <w:sz w:val="16"/>
              </w:rPr>
              <w:t>Kerusakan SSP &amp; saraf tepi, efek hematologi, biosintesis heme</w:t>
            </w:r>
          </w:p>
        </w:tc>
        <w:tc>
          <w:tcPr>
            <w:tcW w:type="dxa" w:w="1587"/>
          </w:tcPr>
          <w:p>
            <w:pPr>
              <w:spacing w:after="0"/>
            </w:pPr>
            <w:r/>
          </w:p>
        </w:tc>
      </w:tr>
      <w:tr>
        <w:tc>
          <w:tcPr>
            <w:tcW w:type="dxa" w:w="1587"/>
          </w:tcPr>
          <w:p>
            <w:pPr>
              <w:spacing w:after="0"/>
            </w:pPr>
            <w:r/>
            <w:r>
              <w:rPr>
                <w:b/>
                <w:sz w:val="16"/>
              </w:rPr>
              <w:t>Tetraetil Timbal (Organik)</w:t>
            </w:r>
          </w:p>
        </w:tc>
        <w:tc>
          <w:tcPr>
            <w:tcW w:type="dxa" w:w="1587"/>
          </w:tcPr>
          <w:p>
            <w:pPr>
              <w:spacing w:after="0"/>
            </w:pPr>
            <w:r/>
            <w:r>
              <w:rPr>
                <w:b/>
                <w:sz w:val="16"/>
              </w:rPr>
              <w:t>0,1 mg/m³</w:t>
            </w:r>
          </w:p>
        </w:tc>
        <w:tc>
          <w:tcPr>
            <w:tcW w:type="dxa" w:w="1587"/>
          </w:tcPr>
          <w:p>
            <w:pPr>
              <w:spacing w:after="0"/>
            </w:pPr>
            <w:r/>
            <w:r>
              <w:rPr>
                <w:sz w:val="16"/>
              </w:rPr>
              <w:t>—</w:t>
            </w:r>
          </w:p>
        </w:tc>
        <w:tc>
          <w:tcPr>
            <w:tcW w:type="dxa" w:w="1587"/>
          </w:tcPr>
          <w:p>
            <w:pPr>
              <w:spacing w:after="0"/>
            </w:pPr>
            <w:r/>
            <w:r>
              <w:rPr>
                <w:b/>
                <w:sz w:val="16"/>
              </w:rPr>
              <w:t>Kulit, A4</w:t>
            </w:r>
          </w:p>
        </w:tc>
        <w:tc>
          <w:tcPr>
            <w:tcW w:type="dxa" w:w="1587"/>
          </w:tcPr>
          <w:p>
            <w:pPr>
              <w:spacing w:after="0"/>
            </w:pPr>
            <w:r/>
            <w:r>
              <w:rPr>
                <w:sz w:val="16"/>
              </w:rPr>
              <w:t>Gangguan SSP, ensefalopati</w:t>
            </w:r>
          </w:p>
        </w:tc>
        <w:tc>
          <w:tcPr>
            <w:tcW w:type="dxa" w:w="1587"/>
          </w:tcPr>
          <w:p>
            <w:pPr>
              <w:spacing w:after="0"/>
            </w:pPr>
            <w:r/>
          </w:p>
        </w:tc>
      </w:tr>
      <w:tr>
        <w:tc>
          <w:tcPr>
            <w:tcW w:type="dxa" w:w="1587"/>
          </w:tcPr>
          <w:p>
            <w:pPr>
              <w:spacing w:after="0"/>
            </w:pPr>
            <w:r/>
            <w:r>
              <w:rPr>
                <w:b/>
                <w:sz w:val="16"/>
              </w:rPr>
              <w:t>Air Raksa / Merkuri (Hg)</w:t>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r>
      <w:tr>
        <w:tc>
          <w:tcPr>
            <w:tcW w:type="dxa" w:w="1587"/>
          </w:tcPr>
          <w:p>
            <w:pPr>
              <w:spacing w:after="0"/>
            </w:pPr>
            <w:r/>
            <w:r>
              <w:rPr>
                <w:sz w:val="16"/>
              </w:rPr>
              <w:t xml:space="preserve">• </w:t>
            </w:r>
            <w:r>
              <w:rPr>
                <w:i/>
                <w:sz w:val="16"/>
              </w:rPr>
              <w:t>Bentuk Logam / Elemental</w:t>
            </w:r>
          </w:p>
        </w:tc>
        <w:tc>
          <w:tcPr>
            <w:tcW w:type="dxa" w:w="1587"/>
          </w:tcPr>
          <w:p>
            <w:pPr>
              <w:spacing w:after="0"/>
            </w:pPr>
            <w:r/>
            <w:r>
              <w:rPr>
                <w:b/>
                <w:sz w:val="16"/>
              </w:rPr>
              <w:t>0,025 mg/m³</w:t>
            </w:r>
            <w:r>
              <w:rPr>
                <w:sz w:val="16"/>
              </w:rPr>
              <w:t xml:space="preserve"> (0,003 bds)</w:t>
            </w:r>
          </w:p>
        </w:tc>
        <w:tc>
          <w:tcPr>
            <w:tcW w:type="dxa" w:w="1587"/>
          </w:tcPr>
          <w:p>
            <w:pPr>
              <w:spacing w:after="0"/>
            </w:pPr>
            <w:r/>
            <w:r>
              <w:rPr>
                <w:sz w:val="16"/>
              </w:rPr>
              <w:t>—</w:t>
            </w:r>
          </w:p>
        </w:tc>
        <w:tc>
          <w:tcPr>
            <w:tcW w:type="dxa" w:w="1587"/>
          </w:tcPr>
          <w:p>
            <w:pPr>
              <w:spacing w:after="0"/>
            </w:pPr>
            <w:r/>
            <w:r>
              <w:rPr>
                <w:b/>
                <w:sz w:val="16"/>
              </w:rPr>
              <w:t>Kulit, A4, BEI</w:t>
            </w:r>
            <w:r>
              <w:rPr>
                <w:sz w:val="16"/>
              </w:rPr>
              <w:t xml:space="preserve"> (▲)</w:t>
            </w:r>
          </w:p>
        </w:tc>
        <w:tc>
          <w:tcPr>
            <w:tcW w:type="dxa" w:w="1587"/>
          </w:tcPr>
          <w:p>
            <w:pPr>
              <w:spacing w:after="0"/>
            </w:pPr>
            <w:r/>
            <w:r>
              <w:rPr>
                <w:sz w:val="16"/>
              </w:rPr>
              <w:t>Tremor eretismus, nefrotoksisitas</w:t>
            </w:r>
          </w:p>
        </w:tc>
        <w:tc>
          <w:tcPr>
            <w:tcW w:type="dxa" w:w="1587"/>
          </w:tcPr>
          <w:p>
            <w:pPr>
              <w:spacing w:after="0"/>
            </w:pPr>
            <w:r/>
          </w:p>
        </w:tc>
      </w:tr>
      <w:tr>
        <w:tc>
          <w:tcPr>
            <w:tcW w:type="dxa" w:w="1587"/>
          </w:tcPr>
          <w:p>
            <w:pPr>
              <w:spacing w:after="0"/>
            </w:pPr>
            <w:r/>
            <w:r>
              <w:rPr>
                <w:sz w:val="16"/>
              </w:rPr>
              <w:t xml:space="preserve">• </w:t>
            </w:r>
            <w:r>
              <w:rPr>
                <w:i/>
                <w:sz w:val="16"/>
              </w:rPr>
              <w:t>Senyawa Anorganik</w:t>
            </w:r>
          </w:p>
        </w:tc>
        <w:tc>
          <w:tcPr>
            <w:tcW w:type="dxa" w:w="1587"/>
          </w:tcPr>
          <w:p>
            <w:pPr>
              <w:spacing w:after="0"/>
            </w:pPr>
            <w:r/>
            <w:r>
              <w:rPr>
                <w:b/>
                <w:sz w:val="16"/>
              </w:rPr>
              <w:t>0,025 mg/m³</w:t>
            </w:r>
          </w:p>
        </w:tc>
        <w:tc>
          <w:tcPr>
            <w:tcW w:type="dxa" w:w="1587"/>
          </w:tcPr>
          <w:p>
            <w:pPr>
              <w:spacing w:after="0"/>
            </w:pPr>
            <w:r/>
            <w:r>
              <w:rPr>
                <w:sz w:val="16"/>
              </w:rPr>
              <w:t>—</w:t>
            </w:r>
          </w:p>
        </w:tc>
        <w:tc>
          <w:tcPr>
            <w:tcW w:type="dxa" w:w="1587"/>
          </w:tcPr>
          <w:p>
            <w:pPr>
              <w:spacing w:after="0"/>
            </w:pPr>
            <w:r/>
            <w:r>
              <w:rPr>
                <w:b/>
                <w:sz w:val="16"/>
              </w:rPr>
              <w:t>Kulit, A4</w:t>
            </w:r>
          </w:p>
        </w:tc>
        <w:tc>
          <w:tcPr>
            <w:tcW w:type="dxa" w:w="1587"/>
          </w:tcPr>
          <w:p>
            <w:pPr>
              <w:spacing w:after="0"/>
            </w:pPr>
            <w:r/>
            <w:r>
              <w:rPr>
                <w:sz w:val="16"/>
              </w:rPr>
              <w:t>Iritasi saluran napas, disfungsi ginjal</w:t>
            </w:r>
          </w:p>
        </w:tc>
        <w:tc>
          <w:tcPr>
            <w:tcW w:type="dxa" w:w="1587"/>
          </w:tcPr>
          <w:p>
            <w:pPr>
              <w:spacing w:after="0"/>
            </w:pPr>
            <w:r/>
          </w:p>
        </w:tc>
      </w:tr>
      <w:tr>
        <w:tc>
          <w:tcPr>
            <w:tcW w:type="dxa" w:w="1587"/>
          </w:tcPr>
          <w:p>
            <w:pPr>
              <w:spacing w:after="0"/>
            </w:pPr>
            <w:r/>
            <w:r>
              <w:rPr>
                <w:sz w:val="16"/>
              </w:rPr>
              <w:t xml:space="preserve">• </w:t>
            </w:r>
            <w:r>
              <w:rPr>
                <w:i/>
                <w:sz w:val="16"/>
              </w:rPr>
              <w:t>Senyawa Alkil (Organik)</w:t>
            </w:r>
          </w:p>
        </w:tc>
        <w:tc>
          <w:tcPr>
            <w:tcW w:type="dxa" w:w="1587"/>
          </w:tcPr>
          <w:p>
            <w:pPr>
              <w:spacing w:after="0"/>
            </w:pPr>
            <w:r/>
            <w:r>
              <w:rPr>
                <w:b/>
                <w:sz w:val="16"/>
              </w:rPr>
              <w:t>0,01 mg/m³</w:t>
            </w:r>
          </w:p>
        </w:tc>
        <w:tc>
          <w:tcPr>
            <w:tcW w:type="dxa" w:w="1587"/>
          </w:tcPr>
          <w:p>
            <w:pPr>
              <w:spacing w:after="0"/>
            </w:pPr>
            <w:r/>
            <w:r>
              <w:rPr>
                <w:b/>
                <w:sz w:val="16"/>
              </w:rPr>
              <w:t>0,03 mg/m³</w:t>
            </w:r>
          </w:p>
        </w:tc>
        <w:tc>
          <w:tcPr>
            <w:tcW w:type="dxa" w:w="1587"/>
          </w:tcPr>
          <w:p>
            <w:pPr>
              <w:spacing w:after="0"/>
            </w:pPr>
            <w:r/>
            <w:r>
              <w:rPr>
                <w:b/>
                <w:sz w:val="16"/>
              </w:rPr>
              <w:t>Kulit</w:t>
            </w:r>
          </w:p>
        </w:tc>
        <w:tc>
          <w:tcPr>
            <w:tcW w:type="dxa" w:w="1587"/>
          </w:tcPr>
          <w:p>
            <w:pPr>
              <w:spacing w:after="0"/>
            </w:pPr>
            <w:r/>
            <w:r>
              <w:rPr>
                <w:sz w:val="16"/>
              </w:rPr>
              <w:t>Neurotoksisitas berat sentral (SSP/PNS)</w:t>
            </w:r>
          </w:p>
        </w:tc>
        <w:tc>
          <w:tcPr>
            <w:tcW w:type="dxa" w:w="1587"/>
          </w:tcPr>
          <w:p>
            <w:pPr>
              <w:spacing w:after="0"/>
            </w:pPr>
            <w:r/>
          </w:p>
        </w:tc>
      </w:tr>
      <w:tr>
        <w:tc>
          <w:tcPr>
            <w:tcW w:type="dxa" w:w="1587"/>
          </w:tcPr>
          <w:p>
            <w:pPr>
              <w:spacing w:after="0"/>
            </w:pPr>
            <w:r/>
            <w:r>
              <w:rPr>
                <w:b/>
                <w:sz w:val="16"/>
              </w:rPr>
              <w:t>Arsen dan Senyawa Anorganik</w:t>
            </w:r>
          </w:p>
        </w:tc>
        <w:tc>
          <w:tcPr>
            <w:tcW w:type="dxa" w:w="1587"/>
          </w:tcPr>
          <w:p>
            <w:pPr>
              <w:spacing w:after="0"/>
            </w:pPr>
            <w:r/>
            <w:r>
              <w:rPr>
                <w:b/>
                <w:sz w:val="16"/>
              </w:rPr>
              <w:t>0,01 mg/m³</w:t>
            </w:r>
          </w:p>
        </w:tc>
        <w:tc>
          <w:tcPr>
            <w:tcW w:type="dxa" w:w="1587"/>
          </w:tcPr>
          <w:p>
            <w:pPr>
              <w:spacing w:after="0"/>
            </w:pPr>
            <w:r/>
            <w:r>
              <w:rPr>
                <w:sz w:val="16"/>
              </w:rPr>
              <w:t>—</w:t>
            </w:r>
          </w:p>
        </w:tc>
        <w:tc>
          <w:tcPr>
            <w:tcW w:type="dxa" w:w="1587"/>
          </w:tcPr>
          <w:p>
            <w:pPr>
              <w:spacing w:after="0"/>
            </w:pPr>
            <w:r/>
            <w:r>
              <w:rPr>
                <w:b/>
                <w:sz w:val="16"/>
              </w:rPr>
              <w:t>A1</w:t>
            </w:r>
          </w:p>
        </w:tc>
        <w:tc>
          <w:tcPr>
            <w:tcW w:type="dxa" w:w="1587"/>
          </w:tcPr>
          <w:p>
            <w:pPr>
              <w:spacing w:after="0"/>
            </w:pPr>
            <w:r/>
            <w:r>
              <w:rPr>
                <w:sz w:val="16"/>
              </w:rPr>
              <w:t>Kanker paru, kanker kulit, neuropati perifer</w:t>
            </w:r>
          </w:p>
        </w:tc>
        <w:tc>
          <w:tcPr>
            <w:tcW w:type="dxa" w:w="1587"/>
          </w:tcPr>
          <w:p>
            <w:pPr>
              <w:spacing w:after="0"/>
            </w:pPr>
            <w:r/>
          </w:p>
        </w:tc>
      </w:tr>
      <w:tr>
        <w:tc>
          <w:tcPr>
            <w:tcW w:type="dxa" w:w="1587"/>
          </w:tcPr>
          <w:p>
            <w:pPr>
              <w:spacing w:after="0"/>
            </w:pPr>
            <w:r/>
            <w:r>
              <w:rPr>
                <w:b/>
                <w:sz w:val="16"/>
              </w:rPr>
              <w:t>Kadmium (Cd) &amp; Senyawanya</w:t>
            </w:r>
          </w:p>
        </w:tc>
        <w:tc>
          <w:tcPr>
            <w:tcW w:type="dxa" w:w="1587"/>
          </w:tcPr>
          <w:p>
            <w:pPr>
              <w:spacing w:after="0"/>
            </w:pPr>
            <w:r/>
            <w:r>
              <w:rPr>
                <w:b/>
                <w:sz w:val="16"/>
              </w:rPr>
              <w:t>0,01 mg/m³</w:t>
            </w:r>
            <w:r>
              <w:rPr>
                <w:sz w:val="16"/>
              </w:rPr>
              <w:t xml:space="preserve"> </w:t>
            </w:r>
            <w:r>
              <w:rPr>
                <w:i/>
                <w:sz w:val="16"/>
              </w:rPr>
              <w:t>(Total)</w:t>
            </w:r>
            <w:r>
              <w:br/>
            </w:r>
            <w:r>
              <w:rPr>
                <w:b/>
                <w:sz w:val="16"/>
              </w:rPr>
              <w:t>0,002 mg/m³</w:t>
            </w:r>
            <w:r>
              <w:rPr>
                <w:sz w:val="16"/>
              </w:rPr>
              <w:t xml:space="preserve"> </w:t>
            </w:r>
            <w:r>
              <w:rPr>
                <w:i/>
                <w:sz w:val="16"/>
              </w:rPr>
              <w:t>(Respirabel)</w:t>
            </w:r>
          </w:p>
        </w:tc>
        <w:tc>
          <w:tcPr>
            <w:tcW w:type="dxa" w:w="1587"/>
          </w:tcPr>
          <w:p>
            <w:pPr>
              <w:spacing w:after="0"/>
            </w:pPr>
            <w:r/>
            <w:r>
              <w:rPr>
                <w:sz w:val="16"/>
              </w:rPr>
              <w:t>—</w:t>
            </w:r>
          </w:p>
        </w:tc>
        <w:tc>
          <w:tcPr>
            <w:tcW w:type="dxa" w:w="1587"/>
          </w:tcPr>
          <w:p>
            <w:pPr>
              <w:spacing w:after="0"/>
            </w:pPr>
            <w:r/>
            <w:r>
              <w:rPr>
                <w:b/>
                <w:sz w:val="16"/>
              </w:rPr>
              <w:t>A2</w:t>
            </w:r>
          </w:p>
        </w:tc>
        <w:tc>
          <w:tcPr>
            <w:tcW w:type="dxa" w:w="1587"/>
          </w:tcPr>
          <w:p>
            <w:pPr>
              <w:spacing w:after="0"/>
            </w:pPr>
            <w:r/>
            <w:r>
              <w:rPr>
                <w:sz w:val="16"/>
              </w:rPr>
              <w:t>Disfungsi tubulus ginjal, proteinuria LMW, kanker paru</w:t>
            </w:r>
          </w:p>
        </w:tc>
        <w:tc>
          <w:tcPr>
            <w:tcW w:type="dxa" w:w="1587"/>
          </w:tcPr>
          <w:p>
            <w:pPr>
              <w:spacing w:after="0"/>
            </w:pPr>
            <w:r/>
          </w:p>
        </w:tc>
      </w:tr>
      <w:tr>
        <w:tc>
          <w:tcPr>
            <w:tcW w:type="dxa" w:w="1587"/>
          </w:tcPr>
          <w:p>
            <w:pPr>
              <w:spacing w:after="0"/>
            </w:pPr>
            <w:r/>
            <w:r>
              <w:rPr>
                <w:b/>
                <w:sz w:val="16"/>
              </w:rPr>
              <w:t>Kromium (Cr)</w:t>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r>
      <w:tr>
        <w:tc>
          <w:tcPr>
            <w:tcW w:type="dxa" w:w="1587"/>
          </w:tcPr>
          <w:p>
            <w:pPr>
              <w:spacing w:after="0"/>
            </w:pPr>
            <w:r/>
            <w:r>
              <w:rPr>
                <w:sz w:val="16"/>
              </w:rPr>
              <w:t xml:space="preserve">• </w:t>
            </w:r>
            <w:r>
              <w:rPr>
                <w:i/>
                <w:sz w:val="16"/>
              </w:rPr>
              <w:t>Cr(VI) Larut Air</w:t>
            </w:r>
          </w:p>
        </w:tc>
        <w:tc>
          <w:tcPr>
            <w:tcW w:type="dxa" w:w="1587"/>
          </w:tcPr>
          <w:p>
            <w:pPr>
              <w:spacing w:after="0"/>
            </w:pPr>
            <w:r/>
            <w:r>
              <w:rPr>
                <w:b/>
                <w:sz w:val="16"/>
              </w:rPr>
              <w:t>0,05 mg/m³</w:t>
            </w:r>
          </w:p>
        </w:tc>
        <w:tc>
          <w:tcPr>
            <w:tcW w:type="dxa" w:w="1587"/>
          </w:tcPr>
          <w:p>
            <w:pPr>
              <w:spacing w:after="0"/>
            </w:pPr>
            <w:r/>
            <w:r>
              <w:rPr>
                <w:sz w:val="16"/>
              </w:rPr>
              <w:t>—</w:t>
            </w:r>
          </w:p>
        </w:tc>
        <w:tc>
          <w:tcPr>
            <w:tcW w:type="dxa" w:w="1587"/>
          </w:tcPr>
          <w:p>
            <w:pPr>
              <w:spacing w:after="0"/>
            </w:pPr>
            <w:r/>
            <w:r>
              <w:rPr>
                <w:b/>
                <w:sz w:val="16"/>
              </w:rPr>
              <w:t>A1, BEI</w:t>
            </w:r>
            <w:r>
              <w:rPr>
                <w:sz w:val="16"/>
              </w:rPr>
              <w:t xml:space="preserve"> (▲)</w:t>
            </w:r>
          </w:p>
        </w:tc>
        <w:tc>
          <w:tcPr>
            <w:tcW w:type="dxa" w:w="1587"/>
          </w:tcPr>
          <w:p>
            <w:pPr>
              <w:spacing w:after="0"/>
            </w:pPr>
            <w:r/>
            <w:r>
              <w:rPr>
                <w:sz w:val="16"/>
              </w:rPr>
              <w:t>Kanker paru, ulkus septum nasi (</w:t>
            </w:r>
            <w:r>
              <w:rPr>
                <w:i/>
                <w:sz w:val="16"/>
              </w:rPr>
              <w:t>chrome holes</w:t>
            </w:r>
            <w:r>
              <w:rPr>
                <w:sz w:val="16"/>
              </w:rPr>
              <w:t>)</w:t>
            </w:r>
          </w:p>
        </w:tc>
        <w:tc>
          <w:tcPr>
            <w:tcW w:type="dxa" w:w="1587"/>
          </w:tcPr>
          <w:p>
            <w:pPr>
              <w:spacing w:after="0"/>
            </w:pPr>
            <w:r/>
          </w:p>
        </w:tc>
      </w:tr>
      <w:tr>
        <w:tc>
          <w:tcPr>
            <w:tcW w:type="dxa" w:w="1587"/>
          </w:tcPr>
          <w:p>
            <w:pPr>
              <w:spacing w:after="0"/>
            </w:pPr>
            <w:r/>
            <w:r>
              <w:rPr>
                <w:sz w:val="16"/>
              </w:rPr>
              <w:t xml:space="preserve">• </w:t>
            </w:r>
            <w:r>
              <w:rPr>
                <w:i/>
                <w:sz w:val="16"/>
              </w:rPr>
              <w:t>Cr(VI) Tidak Larut Air</w:t>
            </w:r>
          </w:p>
        </w:tc>
        <w:tc>
          <w:tcPr>
            <w:tcW w:type="dxa" w:w="1587"/>
          </w:tcPr>
          <w:p>
            <w:pPr>
              <w:spacing w:after="0"/>
            </w:pPr>
            <w:r/>
            <w:r>
              <w:rPr>
                <w:b/>
                <w:sz w:val="16"/>
              </w:rPr>
              <w:t>0,01 mg/m³</w:t>
            </w:r>
          </w:p>
        </w:tc>
        <w:tc>
          <w:tcPr>
            <w:tcW w:type="dxa" w:w="1587"/>
          </w:tcPr>
          <w:p>
            <w:pPr>
              <w:spacing w:after="0"/>
            </w:pPr>
            <w:r/>
            <w:r>
              <w:rPr>
                <w:sz w:val="16"/>
              </w:rPr>
              <w:t>—</w:t>
            </w:r>
          </w:p>
        </w:tc>
        <w:tc>
          <w:tcPr>
            <w:tcW w:type="dxa" w:w="1587"/>
          </w:tcPr>
          <w:p>
            <w:pPr>
              <w:spacing w:after="0"/>
            </w:pPr>
            <w:r/>
            <w:r>
              <w:rPr>
                <w:b/>
                <w:sz w:val="16"/>
              </w:rPr>
              <w:t>A1</w:t>
            </w:r>
          </w:p>
        </w:tc>
        <w:tc>
          <w:tcPr>
            <w:tcW w:type="dxa" w:w="1587"/>
          </w:tcPr>
          <w:p>
            <w:pPr>
              <w:spacing w:after="0"/>
            </w:pPr>
            <w:r/>
            <w:r>
              <w:rPr>
                <w:sz w:val="16"/>
              </w:rPr>
              <w:t>Kanker paru bronkogenik</w:t>
            </w:r>
          </w:p>
        </w:tc>
        <w:tc>
          <w:tcPr>
            <w:tcW w:type="dxa" w:w="1587"/>
          </w:tcPr>
          <w:p>
            <w:pPr>
              <w:spacing w:after="0"/>
            </w:pPr>
            <w:r/>
          </w:p>
        </w:tc>
      </w:tr>
      <w:tr>
        <w:tc>
          <w:tcPr>
            <w:tcW w:type="dxa" w:w="1587"/>
          </w:tcPr>
          <w:p>
            <w:pPr>
              <w:spacing w:after="0"/>
            </w:pPr>
            <w:r/>
            <w:r>
              <w:rPr>
                <w:sz w:val="16"/>
              </w:rPr>
              <w:t xml:space="preserve">• </w:t>
            </w:r>
            <w:r>
              <w:rPr>
                <w:i/>
                <w:sz w:val="16"/>
              </w:rPr>
              <w:t>Logam &amp; Cr(III) Anorganik</w:t>
            </w:r>
          </w:p>
        </w:tc>
        <w:tc>
          <w:tcPr>
            <w:tcW w:type="dxa" w:w="1587"/>
          </w:tcPr>
          <w:p>
            <w:pPr>
              <w:spacing w:after="0"/>
            </w:pPr>
            <w:r/>
            <w:r>
              <w:rPr>
                <w:b/>
                <w:sz w:val="16"/>
              </w:rPr>
              <w:t>0,5 mg/m³</w:t>
            </w:r>
          </w:p>
        </w:tc>
        <w:tc>
          <w:tcPr>
            <w:tcW w:type="dxa" w:w="1587"/>
          </w:tcPr>
          <w:p>
            <w:pPr>
              <w:spacing w:after="0"/>
            </w:pPr>
            <w:r/>
            <w:r>
              <w:rPr>
                <w:sz w:val="16"/>
              </w:rPr>
              <w:t>—</w:t>
            </w:r>
          </w:p>
        </w:tc>
        <w:tc>
          <w:tcPr>
            <w:tcW w:type="dxa" w:w="1587"/>
          </w:tcPr>
          <w:p>
            <w:pPr>
              <w:spacing w:after="0"/>
            </w:pPr>
            <w:r/>
            <w:r>
              <w:rPr>
                <w:b/>
                <w:sz w:val="16"/>
              </w:rPr>
              <w:t>A4</w:t>
            </w:r>
          </w:p>
        </w:tc>
        <w:tc>
          <w:tcPr>
            <w:tcW w:type="dxa" w:w="1587"/>
          </w:tcPr>
          <w:p>
            <w:pPr>
              <w:spacing w:after="0"/>
            </w:pPr>
            <w:r/>
            <w:r>
              <w:rPr>
                <w:sz w:val="16"/>
              </w:rPr>
              <w:t>Iritasi saluran napas atas dan kulit</w:t>
            </w:r>
          </w:p>
        </w:tc>
        <w:tc>
          <w:tcPr>
            <w:tcW w:type="dxa" w:w="1587"/>
          </w:tcPr>
          <w:p>
            <w:pPr>
              <w:spacing w:after="0"/>
            </w:pPr>
            <w:r/>
          </w:p>
        </w:tc>
      </w:tr>
      <w:tr>
        <w:tc>
          <w:tcPr>
            <w:tcW w:type="dxa" w:w="1587"/>
          </w:tcPr>
          <w:p>
            <w:pPr>
              <w:spacing w:after="0"/>
            </w:pPr>
            <w:r/>
            <w:r>
              <w:rPr>
                <w:b/>
                <w:sz w:val="16"/>
              </w:rPr>
              <w:t>Mangan (Mn) &amp; Senyawanya</w:t>
            </w:r>
          </w:p>
        </w:tc>
        <w:tc>
          <w:tcPr>
            <w:tcW w:type="dxa" w:w="1587"/>
          </w:tcPr>
          <w:p>
            <w:pPr>
              <w:spacing w:after="0"/>
            </w:pPr>
            <w:r/>
            <w:r>
              <w:rPr>
                <w:b/>
                <w:sz w:val="16"/>
              </w:rPr>
              <w:t>0,2 mg/m³</w:t>
            </w:r>
            <w:r>
              <w:rPr>
                <w:sz w:val="16"/>
              </w:rPr>
              <w:t xml:space="preserve"> </w:t>
            </w:r>
            <w:r>
              <w:rPr>
                <w:i/>
                <w:sz w:val="16"/>
              </w:rPr>
              <w:t>(Inhalabel)</w:t>
            </w:r>
            <w:r>
              <w:br/>
            </w:r>
            <w:r>
              <w:rPr>
                <w:b/>
                <w:sz w:val="16"/>
              </w:rPr>
              <w:t>0,02 mg/m³</w:t>
            </w:r>
            <w:r>
              <w:rPr>
                <w:sz w:val="16"/>
              </w:rPr>
              <w:t xml:space="preserve"> </w:t>
            </w:r>
            <w:r>
              <w:rPr>
                <w:i/>
                <w:sz w:val="16"/>
              </w:rPr>
              <w:t>(Respirabel)</w:t>
            </w:r>
          </w:p>
        </w:tc>
        <w:tc>
          <w:tcPr>
            <w:tcW w:type="dxa" w:w="1587"/>
          </w:tcPr>
          <w:p>
            <w:pPr>
              <w:spacing w:after="0"/>
            </w:pPr>
            <w:r/>
            <w:r>
              <w:rPr>
                <w:sz w:val="16"/>
              </w:rPr>
              <w:t>—</w:t>
            </w:r>
          </w:p>
        </w:tc>
        <w:tc>
          <w:tcPr>
            <w:tcW w:type="dxa" w:w="1587"/>
          </w:tcPr>
          <w:p>
            <w:pPr>
              <w:spacing w:after="0"/>
            </w:pPr>
            <w:r/>
            <w:r>
              <w:rPr>
                <w:sz w:val="16"/>
              </w:rPr>
              <w:t>—</w:t>
            </w:r>
          </w:p>
        </w:tc>
        <w:tc>
          <w:tcPr>
            <w:tcW w:type="dxa" w:w="1587"/>
          </w:tcPr>
          <w:p>
            <w:pPr>
              <w:spacing w:after="0"/>
            </w:pPr>
            <w:r/>
            <w:r>
              <w:rPr>
                <w:sz w:val="16"/>
              </w:rPr>
              <w:t>Neurobehavioral, parkinsonisme (</w:t>
            </w:r>
            <w:r>
              <w:rPr>
                <w:i/>
                <w:sz w:val="16"/>
              </w:rPr>
              <w:t>manganisme</w:t>
            </w:r>
            <w:r>
              <w:rPr>
                <w:sz w:val="16"/>
              </w:rPr>
              <w:t>)</w:t>
            </w:r>
          </w:p>
        </w:tc>
        <w:tc>
          <w:tcPr>
            <w:tcW w:type="dxa" w:w="1587"/>
          </w:tcPr>
          <w:p>
            <w:pPr>
              <w:spacing w:after="0"/>
            </w:pPr>
            <w:r/>
          </w:p>
        </w:tc>
      </w:tr>
      <w:tr>
        <w:tc>
          <w:tcPr>
            <w:tcW w:type="dxa" w:w="1587"/>
          </w:tcPr>
          <w:p>
            <w:pPr>
              <w:spacing w:after="0"/>
            </w:pPr>
            <w:r/>
            <w:r>
              <w:rPr>
                <w:b/>
                <w:sz w:val="16"/>
              </w:rPr>
              <w:t>Nikel (Ni)</w:t>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c>
          <w:tcPr>
            <w:tcW w:type="dxa" w:w="1587"/>
          </w:tcPr>
          <w:p>
            <w:pPr>
              <w:spacing w:after="0"/>
            </w:pPr>
            <w:r/>
          </w:p>
        </w:tc>
      </w:tr>
      <w:tr>
        <w:tc>
          <w:tcPr>
            <w:tcW w:type="dxa" w:w="1587"/>
          </w:tcPr>
          <w:p>
            <w:pPr>
              <w:spacing w:after="0"/>
            </w:pPr>
            <w:r/>
            <w:r>
              <w:rPr>
                <w:sz w:val="16"/>
              </w:rPr>
              <w:t xml:space="preserve">• </w:t>
            </w:r>
            <w:r>
              <w:rPr>
                <w:i/>
                <w:sz w:val="16"/>
              </w:rPr>
              <w:t>Logam Nikel</w:t>
            </w:r>
          </w:p>
        </w:tc>
        <w:tc>
          <w:tcPr>
            <w:tcW w:type="dxa" w:w="1587"/>
          </w:tcPr>
          <w:p>
            <w:pPr>
              <w:spacing w:after="0"/>
            </w:pPr>
            <w:r/>
            <w:r>
              <w:rPr>
                <w:b/>
                <w:sz w:val="16"/>
              </w:rPr>
              <w:t>1,5 mg/m³</w:t>
            </w:r>
            <w:r>
              <w:rPr>
                <w:sz w:val="16"/>
              </w:rPr>
              <w:t xml:space="preserve"> </w:t>
            </w:r>
            <w:r>
              <w:rPr>
                <w:i/>
                <w:sz w:val="16"/>
              </w:rPr>
              <w:t>(Inhalabel)</w:t>
            </w:r>
          </w:p>
        </w:tc>
        <w:tc>
          <w:tcPr>
            <w:tcW w:type="dxa" w:w="1587"/>
          </w:tcPr>
          <w:p>
            <w:pPr>
              <w:spacing w:after="0"/>
            </w:pPr>
            <w:r/>
            <w:r>
              <w:rPr>
                <w:sz w:val="16"/>
              </w:rPr>
              <w:t>—</w:t>
            </w:r>
          </w:p>
        </w:tc>
        <w:tc>
          <w:tcPr>
            <w:tcW w:type="dxa" w:w="1587"/>
          </w:tcPr>
          <w:p>
            <w:pPr>
              <w:spacing w:after="0"/>
            </w:pPr>
            <w:r/>
            <w:r>
              <w:rPr>
                <w:b/>
                <w:sz w:val="16"/>
              </w:rPr>
              <w:t>A5</w:t>
            </w:r>
          </w:p>
        </w:tc>
        <w:tc>
          <w:tcPr>
            <w:tcW w:type="dxa" w:w="1587"/>
          </w:tcPr>
          <w:p>
            <w:pPr>
              <w:spacing w:after="0"/>
            </w:pPr>
            <w:r/>
            <w:r>
              <w:rPr>
                <w:sz w:val="16"/>
              </w:rPr>
              <w:t>Dermatitis kontak alergi, pneumokoniosis</w:t>
            </w:r>
          </w:p>
        </w:tc>
        <w:tc>
          <w:tcPr>
            <w:tcW w:type="dxa" w:w="1587"/>
          </w:tcPr>
          <w:p>
            <w:pPr>
              <w:spacing w:after="0"/>
            </w:pPr>
            <w:r/>
          </w:p>
        </w:tc>
      </w:tr>
      <w:tr>
        <w:tc>
          <w:tcPr>
            <w:tcW w:type="dxa" w:w="1587"/>
          </w:tcPr>
          <w:p>
            <w:pPr>
              <w:spacing w:after="0"/>
            </w:pPr>
            <w:r/>
            <w:r>
              <w:rPr>
                <w:sz w:val="16"/>
              </w:rPr>
              <w:t xml:space="preserve">• </w:t>
            </w:r>
            <w:r>
              <w:rPr>
                <w:i/>
                <w:sz w:val="16"/>
              </w:rPr>
              <w:t>Senyawa Ni Tidak Larut</w:t>
            </w:r>
          </w:p>
        </w:tc>
        <w:tc>
          <w:tcPr>
            <w:tcW w:type="dxa" w:w="1587"/>
          </w:tcPr>
          <w:p>
            <w:pPr>
              <w:spacing w:after="0"/>
            </w:pPr>
            <w:r/>
            <w:r>
              <w:rPr>
                <w:b/>
                <w:sz w:val="16"/>
              </w:rPr>
              <w:t>0,2 mg/m³</w:t>
            </w:r>
            <w:r>
              <w:rPr>
                <w:sz w:val="16"/>
              </w:rPr>
              <w:t xml:space="preserve"> </w:t>
            </w:r>
            <w:r>
              <w:rPr>
                <w:i/>
                <w:sz w:val="16"/>
              </w:rPr>
              <w:t>(Inhalabel)</w:t>
            </w:r>
          </w:p>
        </w:tc>
        <w:tc>
          <w:tcPr>
            <w:tcW w:type="dxa" w:w="1587"/>
          </w:tcPr>
          <w:p>
            <w:pPr>
              <w:spacing w:after="0"/>
            </w:pPr>
            <w:r/>
            <w:r>
              <w:rPr>
                <w:sz w:val="16"/>
              </w:rPr>
              <w:t>—</w:t>
            </w:r>
          </w:p>
        </w:tc>
        <w:tc>
          <w:tcPr>
            <w:tcW w:type="dxa" w:w="1587"/>
          </w:tcPr>
          <w:p>
            <w:pPr>
              <w:spacing w:after="0"/>
            </w:pPr>
            <w:r/>
            <w:r>
              <w:rPr>
                <w:b/>
                <w:sz w:val="16"/>
              </w:rPr>
              <w:t>A1</w:t>
            </w:r>
          </w:p>
        </w:tc>
        <w:tc>
          <w:tcPr>
            <w:tcW w:type="dxa" w:w="1587"/>
          </w:tcPr>
          <w:p>
            <w:pPr>
              <w:spacing w:after="0"/>
            </w:pPr>
            <w:r/>
            <w:r>
              <w:rPr>
                <w:sz w:val="16"/>
              </w:rPr>
              <w:t>Kanker paru dan sinus hidung</w:t>
            </w:r>
          </w:p>
        </w:tc>
        <w:tc>
          <w:tcPr>
            <w:tcW w:type="dxa" w:w="1587"/>
          </w:tcPr>
          <w:p>
            <w:pPr>
              <w:spacing w:after="0"/>
            </w:pPr>
            <w:r/>
          </w:p>
        </w:tc>
      </w:tr>
      <w:tr>
        <w:tc>
          <w:tcPr>
            <w:tcW w:type="dxa" w:w="1587"/>
          </w:tcPr>
          <w:p>
            <w:pPr>
              <w:spacing w:after="0"/>
            </w:pPr>
            <w:r/>
            <w:r>
              <w:rPr>
                <w:sz w:val="16"/>
              </w:rPr>
              <w:t xml:space="preserve">• </w:t>
            </w:r>
            <w:r>
              <w:rPr>
                <w:i/>
                <w:sz w:val="16"/>
              </w:rPr>
              <w:t>Senyawa Ni Larut</w:t>
            </w:r>
          </w:p>
        </w:tc>
        <w:tc>
          <w:tcPr>
            <w:tcW w:type="dxa" w:w="1587"/>
          </w:tcPr>
          <w:p>
            <w:pPr>
              <w:spacing w:after="0"/>
            </w:pPr>
            <w:r/>
            <w:r>
              <w:rPr>
                <w:b/>
                <w:sz w:val="16"/>
              </w:rPr>
              <w:t>0,1 mg/m³</w:t>
            </w:r>
            <w:r>
              <w:rPr>
                <w:sz w:val="16"/>
              </w:rPr>
              <w:t xml:space="preserve"> </w:t>
            </w:r>
            <w:r>
              <w:rPr>
                <w:i/>
                <w:sz w:val="16"/>
              </w:rPr>
              <w:t>(Inhalabel)</w:t>
            </w:r>
          </w:p>
        </w:tc>
        <w:tc>
          <w:tcPr>
            <w:tcW w:type="dxa" w:w="1587"/>
          </w:tcPr>
          <w:p>
            <w:pPr>
              <w:spacing w:after="0"/>
            </w:pPr>
            <w:r/>
            <w:r>
              <w:rPr>
                <w:sz w:val="16"/>
              </w:rPr>
              <w:t>—</w:t>
            </w:r>
          </w:p>
        </w:tc>
        <w:tc>
          <w:tcPr>
            <w:tcW w:type="dxa" w:w="1587"/>
          </w:tcPr>
          <w:p>
            <w:pPr>
              <w:spacing w:after="0"/>
            </w:pPr>
            <w:r/>
            <w:r>
              <w:rPr>
                <w:b/>
                <w:sz w:val="16"/>
              </w:rPr>
              <w:t>A4</w:t>
            </w:r>
          </w:p>
        </w:tc>
        <w:tc>
          <w:tcPr>
            <w:tcW w:type="dxa" w:w="1587"/>
          </w:tcPr>
          <w:p>
            <w:pPr>
              <w:spacing w:after="0"/>
            </w:pPr>
            <w:r/>
            <w:r>
              <w:rPr>
                <w:sz w:val="16"/>
              </w:rPr>
              <w:t>Toksisitas sistemik, asma kerja</w:t>
            </w:r>
          </w:p>
        </w:tc>
        <w:tc>
          <w:tcPr>
            <w:tcW w:type="dxa" w:w="1587"/>
          </w:tcPr>
          <w:p>
            <w:pPr>
              <w:spacing w:after="0"/>
            </w:pPr>
            <w:r/>
          </w:p>
        </w:tc>
      </w:tr>
      <w:tr>
        <w:tc>
          <w:tcPr>
            <w:tcW w:type="dxa" w:w="1587"/>
          </w:tcPr>
          <w:p>
            <w:pPr>
              <w:spacing w:after="0"/>
            </w:pPr>
            <w:r/>
            <w:r>
              <w:rPr>
                <w:b/>
                <w:sz w:val="16"/>
              </w:rPr>
              <w:t>Berilium (Be) &amp; Senyawanya</w:t>
            </w:r>
          </w:p>
        </w:tc>
        <w:tc>
          <w:tcPr>
            <w:tcW w:type="dxa" w:w="1587"/>
          </w:tcPr>
          <w:p>
            <w:pPr>
              <w:spacing w:after="0"/>
            </w:pPr>
            <w:r/>
            <w:r>
              <w:rPr>
                <w:b/>
                <w:sz w:val="16"/>
              </w:rPr>
              <w:t>0,00005 mg/m³</w:t>
            </w:r>
            <w:r>
              <w:rPr>
                <w:sz w:val="16"/>
              </w:rPr>
              <w:t xml:space="preserve"> </w:t>
            </w:r>
            <w:r>
              <w:rPr>
                <w:i/>
                <w:sz w:val="16"/>
              </w:rPr>
              <w:t>(0,05 µg/m³)</w:t>
            </w:r>
          </w:p>
        </w:tc>
        <w:tc>
          <w:tcPr>
            <w:tcW w:type="dxa" w:w="1587"/>
          </w:tcPr>
          <w:p>
            <w:pPr>
              <w:spacing w:after="0"/>
            </w:pPr>
            <w:r/>
            <w:r>
              <w:rPr>
                <w:b/>
                <w:sz w:val="16"/>
              </w:rPr>
              <w:t>0,002 mg/m³</w:t>
            </w:r>
          </w:p>
        </w:tc>
        <w:tc>
          <w:tcPr>
            <w:tcW w:type="dxa" w:w="1587"/>
          </w:tcPr>
          <w:p>
            <w:pPr>
              <w:spacing w:after="0"/>
            </w:pPr>
            <w:r/>
            <w:r>
              <w:rPr>
                <w:b/>
                <w:sz w:val="16"/>
              </w:rPr>
              <w:t>A1, Kulit, DSEN, RSEN</w:t>
            </w:r>
          </w:p>
        </w:tc>
        <w:tc>
          <w:tcPr>
            <w:tcW w:type="dxa" w:w="1587"/>
          </w:tcPr>
          <w:p>
            <w:pPr>
              <w:spacing w:after="0"/>
            </w:pPr>
            <w:r/>
            <w:r>
              <w:rPr>
                <w:sz w:val="16"/>
              </w:rPr>
              <w:t>Penyakit Paru Beriliosis Kronis (CBD), Kanker paru</w:t>
            </w:r>
          </w:p>
        </w:tc>
        <w:tc>
          <w:tcPr>
            <w:tcW w:type="dxa" w:w="1587"/>
          </w:tcPr>
          <w:p>
            <w:pPr>
              <w:spacing w:after="0"/>
            </w:pPr>
            <w:r/>
          </w:p>
        </w:tc>
      </w:tr>
    </w:tbl>
    <w:p>
      <w:pPr>
        <w:spacing w:after="40"/>
      </w:pPr>
    </w:p>
    <w:p>
      <w:pPr>
        <w:pStyle w:val="Heading3"/>
      </w:pPr>
      <w:r>
        <w:t>6. Keterkaitan dengan Kepmenaker No. KEP.187/MEN/1999</w:t>
      </w:r>
    </w:p>
    <w:p>
      <w:pPr>
        <w:spacing w:after="80"/>
      </w:pPr>
      <w:r>
        <w:rPr/>
        <w:t xml:space="preserve">Dewan penguji kerap menanyakan: </w:t>
      </w:r>
      <w:r>
        <w:rPr>
          <w:i/>
        </w:rPr>
        <w:t>"Jika Permenaker 5/2018 sudah mengatur faktor kimia, mengapa Kepmenaker 187/1999 masih tetap berlaku?"</w:t>
      </w:r>
    </w:p>
    <w:p>
      <w:pPr>
        <w:spacing w:after="80"/>
      </w:pPr>
      <w:r>
        <w:rPr/>
        <w:t xml:space="preserve">Jawabannya terletak pada </w:t>
      </w:r>
      <w:r>
        <w:rPr>
          <w:b/>
        </w:rPr>
        <w:t>perbedaan filosofis fokus regulasi</w:t>
      </w:r>
      <w:r>
        <w:rPr/>
        <w:t>:</w:t>
      </w:r>
    </w:p>
    <w:p>
      <w:pPr>
        <w:spacing w:after="120"/>
        <w:ind w:left="170"/>
      </w:pPr>
      <w:r>
        <w:rPr>
          <w:rFonts w:ascii="Consolas" w:hAnsi="Consolas" w:eastAsia="Consolas"/>
          <w:sz w:val="13"/>
        </w:rPr>
        <w:t xml:space="preserve">        KEPMENAKER 187/1999                          PERMENAKER 5/2018</w:t>
      </w:r>
      <w:r>
        <w:br/>
      </w:r>
      <w:r>
        <w:rPr>
          <w:rFonts w:ascii="Consolas" w:hAnsi="Consolas" w:eastAsia="Consolas"/>
          <w:sz w:val="13"/>
        </w:rPr>
        <w:t xml:space="preserve">   [ Pengendalian Bahan Kimia di Sumber ]      [ Pengendalian Lingkungan &amp; Pajanan ]</w:t>
      </w:r>
      <w:r>
        <w:br/>
      </w:r>
      <w:r>
        <w:rPr>
          <w:rFonts w:ascii="Consolas" w:hAnsi="Consolas" w:eastAsia="Consolas"/>
          <w:sz w:val="13"/>
        </w:rPr>
        <w:t xml:space="preserve">                 │                                            │</w:t>
      </w:r>
      <w:r>
        <w:br/>
      </w:r>
      <w:r>
        <w:rPr>
          <w:rFonts w:ascii="Consolas" w:hAnsi="Consolas" w:eastAsia="Consolas"/>
          <w:sz w:val="13"/>
        </w:rPr>
        <w:t xml:space="preserve">   • Fokus: Manajemen proses industri           • Fokus: Batas konsentrasi di atmosfer</w:t>
      </w:r>
      <w:r>
        <w:br/>
      </w:r>
      <w:r>
        <w:rPr>
          <w:rFonts w:ascii="Consolas" w:hAnsi="Consolas" w:eastAsia="Consolas"/>
          <w:sz w:val="13"/>
        </w:rPr>
        <w:t xml:space="preserve">   • Kriteria: LD50, LC50, NAK (Kuantitas)       • Kriteria: NAB (8 jam), PSD, KTD</w:t>
      </w:r>
      <w:r>
        <w:br/>
      </w:r>
      <w:r>
        <w:rPr>
          <w:rFonts w:ascii="Consolas" w:hAnsi="Consolas" w:eastAsia="Consolas"/>
          <w:sz w:val="13"/>
        </w:rPr>
        <w:t xml:space="preserve">   • Output: Dokumen Pengendalian Bahaya        • Output: Laporan Riksa Uji Lingkungan</w:t>
      </w:r>
      <w:r>
        <w:br/>
      </w:r>
      <w:r>
        <w:rPr>
          <w:rFonts w:ascii="Consolas" w:hAnsi="Consolas" w:eastAsia="Consolas"/>
          <w:sz w:val="13"/>
        </w:rPr>
        <w:t xml:space="preserve">     (Besar vs Menengah), Personil K3 Kimia       dan Penerapan IPB (Biomonitoring)</w:t>
      </w:r>
      <w:r>
        <w:br/>
      </w:r>
      <w:r>
        <w:rPr>
          <w:rFonts w:ascii="Consolas" w:hAnsi="Consolas" w:eastAsia="Consolas"/>
          <w:sz w:val="13"/>
        </w:rPr>
        <w:t xml:space="preserve">                 │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KETERKAITAN &amp; INTEGRASI OPERASIONAL ]</w:t>
      </w:r>
    </w:p>
    <w:p>
      <w:pPr>
        <w:spacing w:after="40"/>
        <w:ind w:left="340" w:hanging="283"/>
      </w:pPr>
      <w:r>
        <w:rPr/>
        <w:t xml:space="preserve">1. </w:t>
      </w:r>
      <w:r>
        <w:rPr>
          <w:b/>
        </w:rPr>
        <w:t>Integrasi LDKB (Lembar Data Keselamatan Bahan / SDS) dan Label:</w:t>
      </w:r>
    </w:p>
    <w:p>
      <w:pPr>
        <w:pStyle w:val="ListBullet2"/>
        <w:spacing w:after="20"/>
      </w:pPr>
      <w:r>
        <w:rPr/>
        <w:t>Kepmenaker 187/1999 (Pasal 3, 4, Lampiran I) mewajibkan setiap pengusaha menyediakan LDKB dengan format 16 bagian.</w:t>
      </w:r>
    </w:p>
    <w:p>
      <w:pPr>
        <w:pStyle w:val="ListBullet2"/>
        <w:spacing w:after="20"/>
      </w:pPr>
      <w:r>
        <w:rPr/>
        <w:t xml:space="preserve">Pada </w:t>
      </w:r>
      <w:r>
        <w:rPr>
          <w:b/>
        </w:rPr>
        <w:t>Bagian 8 (Pengendalian Pemajanan dan APD)</w:t>
      </w:r>
      <w:r>
        <w:rPr/>
        <w:t xml:space="preserve"> serta </w:t>
      </w:r>
      <w:r>
        <w:rPr>
          <w:b/>
        </w:rPr>
        <w:t>Bagian 11 (Informasi Toksikologi)</w:t>
      </w:r>
      <w:r>
        <w:rPr/>
        <w:t xml:space="preserve"> LDKB tersebut, angka Nilai Ambang Batas (NAB) yang wajib dicantumkan adalah </w:t>
      </w:r>
      <w:r>
        <w:rPr>
          <w:b/>
        </w:rPr>
        <w:t>angka resmi yang ditetapkan dalam Lampiran 3 Permenaker No. 5 Tahun 2018</w:t>
      </w:r>
      <w:r>
        <w:rPr/>
        <w:t>.</w:t>
      </w:r>
    </w:p>
    <w:p>
      <w:pPr>
        <w:spacing w:after="40"/>
        <w:ind w:left="340" w:hanging="283"/>
      </w:pPr>
      <w:r>
        <w:rPr/>
        <w:t xml:space="preserve">2. </w:t>
      </w:r>
      <w:r>
        <w:rPr>
          <w:b/>
        </w:rPr>
        <w:t>Penetapan Potensi Bahaya Industri Berdasarkan Nilai Ambang Kuantitas (NAK):</w:t>
      </w:r>
    </w:p>
    <w:p>
      <w:pPr>
        <w:pStyle w:val="ListBullet2"/>
        <w:spacing w:after="20"/>
      </w:pPr>
      <w:r>
        <w:rPr/>
        <w:t xml:space="preserve">Kepmenaker 187/1999 (Pasal 8 s.d 15) membagi perusahaan menjadi </w:t>
      </w:r>
      <w:r>
        <w:rPr>
          <w:b/>
        </w:rPr>
        <w:t>Potensi Bahaya Besar</w:t>
      </w:r>
      <w:r>
        <w:rPr/>
        <w:t xml:space="preserve"> atau </w:t>
      </w:r>
      <w:r>
        <w:rPr>
          <w:b/>
        </w:rPr>
        <w:t>Potensi Bahaya Menengah</w:t>
      </w:r>
      <w:r>
        <w:rPr/>
        <w:t xml:space="preserve"> berdasarkan kriteria toksisitas akut (LD₅₀ oral, dermal, dan LC₅₀ inhalasi) serta akumulasi volume kuantitas bahan kimia (NAK) di fasilitas kerja.</w:t>
      </w:r>
    </w:p>
    <w:p>
      <w:pPr>
        <w:spacing w:after="40"/>
        <w:ind w:left="340" w:hanging="283"/>
      </w:pPr>
      <w:r>
        <w:rPr/>
        <w:t xml:space="preserve">3. </w:t>
      </w:r>
      <w:r>
        <w:rPr>
          <w:b/>
        </w:rPr>
        <w:t>Sinkronisasi Frekuensi Pemeriksaan dan Pengujian Lingkungan Kerja:</w:t>
      </w:r>
    </w:p>
    <w:p>
      <w:pPr>
        <w:pStyle w:val="ListBullet2"/>
        <w:spacing w:after="20"/>
      </w:pPr>
      <w:r>
        <w:rPr/>
        <w:t xml:space="preserve">Bagi perusahaan </w:t>
      </w:r>
      <w:r>
        <w:rPr>
          <w:b/>
        </w:rPr>
        <w:t>Potensi Bahaya Besar</w:t>
      </w:r>
      <w:r>
        <w:rPr/>
        <w:t xml:space="preserve"> (melebihi NAK): Kepmenaker 187/1999 Pasal 16 ayat (1) huruf e mewajibkan pemeriksaan/pengujian faktor kimia </w:t>
      </w:r>
      <w:r>
        <w:rPr>
          <w:b/>
        </w:rPr>
        <w:t>sekurang-kurangnya 6 (enam) bulan sekali</w:t>
      </w:r>
      <w:r>
        <w:rPr/>
        <w:t>.</w:t>
      </w:r>
    </w:p>
    <w:p>
      <w:pPr>
        <w:pStyle w:val="ListBullet2"/>
        <w:spacing w:after="20"/>
      </w:pPr>
      <w:r>
        <w:rPr/>
        <w:t xml:space="preserve">Bagi perusahaan </w:t>
      </w:r>
      <w:r>
        <w:rPr>
          <w:b/>
        </w:rPr>
        <w:t>Potensi Bahaya Menengah</w:t>
      </w:r>
      <w:r>
        <w:rPr/>
        <w:t xml:space="preserve"> (di bawah NAK): Pasal 17 ayat (1) huruf d mewajibkan pengujian faktor kimia </w:t>
      </w:r>
      <w:r>
        <w:rPr>
          <w:b/>
        </w:rPr>
        <w:t>sekurang-kurangnya 1 (satu) tahun sekali</w:t>
      </w:r>
      <w:r>
        <w:rPr/>
        <w:t>.</w:t>
      </w:r>
    </w:p>
    <w:p>
      <w:pPr>
        <w:pStyle w:val="ListBullet2"/>
        <w:spacing w:after="20"/>
      </w:pPr>
      <w:r>
        <w:rPr>
          <w:i/>
        </w:rPr>
        <w:t>Keterkaitan Hukum:</w:t>
      </w:r>
      <w:r>
        <w:rPr/>
        <w:t xml:space="preserve"> Prosedur teknis pengukuran, kualifikasi lembaga penguji (UPTD/PJK3), metodologi analisis, serta tolok ukur kesimpulan "Memenuhi / Tidak Memenuhi Syarat" dari pengujian berkala tersebut </w:t>
      </w:r>
      <w:r>
        <w:rPr>
          <w:b/>
        </w:rPr>
        <w:t>seluruhnya mengacu pada tata cara dan formulir Bab V Lampiran 9 Permenaker No. 5 Tahun 2018</w:t>
      </w:r>
      <w:r>
        <w:rPr/>
        <w:t>.</w:t>
      </w:r>
    </w:p>
    <w:p>
      <w:pPr>
        <w:spacing w:after="40"/>
        <w:ind w:left="340" w:hanging="283"/>
      </w:pPr>
      <w:r>
        <w:rPr/>
        <w:t xml:space="preserve">4. </w:t>
      </w:r>
      <w:r>
        <w:rPr>
          <w:b/>
        </w:rPr>
        <w:t>Kolaborasi Personel K3 Kimia dan Personel K3 Lingkungan Kerja:</w:t>
      </w:r>
    </w:p>
    <w:p>
      <w:pPr>
        <w:pStyle w:val="ListBullet2"/>
        <w:spacing w:after="20"/>
      </w:pPr>
      <w:r>
        <w:rPr/>
        <w:t xml:space="preserve">Kepmenaker 187/1999 (Pasal 16, 17, 22, 23) mewajibkan penunjukan </w:t>
      </w:r>
      <w:r>
        <w:rPr>
          <w:b/>
        </w:rPr>
        <w:t>Petugas K3 Kimia dan Ahli K3 Kimia</w:t>
      </w:r>
      <w:r>
        <w:rPr/>
        <w:t xml:space="preserve"> yang bertugas mengidentifikasi bahaya kimiawi, menyusun dokumen prosedur kerja aman (</w:t>
      </w:r>
      <w:r>
        <w:rPr>
          <w:i/>
        </w:rPr>
        <w:t>safe operating procedures</w:t>
      </w:r>
      <w:r>
        <w:rPr/>
        <w:t>), dan merancang tanggap darurat instalasi.</w:t>
      </w:r>
    </w:p>
    <w:p>
      <w:pPr>
        <w:pStyle w:val="ListBullet2"/>
        <w:spacing w:after="20"/>
      </w:pPr>
      <w:r>
        <w:rPr/>
        <w:t xml:space="preserve">Permenaker 5/2018 (Pasal 45–56) mengatur </w:t>
      </w:r>
      <w:r>
        <w:rPr>
          <w:b/>
        </w:rPr>
        <w:t>Ahli K3 Lingkungan Kerja (Muda, Madya, Utama)</w:t>
      </w:r>
      <w:r>
        <w:rPr/>
        <w:t xml:space="preserve"> yang memiliki lisensi untuk melakukan </w:t>
      </w:r>
      <w:r>
        <w:rPr>
          <w:i/>
        </w:rPr>
        <w:t>sampling</w:t>
      </w:r>
      <w:r>
        <w:rPr/>
        <w:t>, pembacaan analitis, serta evaluasi ventilasi industri.</w:t>
      </w:r>
    </w:p>
    <w:p>
      <w:pPr>
        <w:pStyle w:val="ListBullet2"/>
        <w:spacing w:after="20"/>
      </w:pPr>
      <w:r>
        <w:rPr/>
        <w:t>Keduanya bersinergi: Ahli K3 Kimia mengelola bahan di tangki/proses produksi, sementara Ahli K3 Lingkungan Kerja bersama Dokter Perusahaan memantau sebaran uap di udara dan melakukan uji biologis spesimen tubuh tenaga kerja.</w:t>
      </w:r>
    </w:p>
    <w:p>
      <w:r>
        <w:rPr>
          <w:b/>
          <w:sz w:val="16"/>
        </w:rPr>
        <w:t>Sumber yang dirujuk NotebookLM:</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i/>
          <w:color w:val="595959"/>
          <w:sz w:val="16"/>
        </w:rPr>
        <w:t>Bab I (Ketentuan Umum, Pasal 1 angka 1, 7, 8, 9, 10)</w:t>
      </w:r>
      <w:r>
        <w:rPr>
          <w:color w:val="595959"/>
          <w:sz w:val="16"/>
        </w:rPr>
        <w:t>: Definisi K3, NAB, PSD, KTD, IPB.</w:t>
      </w:r>
    </w:p>
    <w:p>
      <w:pPr>
        <w:spacing w:after="0"/>
        <w:ind w:left="283"/>
      </w:pPr>
      <w:r>
        <w:rPr>
          <w:i/>
          <w:color w:val="595959"/>
          <w:sz w:val="16"/>
        </w:rPr>
        <w:t>Bab II (Syarat-Syarat K3 Lingkungan Kerja, Pasal 2, 3, 5, 7)</w:t>
      </w:r>
      <w:r>
        <w:rPr>
          <w:color w:val="595959"/>
          <w:sz w:val="16"/>
        </w:rPr>
        <w:t>: Kewajiban Pengusaha, Pengendalian Faktor Fisika, Kimia, Biologi, Ergonomi, Psikologi, dan Sanitasi.</w:t>
      </w:r>
    </w:p>
    <w:p>
      <w:pPr>
        <w:spacing w:after="0"/>
        <w:ind w:left="283"/>
      </w:pPr>
      <w:r>
        <w:rPr>
          <w:i/>
          <w:color w:val="595959"/>
          <w:sz w:val="16"/>
        </w:rPr>
        <w:t>Bab III (Bagian Ketiga Faktor Kimia, Pasal 20, 21, 22)</w:t>
      </w:r>
      <w:r>
        <w:rPr>
          <w:color w:val="595959"/>
          <w:sz w:val="16"/>
        </w:rPr>
        <w:t>: Pengukuran Udara dan Spesimen Pekerja, Hierarki Pengendalian (Eliminasi, Substitusi, Rekayasa Ventilasi LEV, Administratif, APD).</w:t>
      </w:r>
    </w:p>
    <w:p>
      <w:pPr>
        <w:spacing w:after="0"/>
        <w:ind w:left="283"/>
      </w:pPr>
      <w:r>
        <w:rPr>
          <w:i/>
          <w:color w:val="595959"/>
          <w:sz w:val="16"/>
        </w:rPr>
        <w:t>Bab V &amp; VI (Pasal 58–62, 69)</w:t>
      </w:r>
      <w:r>
        <w:rPr>
          <w:color w:val="595959"/>
          <w:sz w:val="16"/>
        </w:rPr>
        <w:t>: Pemeriksaan dan Pengujian Pertama, Berkala (1 Tahun Sekali), UPTD, PJK3, Peninjauan NAB per 3 Tahun.</w:t>
      </w:r>
    </w:p>
    <w:p>
      <w:pPr>
        <w:spacing w:after="0"/>
        <w:ind w:left="283"/>
      </w:pPr>
      <w:r>
        <w:rPr>
          <w:i/>
          <w:color w:val="595959"/>
          <w:sz w:val="16"/>
        </w:rPr>
        <w:t>Bab VIII &amp; X (Pasal 71, 73, 74)</w:t>
      </w:r>
      <w:r>
        <w:rPr>
          <w:color w:val="595959"/>
          <w:sz w:val="16"/>
        </w:rPr>
        <w:t>: Sanksi Hukum UU 1/1970 &amp; UU 13/2003, Pencabutan Permenakertrans PER.13/2011, PMP 7/1964, dan SE 01/1978.</w:t>
      </w:r>
    </w:p>
    <w:p>
      <w:pPr>
        <w:spacing w:after="0"/>
        <w:ind w:left="283"/>
      </w:pPr>
      <w:r>
        <w:rPr>
          <w:i/>
          <w:color w:val="595959"/>
          <w:sz w:val="16"/>
        </w:rPr>
        <w:t>Lampiran 3</w:t>
      </w:r>
      <w:r>
        <w:rPr>
          <w:color w:val="595959"/>
          <w:sz w:val="16"/>
        </w:rPr>
        <w:t>: Tabel Nilai Ambang Batas Faktor Kimia, Simbol Notasi, Rumus Campuran Unity vs Independen.</w:t>
      </w:r>
    </w:p>
    <w:p>
      <w:pPr>
        <w:spacing w:after="0"/>
        <w:ind w:left="283"/>
      </w:pPr>
      <w:r>
        <w:rPr>
          <w:i/>
          <w:color w:val="595959"/>
          <w:sz w:val="16"/>
        </w:rPr>
        <w:t>Lampiran 4</w:t>
      </w:r>
      <w:r>
        <w:rPr>
          <w:color w:val="595959"/>
          <w:sz w:val="16"/>
        </w:rPr>
        <w:t>: Tabel Indeks Pajanan Biologi (IPB).</w:t>
      </w:r>
    </w:p>
    <w:p>
      <w:pPr>
        <w:spacing w:after="0"/>
        <w:ind w:left="283"/>
      </w:pPr>
      <w:r>
        <w:rPr>
          <w:b/>
          <w:color w:val="595959"/>
          <w:sz w:val="16"/>
        </w:rPr>
        <w:t>Keputusan Menteri Tenaga Kerja RI No. KEP.187/MEN/1999</w:t>
      </w:r>
      <w:r>
        <w:rPr>
          <w:color w:val="595959"/>
          <w:sz w:val="16"/>
        </w:rPr>
        <w:t xml:space="preserve"> </w:t>
      </w:r>
      <w:r>
        <w:rPr>
          <w:i/>
          <w:color w:val="595959"/>
          <w:sz w:val="16"/>
        </w:rPr>
        <w:t>tentang Pengendalian Bahan Kimia Berbahaya di Tempat Kerja</w:t>
      </w:r>
      <w:r>
        <w:rPr>
          <w:color w:val="595959"/>
          <w:sz w:val="16"/>
        </w:rPr>
        <w:t>:</w:t>
      </w:r>
    </w:p>
    <w:p>
      <w:pPr>
        <w:spacing w:after="0"/>
        <w:ind w:left="283"/>
      </w:pPr>
      <w:r>
        <w:rPr>
          <w:i/>
          <w:color w:val="595959"/>
          <w:sz w:val="16"/>
        </w:rPr>
        <w:t>Pasal 2, 3, 4, 5, 6, 8, 9, 10</w:t>
      </w:r>
      <w:r>
        <w:rPr>
          <w:color w:val="595959"/>
          <w:sz w:val="16"/>
        </w:rPr>
        <w:t>: Kewajiban Pengendalian Bahan Kimia Berbahaya, Penyediaan LDKB (16 Poin) dan Label, Kriteria Toksisitas LD50/LC50.</w:t>
      </w:r>
    </w:p>
    <w:p>
      <w:pPr>
        <w:spacing w:after="0"/>
        <w:ind w:left="283"/>
      </w:pPr>
      <w:r>
        <w:rPr>
          <w:i/>
          <w:color w:val="595959"/>
          <w:sz w:val="16"/>
        </w:rPr>
        <w:t>Pasal 13, 14, 15</w:t>
      </w:r>
      <w:r>
        <w:rPr>
          <w:color w:val="595959"/>
          <w:sz w:val="16"/>
        </w:rPr>
        <w:t>: Nilai Ambang Kuantitas (NAK), Klasifikasi Potensi Bahaya Besar vs Menengah.</w:t>
      </w:r>
    </w:p>
    <w:p>
      <w:pPr>
        <w:spacing w:after="0"/>
        <w:ind w:left="283"/>
      </w:pPr>
      <w:r>
        <w:rPr>
          <w:i/>
          <w:color w:val="595959"/>
          <w:sz w:val="16"/>
        </w:rPr>
        <w:t>Pasal 16, 17, 22, 23</w:t>
      </w:r>
      <w:r>
        <w:rPr>
          <w:color w:val="595959"/>
          <w:sz w:val="16"/>
        </w:rPr>
        <w:t>: Kewajiban Pengujian Faktor Kimia 6 Bulan (Bahaya Besar) vs 1 Tahun (Bahaya Menengah), Penunjukan Petugas K3 Kimia dan Ahli K3 Kimia.</w:t>
      </w:r>
    </w:p>
    <w:p>
      <w:pPr>
        <w:spacing w:after="0"/>
        <w:ind w:left="283"/>
      </w:pPr>
      <w:r>
        <w:rPr>
          <w:b/>
          <w:color w:val="595959"/>
          <w:sz w:val="16"/>
        </w:rPr>
        <w:t>Prof. Dr. dr. L. Meily Kurniawidjaja, dkk. (2021).</w:t>
      </w:r>
      <w:r>
        <w:rPr>
          <w:color w:val="595959"/>
          <w:sz w:val="16"/>
        </w:rPr>
        <w:t xml:space="preserve"> </w:t>
      </w:r>
      <w:r>
        <w:rPr>
          <w:i/>
          <w:color w:val="595959"/>
          <w:sz w:val="16"/>
        </w:rPr>
        <w:t>Konsep Dasar Toksikologi Industri (FKM UI)</w:t>
      </w:r>
      <w:r>
        <w:rPr>
          <w:color w:val="595959"/>
          <w:sz w:val="16"/>
        </w:rPr>
        <w:t>:</w:t>
      </w:r>
    </w:p>
    <w:p>
      <w:pPr>
        <w:spacing w:after="0"/>
        <w:ind w:left="283"/>
      </w:pPr>
      <w:r>
        <w:rPr>
          <w:i/>
          <w:color w:val="595959"/>
          <w:sz w:val="16"/>
        </w:rPr>
        <w:t>Glosarium, Bab 1 &amp; 2</w:t>
      </w:r>
      <w:r>
        <w:rPr>
          <w:color w:val="595959"/>
          <w:sz w:val="16"/>
        </w:rPr>
        <w:t>: Definisi NAB, IPB, LDKB/MSDS, dan Penerapan Pengendalian Kimia.</w:t>
      </w:r>
    </w:p>
    <w:p>
      <w:pPr>
        <w:spacing w:after="0"/>
        <w:ind w:left="283"/>
      </w:pPr>
      <w:r>
        <w:rPr>
          <w:b/>
          <w:color w:val="595959"/>
          <w:sz w:val="16"/>
        </w:rPr>
        <w:t>Peraturan Presiden RI No. 7 Tahun 2019</w:t>
      </w:r>
      <w:r>
        <w:rPr>
          <w:color w:val="595959"/>
          <w:sz w:val="16"/>
        </w:rPr>
        <w:t xml:space="preserve"> </w:t>
      </w:r>
      <w:r>
        <w:rPr>
          <w:i/>
          <w:color w:val="595959"/>
          <w:sz w:val="16"/>
        </w:rPr>
        <w:t>tentang Penyakit Akibat Kerja</w:t>
      </w:r>
      <w:r>
        <w:rPr>
          <w:color w:val="595959"/>
          <w:sz w:val="16"/>
        </w:rPr>
        <w:t>:</w:t>
      </w:r>
    </w:p>
    <w:p>
      <w:pPr>
        <w:spacing w:after="0"/>
        <w:ind w:left="283"/>
      </w:pPr>
      <w:r>
        <w:rPr>
          <w:i/>
          <w:color w:val="595959"/>
          <w:sz w:val="16"/>
        </w:rPr>
        <w:t>Lampiran I (Penyakit Akibat Faktor Kimia)</w:t>
      </w:r>
      <w:r>
        <w:rPr>
          <w:color w:val="595959"/>
          <w:sz w:val="16"/>
        </w:rPr>
        <w:t>: 39 Agen Kimia termasuk 8 Logam Berat (Be, Cd, Cr, Mn, As, Hg, Pb, Ni).</w:t>
      </w:r>
    </w:p>
    <w:p>
      <w:pPr>
        <w:pStyle w:val="Heading2"/>
      </w:pPr>
      <w:bookmarkStart w:id="115" w:name="toc_015"/>
      <w:r>
        <w:t>2.2 PAK: Perpres 7/2019 dan Permenkes 11/2022</w:t>
      </w:r>
      <w:bookmarkEnd w:id="115"/>
    </w:p>
    <w:p>
      <w:pPr>
        <w:pStyle w:val="Heading3"/>
      </w:pPr>
      <w:r>
        <w:t>1. Peraturan Presiden No. 7 Tahun 2019 tentang Penyakit Akibat Kerja</w:t>
      </w:r>
    </w:p>
    <w:p>
      <w:pPr>
        <w:spacing w:after="80"/>
      </w:pPr>
      <w:r>
        <w:rPr/>
        <w:t>Perpres No. 7 Tahun 2019 merupakan instrumen hukum tertinggi di Indonesia yang secara spesifik mengatur tentang jenis-jenis Penyakit Akibat Kerja sebagai tindak lanjut amanat Pasal 48 ayat (3) PP No. 44 Tahun 2015 tentang Penyelenggaraan Program Jaminan Kecelakaan Kerja (JKK) dan Jaminan Kematian.</w:t>
      </w:r>
    </w:p>
    <w:p>
      <w:pPr>
        <w:spacing w:after="120"/>
        <w:ind w:left="170"/>
      </w:pPr>
      <w:r>
        <w:rPr>
          <w:rFonts w:ascii="Consolas" w:hAnsi="Consolas" w:eastAsia="Consolas"/>
          <w:sz w:val="13"/>
        </w:rPr>
        <w:t xml:space="preserve">                     [ ARSITEKTUR PERPRES NO. 7 TAHUN 2019 ]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PASAL 2 AYAT 1-2 ]          [ PASAL 2 AYAT 3 ]             [ PASAL 6 ]</w:t>
      </w:r>
      <w:r>
        <w:br/>
      </w:r>
      <w:r>
        <w:rPr>
          <w:rFonts w:ascii="Consolas" w:hAnsi="Consolas" w:eastAsia="Consolas"/>
          <w:sz w:val="13"/>
        </w:rPr>
        <w:t xml:space="preserve">   Hak Manfaat JKK:              Empat Kelompok PAK:            Mencabut &amp; Menyatakan</w:t>
      </w:r>
      <w:r>
        <w:br/>
      </w:r>
      <w:r>
        <w:rPr>
          <w:rFonts w:ascii="Consolas" w:hAnsi="Consolas" w:eastAsia="Consolas"/>
          <w:sz w:val="13"/>
        </w:rPr>
        <w:t xml:space="preserve">   • Berlaku meski hubungan      I.   Pajanan Aktivitas Kerja   Tidak Berlaku:</w:t>
      </w:r>
      <w:r>
        <w:br/>
      </w:r>
      <w:r>
        <w:rPr>
          <w:rFonts w:ascii="Consolas" w:hAnsi="Consolas" w:eastAsia="Consolas"/>
          <w:sz w:val="13"/>
        </w:rPr>
        <w:t xml:space="preserve">     kerja telah berakhir        II.  Sistem Target Organ       Keppres No. 22 Th 1993</w:t>
      </w:r>
      <w:r>
        <w:br/>
      </w:r>
      <w:r>
        <w:rPr>
          <w:rFonts w:ascii="Consolas" w:hAnsi="Consolas" w:eastAsia="Consolas"/>
          <w:sz w:val="13"/>
        </w:rPr>
        <w:t xml:space="preserve">   • Batas klaim: MAKSIMAL       III. Kanker Akibat Kerja       (31 jenis PAK lama)</w:t>
      </w:r>
      <w:r>
        <w:br/>
      </w:r>
      <w:r>
        <w:rPr>
          <w:rFonts w:ascii="Consolas" w:hAnsi="Consolas" w:eastAsia="Consolas"/>
          <w:sz w:val="13"/>
        </w:rPr>
        <w:t xml:space="preserve">     3 TAHUN pasca-PHK/pensiun   IV.  Spesifik Lainnya</w:t>
      </w:r>
    </w:p>
    <w:p>
      <w:pPr>
        <w:pStyle w:val="Heading4"/>
      </w:pPr>
      <w:r>
        <w:t>a. Pencabutan Regulasi Historis</w:t>
      </w:r>
    </w:p>
    <w:p>
      <w:pPr>
        <w:spacing w:after="80"/>
      </w:pPr>
      <w:r>
        <w:rPr/>
        <w:t xml:space="preserve">Berdasarkan </w:t>
      </w:r>
      <w:r>
        <w:rPr>
          <w:b/>
        </w:rPr>
        <w:t>Pasal 6 Perpres No. 7 Tahun 2019</w:t>
      </w:r>
      <w:r>
        <w:rPr/>
        <w:t xml:space="preserve">, regulasi lama yaitu </w:t>
      </w:r>
      <w:r>
        <w:rPr>
          <w:b/>
        </w:rPr>
        <w:t>Keputusan Presiden Nomor 22 Tahun 1993 tentang Penyakit Yang Timbul Karena Hubungan Kerja resmi dicabut dan dinyatakan tidak berlaku</w:t>
      </w:r>
      <w:r>
        <w:rPr/>
        <w:t xml:space="preserve">. Keppres 22/1993 yang hanya memuat daftar kaku 31 penyakit digantikan oleh Perpres 7/2019 yang mengadopsi standar klasifikasi modern </w:t>
      </w:r>
      <w:r>
        <w:rPr>
          <w:i/>
        </w:rPr>
        <w:t>International Labour Organization</w:t>
      </w:r>
      <w:r>
        <w:rPr/>
        <w:t xml:space="preserve"> (ILO List of Occupational Diseases).</w:t>
      </w:r>
    </w:p>
    <w:p>
      <w:pPr>
        <w:pStyle w:val="Heading4"/>
      </w:pPr>
      <w:r>
        <w:t>b. Hak Jaminan Kecelakaan Kerja (JKK) Hingga 3 Tahun Pasca-Kerja</w:t>
      </w:r>
    </w:p>
    <w:p>
      <w:pPr>
        <w:spacing w:after="80"/>
      </w:pPr>
      <w:r>
        <w:rPr/>
        <w:t xml:space="preserve">Salah satu pasal paling krusial bagi dokter penilai kecacatan dan okupasi adalah </w:t>
      </w:r>
      <w:r>
        <w:rPr>
          <w:b/>
        </w:rPr>
        <w:t>Pasal 2 ayat (1) dan ayat (2)</w:t>
      </w:r>
      <w:r>
        <w:rPr/>
        <w:t>:</w:t>
      </w:r>
    </w:p>
    <w:p>
      <w:pPr>
        <w:pStyle w:val="ListBullet"/>
        <w:spacing w:after="20"/>
      </w:pPr>
      <w:r>
        <w:rPr/>
        <w:t xml:space="preserve">Pekerja yang didiagnosis menderita PAK berdasarkan surat keterangan dokter </w:t>
      </w:r>
      <w:r>
        <w:rPr>
          <w:b/>
        </w:rPr>
        <w:t>berhak atas manfaat JKK meskipun hubungan kerja telah berakhir</w:t>
      </w:r>
      <w:r>
        <w:rPr/>
        <w:t>.</w:t>
      </w:r>
    </w:p>
    <w:p>
      <w:pPr>
        <w:pStyle w:val="ListBullet"/>
        <w:spacing w:after="20"/>
      </w:pPr>
      <w:r>
        <w:rPr/>
        <w:t xml:space="preserve">Hak atas manfaat JKK tersebut diberikan apabila Penyakit Akibat Kerja timbul dalam jangka waktu </w:t>
      </w:r>
      <w:r>
        <w:rPr>
          <w:b/>
        </w:rPr>
        <w:t>paling lama 3 (tiga) tahun terhitung sejak hubungan kerja berakhir</w:t>
      </w:r>
      <w:r>
        <w:rPr/>
        <w:t>.</w:t>
      </w:r>
    </w:p>
    <w:p>
      <w:pPr>
        <w:pStyle w:val="ListBullet"/>
        <w:spacing w:after="20"/>
      </w:pPr>
      <w:r>
        <w:rPr>
          <w:i/>
        </w:rPr>
        <w:t>Rasional Toksikologi-Klinis Okupasi:</w:t>
      </w:r>
      <w:r>
        <w:rPr/>
        <w:t xml:space="preserve"> Banyak penyakit okupasi memiliki masa laten (</w:t>
      </w:r>
      <w:r>
        <w:rPr>
          <w:i/>
        </w:rPr>
        <w:t>latency period</w:t>
      </w:r>
      <w:r>
        <w:rPr/>
        <w:t>) yang panjang (misalnya silikosis, kanker akibat kerja, atau intoksikasi kumulatif logam berat yang gejalanya baru bermanifestasi klinis setelah pekerja pensiun atau berhenti bekerja). Klausul 3 tahun ini memberikan jaminan perlindungan sosial bagi pekerja purnatugas.</w:t>
      </w:r>
    </w:p>
    <w:p>
      <w:pPr>
        <w:pStyle w:val="Heading4"/>
      </w:pPr>
      <w:r>
        <w:t>c. Klasifikasi 4 Kelompok Utama PAK (Pasal 2 ayat 3 dan Lampiran)</w:t>
      </w:r>
    </w:p>
    <w:p>
      <w:pPr>
        <w:spacing w:after="80"/>
      </w:pPr>
      <w:r>
        <w:rPr/>
        <w:t>Perpres 7/2019 mengelompokkan PAK ke dalam 4 divisi besar:</w:t>
      </w:r>
    </w:p>
    <w:p>
      <w:pPr>
        <w:spacing w:after="40"/>
        <w:ind w:left="340" w:hanging="283"/>
      </w:pPr>
      <w:r>
        <w:rPr/>
        <w:t xml:space="preserve">1. </w:t>
      </w:r>
      <w:r>
        <w:rPr>
          <w:b/>
        </w:rPr>
        <w:t>Kelompok I: Penyakit yang Disebabkan Pajanan Faktor yang Timbul dari Aktivitas Pekerjaan:</w:t>
      </w:r>
    </w:p>
    <w:p>
      <w:pPr>
        <w:pStyle w:val="ListBullet2"/>
        <w:spacing w:after="20"/>
      </w:pPr>
      <w:r>
        <w:rPr>
          <w:i/>
        </w:rPr>
        <w:t>Faktor Kimia:</w:t>
      </w:r>
      <w:r>
        <w:rPr/>
        <w:t xml:space="preserve"> Terdiri dari </w:t>
      </w:r>
      <w:r>
        <w:rPr>
          <w:b/>
        </w:rPr>
        <w:t>39 butir</w:t>
      </w:r>
      <w:r>
        <w:rPr/>
        <w:t xml:space="preserve"> agen spesifik (termasuk berbagai logam berat, pelarut, gas asfiksian, pestisida, hingga butir terbuka nomor 39 untuk bahan kimia lain yang dibuktikan secara ilmiah).</w:t>
      </w:r>
    </w:p>
    <w:p>
      <w:pPr>
        <w:pStyle w:val="ListBullet2"/>
        <w:spacing w:after="20"/>
      </w:pPr>
      <w:r>
        <w:rPr>
          <w:i/>
        </w:rPr>
        <w:t>Faktor Fisika:</w:t>
      </w:r>
      <w:r>
        <w:rPr/>
        <w:t xml:space="preserve"> Terdiri dari </w:t>
      </w:r>
      <w:r>
        <w:rPr>
          <w:b/>
        </w:rPr>
        <w:t>7 butir</w:t>
      </w:r>
      <w:r>
        <w:rPr/>
        <w:t xml:space="preserve"> (gangguan pendengaran akibat bising, kelainan getaran/muskuloskeletal, kelainan udara bertekanan, radiasi optik/UV/inframerah, radiasi mengion, iklim kerja panas/dingin, serta faktor fisika lain).</w:t>
      </w:r>
    </w:p>
    <w:p>
      <w:pPr>
        <w:pStyle w:val="ListBullet2"/>
        <w:spacing w:after="20"/>
      </w:pPr>
      <w:r>
        <w:rPr>
          <w:i/>
        </w:rPr>
        <w:t>Faktor Biologi dan Penyakit Infeksi/Parasit:</w:t>
      </w:r>
      <w:r>
        <w:rPr/>
        <w:t xml:space="preserve"> Terdiri dari </w:t>
      </w:r>
      <w:r>
        <w:rPr>
          <w:b/>
        </w:rPr>
        <w:t>9 butir</w:t>
      </w:r>
      <w:r>
        <w:rPr/>
        <w:t xml:space="preserve"> (brucellosis, hepatitis B/C, HIV, tetanus, tuberkulosis, antraks, leptospirosis, penyakit infeksi lain akibat kerja).</w:t>
      </w:r>
    </w:p>
    <w:p>
      <w:pPr>
        <w:spacing w:after="40"/>
        <w:ind w:left="340" w:hanging="283"/>
      </w:pPr>
      <w:r>
        <w:rPr/>
        <w:t xml:space="preserve">2. </w:t>
      </w:r>
      <w:r>
        <w:rPr>
          <w:b/>
        </w:rPr>
        <w:t>Kelompok II: Penyakit Berdasarkan Sistem Target Organ:</w:t>
      </w:r>
    </w:p>
    <w:p>
      <w:pPr>
        <w:pStyle w:val="ListBullet2"/>
        <w:spacing w:after="20"/>
      </w:pPr>
      <w:r>
        <w:rPr>
          <w:i/>
        </w:rPr>
        <w:t>Penyakit Saluran Pernafasan (12 butir):</w:t>
      </w:r>
      <w:r>
        <w:rPr/>
        <w:t xml:space="preserve"> Pneumokoniosis fibrogenik (silikosis, antrakosilikosis, asbestosis), silikotuberkulosis, siderosis, </w:t>
      </w:r>
      <w:r>
        <w:rPr>
          <w:b/>
        </w:rPr>
        <w:t>penyakit bronkhopulmoner debu logam keras</w:t>
      </w:r>
      <w:r>
        <w:rPr/>
        <w:t>, bissinosis, asma kerja, alveolitis alergika, PPOK okupasi, penyakit paru aluminium, serta kelainan saluran napas atas.</w:t>
      </w:r>
    </w:p>
    <w:p>
      <w:pPr>
        <w:pStyle w:val="ListBullet2"/>
        <w:spacing w:after="20"/>
      </w:pPr>
      <w:r>
        <w:rPr>
          <w:i/>
        </w:rPr>
        <w:t>Penyakit Kulit (3 butir):</w:t>
      </w:r>
      <w:r>
        <w:rPr/>
        <w:t xml:space="preserve"> Dermatosis kontak alergika &amp; urtikaria, dermatosis kontak iritan, dan vitiligo okupasi.</w:t>
      </w:r>
    </w:p>
    <w:p>
      <w:pPr>
        <w:pStyle w:val="ListBullet2"/>
        <w:spacing w:after="20"/>
      </w:pPr>
      <w:r>
        <w:rPr>
          <w:i/>
        </w:rPr>
        <w:t>Gangguan Otot dan Kerangka (8 butir):</w:t>
      </w:r>
      <w:r>
        <w:rPr/>
        <w:t xml:space="preserve"> Radial styloid tenosynovitis (De Quervain), tenosinovitis kronis pergelangan tangan, bursitis olekranon, bursitis prepatelar, epikondilitis, lesi meniskus, dan </w:t>
      </w:r>
      <w:r>
        <w:rPr>
          <w:i/>
        </w:rPr>
        <w:t>Carpal Tunnel Syndrome</w:t>
      </w:r>
      <w:r>
        <w:rPr/>
        <w:t xml:space="preserve"> (CTS).</w:t>
      </w:r>
    </w:p>
    <w:p>
      <w:pPr>
        <w:pStyle w:val="ListBullet2"/>
        <w:spacing w:after="20"/>
      </w:pPr>
      <w:r>
        <w:rPr>
          <w:i/>
        </w:rPr>
        <w:t>Gangguan Mental dan Perilaku (2 butir):</w:t>
      </w:r>
      <w:r>
        <w:rPr/>
        <w:t xml:space="preserve"> Gangguan stres pasca trauma (</w:t>
      </w:r>
      <w:r>
        <w:rPr>
          <w:i/>
        </w:rPr>
        <w:t>Post-Traumatic Stress Disorder</w:t>
      </w:r>
      <w:r>
        <w:rPr/>
        <w:t xml:space="preserve"> / PTSD) dan gangguan mental/perilaku lain akibat risiko kerja.</w:t>
      </w:r>
    </w:p>
    <w:p>
      <w:pPr>
        <w:spacing w:after="40"/>
        <w:ind w:left="340" w:hanging="283"/>
      </w:pPr>
      <w:r>
        <w:rPr/>
        <w:t xml:space="preserve">3. </w:t>
      </w:r>
      <w:r>
        <w:rPr>
          <w:b/>
        </w:rPr>
        <w:t>Kelompok III: Penyakit Kanker Akibat Kerja:</w:t>
      </w:r>
    </w:p>
    <w:p>
      <w:pPr>
        <w:spacing w:after="80"/>
      </w:pPr>
      <w:r>
        <w:rPr/>
        <w:t xml:space="preserve">Memuat </w:t>
      </w:r>
      <w:r>
        <w:rPr>
          <w:b/>
        </w:rPr>
        <w:t>21 butir</w:t>
      </w:r>
      <w:r>
        <w:rPr/>
        <w:t xml:space="preserve"> zat/proses karsinogenik terbukti (antara lain: asbes, benzidin, benzena, kromium VI, vinil klorida, senyawa nikel, arsen, berilium, kadmium, debu kayu, emisi oven arang, radiasi mengion, serta virus Hepatitis B &amp; C).</w:t>
      </w:r>
    </w:p>
    <w:p>
      <w:pPr>
        <w:spacing w:after="40"/>
        <w:ind w:left="340" w:hanging="283"/>
      </w:pPr>
      <w:r>
        <w:rPr/>
        <w:t xml:space="preserve">4. </w:t>
      </w:r>
      <w:r>
        <w:rPr>
          <w:b/>
        </w:rPr>
        <w:t>Kelompok IV: Penyakit Spesifik Lainnya:</w:t>
      </w:r>
    </w:p>
    <w:p>
      <w:pPr>
        <w:spacing w:after="80"/>
      </w:pPr>
      <w:r>
        <w:rPr/>
        <w:t xml:space="preserve">Penyakit yang memiliki hubungan langsung spesifik dengan proses kerja tertentu, dicontohkan dalam regulasi: </w:t>
      </w:r>
      <w:r>
        <w:rPr>
          <w:b/>
        </w:rPr>
        <w:t>nystagmus pada penambang</w:t>
      </w:r>
      <w:r>
        <w:rPr/>
        <w:t>.</w:t>
      </w:r>
    </w:p>
    <w:p>
      <w:pPr>
        <w:pStyle w:val="Heading4"/>
      </w:pPr>
      <w:r>
        <w:t>d. Kewenangan Diagnosis dan Klausul Terbuka (Open-Ended Clause)</w:t>
      </w:r>
    </w:p>
    <w:p>
      <w:pPr>
        <w:pStyle w:val="ListBullet"/>
        <w:spacing w:after="20"/>
      </w:pPr>
      <w:r>
        <w:rPr>
          <w:b/>
        </w:rPr>
        <w:t>Kewenangan Medis (Pasal 3):</w:t>
      </w:r>
      <w:r>
        <w:rPr/>
        <w:t xml:space="preserve"> Diagnosis PAK ditegakkan berdasarkan surat keterangan dokter yang dilakukan oleh </w:t>
      </w:r>
      <w:r>
        <w:rPr>
          <w:b/>
        </w:rPr>
        <w:t>dokter atau dokter spesialis yang berkompeten di bidang kesehatan kerja</w:t>
      </w:r>
      <w:r>
        <w:rPr/>
        <w:t>.</w:t>
      </w:r>
    </w:p>
    <w:p>
      <w:pPr>
        <w:pStyle w:val="ListBullet"/>
        <w:spacing w:after="20"/>
      </w:pPr>
      <w:r>
        <w:rPr>
          <w:b/>
        </w:rPr>
        <w:t>Klausul PAK di Luar Lampiran (Pasal 4):</w:t>
      </w:r>
      <w:r>
        <w:rPr/>
        <w:t xml:space="preserve"> Bila ditemukan penyakit yang belum tercantum dalam lampiran, penyakit tersebut tetap dapat diakui sebagai PAK dengan syarat </w:t>
      </w:r>
      <w:r>
        <w:rPr>
          <w:b/>
        </w:rPr>
        <w:t>memiliki hubungan langsung dengan pajanan yang dibuktikan secara ilmiah dengan metode yang tepat</w:t>
      </w:r>
      <w:r>
        <w:rPr/>
        <w:t>, yang penetapannya dilakukan melalui Keputusan Presiden.</w:t>
      </w:r>
    </w:p>
    <w:p>
      <w:pPr>
        <w:pStyle w:val="Heading3"/>
      </w:pPr>
      <w:r>
        <w:t>2. Permenkes No. 11 Tahun 2022 tentang Pelayanan Kesehatan Penyakit Akibat Kerja</w:t>
      </w:r>
    </w:p>
    <w:p>
      <w:pPr>
        <w:spacing w:after="80"/>
      </w:pPr>
      <w:r>
        <w:rPr/>
        <w:t xml:space="preserve">Jika Perpres 7/2019 adalah payung legal kompensasi, maka </w:t>
      </w:r>
      <w:r>
        <w:rPr>
          <w:b/>
        </w:rPr>
        <w:t>Permenkes No. 11 Tahun 2022</w:t>
      </w:r>
      <w:r>
        <w:rPr/>
        <w:t xml:space="preserve"> adalah standar operasional dan tata laksana klinis bagi tenaga medis di fasilitas pelayanan kesehatan (FKTP dan FKRTL).</w:t>
      </w:r>
    </w:p>
    <w:p>
      <w:pPr>
        <w:spacing w:after="120"/>
        <w:ind w:left="170"/>
      </w:pPr>
      <w:r>
        <w:rPr>
          <w:rFonts w:ascii="Consolas" w:hAnsi="Consolas" w:eastAsia="Consolas"/>
          <w:sz w:val="13"/>
        </w:rPr>
        <w:t xml:space="preserve">                     [ ALUR PELAYANAN PERMENKES 11 TAHUN 2022 ]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RUANG LINGKUP PELAYANAN ]    [ 7 LANGKAH DIAGNOSIS ]        [ 2 KATEGORI KASUS ]</w:t>
      </w:r>
      <w:r>
        <w:br/>
      </w:r>
      <w:r>
        <w:rPr>
          <w:rFonts w:ascii="Consolas" w:hAnsi="Consolas" w:eastAsia="Consolas"/>
          <w:sz w:val="13"/>
        </w:rPr>
        <w:t xml:space="preserve">  • Penegakan Diagnosis          1. Diagnosis Klinis            1. PAK Spesifik Pekerjaan</w:t>
      </w:r>
      <w:r>
        <w:br/>
      </w:r>
      <w:r>
        <w:rPr>
          <w:rFonts w:ascii="Consolas" w:hAnsi="Consolas" w:eastAsia="Consolas"/>
          <w:sz w:val="13"/>
        </w:rPr>
        <w:t xml:space="preserve">  • Tata Laksana (Medis &amp;        2. Pajanan Tempat Kerja           (FKTP &amp; FKRTL, Dokter &amp; Sp)</w:t>
      </w:r>
      <w:r>
        <w:br/>
      </w:r>
      <w:r>
        <w:rPr>
          <w:rFonts w:ascii="Consolas" w:hAnsi="Consolas" w:eastAsia="Consolas"/>
          <w:sz w:val="13"/>
        </w:rPr>
        <w:t xml:space="preserve">    Okupasi: Individu/Komunitas) 3. Hubungan Kausal             2. Dugaan PAK</w:t>
      </w:r>
      <w:r>
        <w:br/>
      </w:r>
      <w:r>
        <w:rPr>
          <w:rFonts w:ascii="Consolas" w:hAnsi="Consolas" w:eastAsia="Consolas"/>
          <w:sz w:val="13"/>
        </w:rPr>
        <w:t xml:space="preserve">  • Sistem Rujukan               4. Besaran Pajanan                (FKRTL, Dokter Spesialis</w:t>
      </w:r>
      <w:r>
        <w:br/>
      </w:r>
      <w:r>
        <w:rPr>
          <w:rFonts w:ascii="Consolas" w:hAnsi="Consolas" w:eastAsia="Consolas"/>
          <w:sz w:val="13"/>
        </w:rPr>
        <w:t xml:space="preserve">  • Pencatatan &amp; Pelaporan       5. Faktor Individu                berkompeten bidang PAK)</w:t>
      </w:r>
      <w:r>
        <w:br/>
      </w:r>
      <w:r>
        <w:rPr>
          <w:rFonts w:ascii="Consolas" w:hAnsi="Consolas" w:eastAsia="Consolas"/>
          <w:sz w:val="13"/>
        </w:rPr>
        <w:t xml:space="preserve">  • Surveilans Kesehatan Kerja   6. Faktor Luar Tempat Kerja</w:t>
      </w:r>
      <w:r>
        <w:br/>
      </w:r>
      <w:r>
        <w:rPr>
          <w:rFonts w:ascii="Consolas" w:hAnsi="Consolas" w:eastAsia="Consolas"/>
          <w:sz w:val="13"/>
        </w:rPr>
        <w:t xml:space="preserve">                                 7. KESIMPULAN DIAGNOSIS PAK</w:t>
      </w:r>
    </w:p>
    <w:p>
      <w:pPr>
        <w:pStyle w:val="Heading4"/>
      </w:pPr>
      <w:r>
        <w:t>a. Pencabutan Regulasi</w:t>
      </w:r>
    </w:p>
    <w:p>
      <w:pPr>
        <w:spacing w:after="80"/>
      </w:pPr>
      <w:r>
        <w:rPr/>
        <w:t xml:space="preserve">Berdasarkan </w:t>
      </w:r>
      <w:r>
        <w:rPr>
          <w:b/>
        </w:rPr>
        <w:t>Pasal 15 Permenkes No. 11 Tahun 2022</w:t>
      </w:r>
      <w:r>
        <w:rPr/>
        <w:t xml:space="preserve">, peraturan sebelumnya yaitu </w:t>
      </w:r>
      <w:r>
        <w:rPr>
          <w:b/>
        </w:rPr>
        <w:t>Peraturan Menteri Kesehatan Nomor 56 Tahun 2016 tentang Penyelenggaraan Pelayanan Penyakit Akibat Kerja resmi dicabut dan dinyatakan tidak berlaku</w:t>
      </w:r>
      <w:r>
        <w:rPr/>
        <w:t>.</w:t>
      </w:r>
    </w:p>
    <w:p>
      <w:pPr>
        <w:pStyle w:val="Heading4"/>
      </w:pPr>
      <w:r>
        <w:t>b. Ruang Lingkup Pelayanan dan Tata Laksana Okupasi (Pasal 4 &amp; 9)</w:t>
      </w:r>
    </w:p>
    <w:p>
      <w:pPr>
        <w:spacing w:after="80"/>
      </w:pPr>
      <w:r>
        <w:rPr/>
        <w:t xml:space="preserve">Pelayanan PAK mencakup 5 domain: </w:t>
      </w:r>
      <w:r>
        <w:rPr>
          <w:b/>
        </w:rPr>
        <w:t>penegakan diagnosis, tata laksana, rujukan, pencatatan/pelaporan, dan surveilans</w:t>
      </w:r>
      <w:r>
        <w:rPr/>
        <w:t>.</w:t>
      </w:r>
    </w:p>
    <w:p>
      <w:pPr>
        <w:spacing w:after="80"/>
      </w:pPr>
      <w:r>
        <w:rPr/>
        <w:t>Khusus pada tata laksana (Pasal 9), penanganan dibagi dua secara tegas:</w:t>
      </w:r>
    </w:p>
    <w:p>
      <w:pPr>
        <w:spacing w:after="40"/>
        <w:ind w:left="340" w:hanging="283"/>
      </w:pPr>
      <w:r>
        <w:rPr/>
        <w:t xml:space="preserve">1. </w:t>
      </w:r>
      <w:r>
        <w:rPr>
          <w:b/>
        </w:rPr>
        <w:t>Tata Laksana Medis:</w:t>
      </w:r>
      <w:r>
        <w:rPr/>
        <w:t xml:space="preserve"> Aspek kuratif klinis farmakoterapi dan intervensi medis konvensional.</w:t>
      </w:r>
    </w:p>
    <w:p>
      <w:pPr>
        <w:spacing w:after="40"/>
        <w:ind w:left="340" w:hanging="283"/>
      </w:pPr>
      <w:r>
        <w:rPr/>
        <w:t xml:space="preserve">2. </w:t>
      </w:r>
      <w:r>
        <w:rPr>
          <w:b/>
        </w:rPr>
        <w:t>Tata Laksana Okupasi:</w:t>
      </w:r>
    </w:p>
    <w:p>
      <w:pPr>
        <w:pStyle w:val="ListBullet2"/>
        <w:spacing w:after="20"/>
      </w:pPr>
      <w:r>
        <w:rPr>
          <w:i/>
        </w:rPr>
        <w:t>Pada Individu:</w:t>
      </w:r>
      <w:r>
        <w:rPr/>
        <w:t xml:space="preserve"> Pencegahan perburukan/keparahan (</w:t>
      </w:r>
      <w:r>
        <w:rPr>
          <w:i/>
        </w:rPr>
        <w:t>harm reduction</w:t>
      </w:r>
      <w:r>
        <w:rPr/>
        <w:t>), eliminasi pajanan individual, kelaikan kerja (</w:t>
      </w:r>
      <w:r>
        <w:rPr>
          <w:i/>
        </w:rPr>
        <w:t>fitness for work</w:t>
      </w:r>
      <w:r>
        <w:rPr/>
        <w:t>), dan pencegahan kecacatan.</w:t>
      </w:r>
    </w:p>
    <w:p>
      <w:pPr>
        <w:pStyle w:val="ListBullet2"/>
        <w:spacing w:after="20"/>
      </w:pPr>
      <w:r>
        <w:rPr>
          <w:i/>
        </w:rPr>
        <w:t>Pada Komunitas Pekerja:</w:t>
      </w:r>
      <w:r>
        <w:rPr/>
        <w:t xml:space="preserve"> Tindakan intervensi di tempat kerja untuk </w:t>
      </w:r>
      <w:r>
        <w:rPr>
          <w:b/>
        </w:rPr>
        <w:t>melindungi pekerja lain yang sejenis</w:t>
      </w:r>
      <w:r>
        <w:rPr/>
        <w:t xml:space="preserve"> (</w:t>
      </w:r>
      <w:r>
        <w:rPr>
          <w:i/>
        </w:rPr>
        <w:t>cluster prevention</w:t>
      </w:r>
      <w:r>
        <w:rPr/>
        <w:t>), surveilans lingkungan, serta penemuan dini kasus serupa (</w:t>
      </w:r>
      <w:r>
        <w:rPr>
          <w:i/>
        </w:rPr>
        <w:t>early case finding</w:t>
      </w:r>
      <w:r>
        <w:rPr/>
        <w:t>).</w:t>
      </w:r>
    </w:p>
    <w:p>
      <w:pPr>
        <w:pStyle w:val="Heading4"/>
      </w:pPr>
      <w:r>
        <w:t>c. Tujuh Langkah Penegakan Diagnosis Okupasi (Pasal 5)</w:t>
      </w:r>
    </w:p>
    <w:p>
      <w:pPr>
        <w:spacing w:after="80"/>
      </w:pPr>
      <w:r>
        <w:rPr/>
        <w:t>Ini adalah algoritma baku (</w:t>
      </w:r>
      <w:r>
        <w:rPr>
          <w:i/>
        </w:rPr>
        <w:t>mandatory protocol</w:t>
      </w:r>
      <w:r>
        <w:rPr/>
        <w:t>) yang wajib Anda sebutkan secara berurutan tanpa cela di hadapan penguji:</w:t>
      </w:r>
    </w:p>
    <w:p>
      <w:pPr>
        <w:spacing w:after="40"/>
        <w:ind w:left="340" w:hanging="283"/>
      </w:pPr>
      <w:r>
        <w:rPr/>
        <w:t xml:space="preserve">1. </w:t>
      </w:r>
      <w:r>
        <w:rPr>
          <w:b/>
        </w:rPr>
        <w:t>Langkah 1: Penentuan Diagnosis Klinis.</w:t>
      </w:r>
    </w:p>
    <w:p>
      <w:pPr>
        <w:spacing w:after="80"/>
      </w:pPr>
      <w:r>
        <w:rPr/>
        <w:t>Ditegakkan melalui anamnesis klinis, pemeriksaan fisik komprehensif, serta pemeriksaan penunjang laboratorium/radiologi sesuai standar medis (menegakkan diagnosis kerja berbasis ICD).</w:t>
      </w:r>
    </w:p>
    <w:p>
      <w:pPr>
        <w:spacing w:after="40"/>
        <w:ind w:left="340" w:hanging="283"/>
      </w:pPr>
      <w:r>
        <w:rPr/>
        <w:t xml:space="preserve">2. </w:t>
      </w:r>
      <w:r>
        <w:rPr>
          <w:b/>
        </w:rPr>
        <w:t>Langkah 2: Penentuan Pajanan yang Dialami Pekerja di Tempat Kerja.</w:t>
      </w:r>
    </w:p>
    <w:p>
      <w:pPr>
        <w:spacing w:after="80"/>
      </w:pPr>
      <w:r>
        <w:rPr/>
        <w:t>Menggali riwayat pekerjaan secara kronologis (</w:t>
      </w:r>
      <w:r>
        <w:rPr>
          <w:i/>
        </w:rPr>
        <w:t>occupational history</w:t>
      </w:r>
      <w:r>
        <w:rPr/>
        <w:t>), deskripsi tugas harian (</w:t>
      </w:r>
      <w:r>
        <w:rPr>
          <w:i/>
        </w:rPr>
        <w:t>job description</w:t>
      </w:r>
      <w:r>
        <w:rPr/>
        <w:t>), bahan baku, produk sampingan, metode kerja, serta identifikasi potensi bahaya kimia, fisik, biologi, ergonomi, dan psikososial di tempat kerja.</w:t>
      </w:r>
    </w:p>
    <w:p>
      <w:pPr>
        <w:spacing w:after="40"/>
        <w:ind w:left="340" w:hanging="283"/>
      </w:pPr>
      <w:r>
        <w:rPr/>
        <w:t xml:space="preserve">3. </w:t>
      </w:r>
      <w:r>
        <w:rPr>
          <w:b/>
        </w:rPr>
        <w:t>Langkah 3: Penentuan Hubungan Antara Pajanan dengan Diagnosis Klinis.</w:t>
      </w:r>
    </w:p>
    <w:p>
      <w:pPr>
        <w:spacing w:after="80"/>
      </w:pPr>
      <w:r>
        <w:rPr/>
        <w:t>Menilai bukti ilmiah (</w:t>
      </w:r>
      <w:r>
        <w:rPr>
          <w:i/>
        </w:rPr>
        <w:t>evidence-based medicine</w:t>
      </w:r>
      <w:r>
        <w:rPr/>
        <w:t>) dan plausibilitas toksikologis: apakah pajanan yang teridentifikasi pada langkah 2 secara epidemiologis dan patofisiologis terbukti dapat menyebabkan penyakit klinis pada langkah 1.</w:t>
      </w:r>
    </w:p>
    <w:p>
      <w:pPr>
        <w:spacing w:after="40"/>
        <w:ind w:left="340" w:hanging="283"/>
      </w:pPr>
      <w:r>
        <w:rPr/>
        <w:t xml:space="preserve">4. </w:t>
      </w:r>
      <w:r>
        <w:rPr>
          <w:b/>
        </w:rPr>
        <w:t>Langkah 4: Penentuan Besarnya Pajanan.</w:t>
      </w:r>
    </w:p>
    <w:p>
      <w:pPr>
        <w:spacing w:after="80"/>
      </w:pPr>
      <w:r>
        <w:rPr/>
        <w:t>Menilai kuantitas dan intensitas pajanan secara obyektif maupun kualitatif: konsentrasi lingkungan kerja (dibandingkan dengan NAB/Permenaker 5/2018), hasil pemantauan biologis (IPB/BEI), masa kerja (</w:t>
      </w:r>
      <w:r>
        <w:rPr>
          <w:i/>
        </w:rPr>
        <w:t>years of exposure</w:t>
      </w:r>
      <w:r>
        <w:rPr/>
        <w:t>), jam kerja per hari, rute masuk tubuh, serta kepatuhan dan keandalan pemakaian Alat Pelindung Diri (APD).</w:t>
      </w:r>
    </w:p>
    <w:p>
      <w:pPr>
        <w:spacing w:after="40"/>
        <w:ind w:left="340" w:hanging="283"/>
      </w:pPr>
      <w:r>
        <w:rPr/>
        <w:t xml:space="preserve">5. </w:t>
      </w:r>
      <w:r>
        <w:rPr>
          <w:b/>
        </w:rPr>
        <w:t>Langkah 5: Penentuan Faktor Individu yang Berperan.</w:t>
      </w:r>
    </w:p>
    <w:p>
      <w:pPr>
        <w:spacing w:after="80"/>
      </w:pPr>
      <w:r>
        <w:rPr/>
        <w:t>Mengevaluasi faktor kerentanan internal pejamu (</w:t>
      </w:r>
      <w:r>
        <w:rPr>
          <w:i/>
        </w:rPr>
        <w:t>host susceptibility</w:t>
      </w:r>
      <w:r>
        <w:rPr/>
        <w:t>): riwayat atopi/alergi, penyakit komorbiditas dasar, status imunisasi, usia, jenis kelamin, serta variasi genetik yang relevan.</w:t>
      </w:r>
    </w:p>
    <w:p>
      <w:pPr>
        <w:spacing w:after="40"/>
        <w:ind w:left="340" w:hanging="283"/>
      </w:pPr>
      <w:r>
        <w:rPr/>
        <w:t xml:space="preserve">6. </w:t>
      </w:r>
      <w:r>
        <w:rPr>
          <w:b/>
        </w:rPr>
        <w:t>Langkah 6: Penentuan Faktor Lain di Luar Tempat Kerja.</w:t>
      </w:r>
    </w:p>
    <w:p>
      <w:pPr>
        <w:spacing w:after="80"/>
      </w:pPr>
      <w:r>
        <w:rPr/>
        <w:t>Menilai pajanan non-okupasi yang dapat memicu atau memperberat penyakit: kebiasaan merokok (</w:t>
      </w:r>
      <w:r>
        <w:rPr>
          <w:i/>
        </w:rPr>
        <w:t>smoking status</w:t>
      </w:r>
      <w:r>
        <w:rPr/>
        <w:t>), konsumsi alkohol, hobi di rumah (misalnya mengecat atau menggunakan pestisida rumah tangga), pajanan lingkungan tempat tinggal, hingga pekerjaan sampingan (</w:t>
      </w:r>
      <w:r>
        <w:rPr>
          <w:i/>
        </w:rPr>
        <w:t>second job</w:t>
      </w:r>
      <w:r>
        <w:rPr/>
        <w:t>).</w:t>
      </w:r>
    </w:p>
    <w:p>
      <w:pPr>
        <w:spacing w:after="40"/>
        <w:ind w:left="340" w:hanging="283"/>
      </w:pPr>
      <w:r>
        <w:rPr/>
        <w:t xml:space="preserve">7. </w:t>
      </w:r>
      <w:r>
        <w:rPr>
          <w:b/>
        </w:rPr>
        <w:t>Langkah 7: Penentuan Diagnosis Penyakit Akibat Kerja.</w:t>
      </w:r>
    </w:p>
    <w:p>
      <w:pPr>
        <w:spacing w:after="80"/>
      </w:pPr>
      <w:r>
        <w:rPr/>
        <w:t>Mensintesis seluruh langkah 1–6 untuk menarik kesimpulan klinis-okupasi secara kategorik:</w:t>
      </w:r>
    </w:p>
    <w:p>
      <w:pPr>
        <w:pStyle w:val="ListBullet2"/>
        <w:spacing w:after="20"/>
      </w:pPr>
      <w:r>
        <w:rPr>
          <w:b/>
        </w:rPr>
        <w:t>Penyakit Akibat Kerja (PAK):</w:t>
      </w:r>
      <w:r>
        <w:rPr/>
        <w:t xml:space="preserve"> Pajanan di tempat kerja merupakan faktor kausal utama/dominan.</w:t>
      </w:r>
    </w:p>
    <w:p>
      <w:pPr>
        <w:pStyle w:val="ListBullet2"/>
        <w:spacing w:after="20"/>
      </w:pPr>
      <w:r>
        <w:rPr>
          <w:b/>
        </w:rPr>
        <w:t>Penyakit Diperberat oleh Pekerjaan (</w:t>
      </w:r>
      <w:r>
        <w:rPr>
          <w:b/>
          <w:i/>
        </w:rPr>
        <w:t>Work-Aggravated Disease</w:t>
      </w:r>
      <w:r>
        <w:rPr>
          <w:b/>
        </w:rPr>
        <w:t>):</w:t>
      </w:r>
      <w:r>
        <w:rPr/>
        <w:t xml:space="preserve"> Penyakit umum yang diperparah oleh kondisi lingkungan kerja.</w:t>
      </w:r>
    </w:p>
    <w:p>
      <w:pPr>
        <w:pStyle w:val="ListBullet2"/>
        <w:spacing w:after="20"/>
      </w:pPr>
      <w:r>
        <w:rPr>
          <w:b/>
        </w:rPr>
        <w:t>Bukan Penyakit Akibat Kerja:</w:t>
      </w:r>
      <w:r>
        <w:rPr/>
        <w:t xml:space="preserve"> Penyakit timbul murni akibat faktor non-okupasi.</w:t>
      </w:r>
    </w:p>
    <w:p>
      <w:pPr>
        <w:pStyle w:val="Heading4"/>
      </w:pPr>
      <w:r>
        <w:t>d. Dua Kategori Dugaan Kasus PAK (Pasal 6, 7, dan 8)</w:t>
      </w:r>
    </w:p>
    <w:p>
      <w:pPr>
        <w:spacing w:after="80"/>
      </w:pPr>
      <w:r>
        <w:rPr/>
        <w:t>Permenaker membagi kasus PAK menjadi dua jalur kewenangan faskes:</w:t>
      </w:r>
    </w:p>
    <w:p>
      <w:pPr>
        <w:pStyle w:val="ListBullet"/>
        <w:spacing w:after="20"/>
      </w:pPr>
      <w:r>
        <w:rPr>
          <w:b/>
        </w:rPr>
        <w:t>Kategori 1 — PAK yang Spesifik pada Jenis Pekerjaan Tertentu (Pasal 7):</w:t>
      </w:r>
    </w:p>
    <w:p>
      <w:pPr>
        <w:spacing w:after="80"/>
      </w:pPr>
      <w:r>
        <w:rPr/>
        <w:t xml:space="preserve">Jenis PAK yang daftar diagnosisnya telah baku dan tercantum dalam lampiran regulasi. Diagnosisnya </w:t>
      </w:r>
      <w:r>
        <w:rPr>
          <w:b/>
        </w:rPr>
        <w:t>dapat langsung ditegakkan di FKTP (Puskesmas/Klinik Pratama) maupun FKRTL</w:t>
      </w:r>
      <w:r>
        <w:rPr/>
        <w:t xml:space="preserve"> oleh dokter yang memiliki kompetensi kesehatan kerja atau dokter spesialis terkait.</w:t>
      </w:r>
    </w:p>
    <w:p>
      <w:pPr>
        <w:pStyle w:val="ListBullet"/>
        <w:spacing w:after="20"/>
      </w:pPr>
      <w:r>
        <w:rPr>
          <w:b/>
        </w:rPr>
        <w:t>Kategori 2 — Dugaan Penyakit Akibat Kerja (Pasal 8):</w:t>
      </w:r>
    </w:p>
    <w:p>
      <w:pPr>
        <w:spacing w:after="80"/>
      </w:pPr>
      <w:r>
        <w:rPr/>
        <w:t xml:space="preserve">Penyakit kompleks yang memiliki etiologi multifaktor atau melibatkan beberapa pajanan kerja yang saling berinteraksi. Penegakan diagnosis kategori ini </w:t>
      </w:r>
      <w:r>
        <w:rPr>
          <w:b/>
        </w:rPr>
        <w:t>hanya dapat dilakukan oleh dokter spesialis yang berkompeten di bidang PAK di fasilitas kesehatan rujukan tingkat lanjutan (FKRTL / Rumah Sakit)</w:t>
      </w:r>
      <w:r>
        <w:rPr/>
        <w:t>.</w:t>
      </w:r>
    </w:p>
    <w:p>
      <w:pPr>
        <w:pStyle w:val="Heading3"/>
      </w:pPr>
      <w:r>
        <w:t>3. Penyakit Akibat Kerja Terkait Logam Berat Menurut Perpres No. 7 Tahun 2019</w:t>
      </w:r>
    </w:p>
    <w:p>
      <w:pPr>
        <w:spacing w:after="80"/>
      </w:pPr>
      <w:r>
        <w:rPr/>
        <w:t>Hafalkan posisi yuridis dan klasifikasi lampiran untuk 10 logam berat berikut sesuai naskah asli Perpres No. 7 Tahun 2019:</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Logam Berat</w:t>
            </w:r>
          </w:p>
        </w:tc>
        <w:tc>
          <w:tcPr>
            <w:tcW w:type="dxa" w:w="2381"/>
            <w:shd w:val="clear" w:color="auto" w:fill="DCE6F1"/>
          </w:tcPr>
          <w:p>
            <w:pPr>
              <w:spacing w:after="0"/>
            </w:pPr>
            <w:r/>
            <w:r>
              <w:rPr>
                <w:b/>
                <w:sz w:val="16"/>
              </w:rPr>
              <w:t>Klasifikasi Lampiran Perpres 7/2019</w:t>
            </w:r>
          </w:p>
        </w:tc>
        <w:tc>
          <w:tcPr>
            <w:tcW w:type="dxa" w:w="2381"/>
            <w:shd w:val="clear" w:color="auto" w:fill="DCE6F1"/>
          </w:tcPr>
          <w:p>
            <w:pPr>
              <w:spacing w:after="0"/>
            </w:pPr>
            <w:r/>
            <w:r>
              <w:rPr>
                <w:b/>
                <w:sz w:val="16"/>
              </w:rPr>
              <w:t>Butir Spesifik &amp; Nomenklatur Regulasi</w:t>
            </w:r>
          </w:p>
        </w:tc>
        <w:tc>
          <w:tcPr>
            <w:tcW w:type="dxa" w:w="2381"/>
            <w:shd w:val="clear" w:color="auto" w:fill="DCE6F1"/>
          </w:tcPr>
          <w:p>
            <w:pPr>
              <w:spacing w:after="0"/>
            </w:pPr>
            <w:r/>
            <w:r>
              <w:rPr>
                <w:b/>
                <w:sz w:val="16"/>
              </w:rPr>
              <w:t>Implikasi Klinis &amp; Aspek Kanker Terkait</w:t>
            </w:r>
          </w:p>
        </w:tc>
      </w:tr>
      <w:tr>
        <w:tc>
          <w:tcPr>
            <w:tcW w:type="dxa" w:w="2381"/>
          </w:tcPr>
          <w:p>
            <w:pPr>
              <w:spacing w:after="0"/>
            </w:pPr>
            <w:r/>
            <w:r>
              <w:rPr>
                <w:b/>
                <w:sz w:val="16"/>
              </w:rPr>
              <w:t>Timbal (Pb)</w:t>
            </w:r>
          </w:p>
        </w:tc>
        <w:tc>
          <w:tcPr>
            <w:tcW w:type="dxa" w:w="2381"/>
          </w:tcPr>
          <w:p>
            <w:pPr>
              <w:spacing w:after="0"/>
            </w:pPr>
            <w:r/>
            <w:r>
              <w:rPr>
                <w:b/>
                <w:sz w:val="16"/>
              </w:rPr>
              <w:t>Lampiran I.a (Faktor Kimia)</w:t>
            </w:r>
          </w:p>
        </w:tc>
        <w:tc>
          <w:tcPr>
            <w:tcW w:type="dxa" w:w="2381"/>
          </w:tcPr>
          <w:p>
            <w:pPr>
              <w:spacing w:after="0"/>
            </w:pPr>
            <w:r/>
            <w:r>
              <w:rPr>
                <w:b/>
                <w:sz w:val="16"/>
              </w:rPr>
              <w:t>Butir 8:</w:t>
            </w:r>
            <w:r>
              <w:rPr>
                <w:sz w:val="16"/>
              </w:rPr>
              <w:t xml:space="preserve"> </w:t>
            </w:r>
            <w:r>
              <w:rPr>
                <w:i/>
                <w:sz w:val="16"/>
              </w:rPr>
              <w:t>"Penyakit yang disebabkan oleh timbal atau persenyawaannya"</w:t>
            </w:r>
            <w:r>
              <w:rPr>
                <w:sz w:val="16"/>
              </w:rPr>
              <w:t>.</w:t>
            </w:r>
          </w:p>
        </w:tc>
        <w:tc>
          <w:tcPr>
            <w:tcW w:type="dxa" w:w="2381"/>
          </w:tcPr>
          <w:p>
            <w:pPr>
              <w:spacing w:after="0"/>
            </w:pPr>
            <w:r/>
            <w:r>
              <w:rPr>
                <w:sz w:val="16"/>
              </w:rPr>
              <w:t>Saturnismus: ensefalopati, neuropati motorik perifer (</w:t>
            </w:r>
            <w:r>
              <w:rPr>
                <w:i/>
                <w:sz w:val="16"/>
              </w:rPr>
              <w:t>wrist drop</w:t>
            </w:r>
            <w:r>
              <w:rPr>
                <w:sz w:val="16"/>
              </w:rPr>
              <w:t xml:space="preserve">), anemia mikrositik hipokromik dengan </w:t>
            </w:r>
            <w:r>
              <w:rPr>
                <w:i/>
                <w:sz w:val="16"/>
              </w:rPr>
              <w:t>basophilic stippling</w:t>
            </w:r>
            <w:r>
              <w:rPr>
                <w:sz w:val="16"/>
              </w:rPr>
              <w:t>, kolik abdomen, disfungsi tubulus ginjal.</w:t>
            </w:r>
          </w:p>
        </w:tc>
      </w:tr>
      <w:tr>
        <w:tc>
          <w:tcPr>
            <w:tcW w:type="dxa" w:w="2381"/>
          </w:tcPr>
          <w:p>
            <w:pPr>
              <w:spacing w:after="0"/>
            </w:pPr>
            <w:r/>
            <w:r>
              <w:rPr>
                <w:b/>
                <w:sz w:val="16"/>
              </w:rPr>
              <w:t>Merkuri / Raksa (Hg)</w:t>
            </w:r>
          </w:p>
        </w:tc>
        <w:tc>
          <w:tcPr>
            <w:tcW w:type="dxa" w:w="2381"/>
          </w:tcPr>
          <w:p>
            <w:pPr>
              <w:spacing w:after="0"/>
            </w:pPr>
            <w:r/>
            <w:r>
              <w:rPr>
                <w:b/>
                <w:sz w:val="16"/>
              </w:rPr>
              <w:t>Lampiran I.a (Faktor Kimia)</w:t>
            </w:r>
          </w:p>
        </w:tc>
        <w:tc>
          <w:tcPr>
            <w:tcW w:type="dxa" w:w="2381"/>
          </w:tcPr>
          <w:p>
            <w:pPr>
              <w:spacing w:after="0"/>
            </w:pPr>
            <w:r/>
            <w:r>
              <w:rPr>
                <w:b/>
                <w:sz w:val="16"/>
              </w:rPr>
              <w:t>Butir 7:</w:t>
            </w:r>
            <w:r>
              <w:rPr>
                <w:sz w:val="16"/>
              </w:rPr>
              <w:t xml:space="preserve"> </w:t>
            </w:r>
            <w:r>
              <w:rPr>
                <w:i/>
                <w:sz w:val="16"/>
              </w:rPr>
              <w:t>"Penyakit yang disebabkan oleh raksa atau persenyawaannya"</w:t>
            </w:r>
            <w:r>
              <w:rPr>
                <w:sz w:val="16"/>
              </w:rPr>
              <w:t>.</w:t>
            </w:r>
          </w:p>
        </w:tc>
        <w:tc>
          <w:tcPr>
            <w:tcW w:type="dxa" w:w="2381"/>
          </w:tcPr>
          <w:p>
            <w:pPr>
              <w:spacing w:after="0"/>
            </w:pPr>
            <w:r/>
            <w:r>
              <w:rPr>
                <w:sz w:val="16"/>
              </w:rPr>
              <w:t>Tremor intensional, eretismus merkuralis (perubahan psikologis/labilitas emosi), sindrom nefrotik, stomatitis, ataksia konstriksi lapang pandang (pada metilmerkuri).</w:t>
            </w:r>
          </w:p>
        </w:tc>
      </w:tr>
      <w:tr>
        <w:tc>
          <w:tcPr>
            <w:tcW w:type="dxa" w:w="2381"/>
          </w:tcPr>
          <w:p>
            <w:pPr>
              <w:spacing w:after="0"/>
            </w:pPr>
            <w:r/>
            <w:r>
              <w:rPr>
                <w:b/>
                <w:sz w:val="16"/>
              </w:rPr>
              <w:t>Arsen (As)</w:t>
            </w:r>
          </w:p>
        </w:tc>
        <w:tc>
          <w:tcPr>
            <w:tcW w:type="dxa" w:w="2381"/>
          </w:tcPr>
          <w:p>
            <w:pPr>
              <w:spacing w:after="0"/>
            </w:pPr>
            <w:r/>
            <w:r>
              <w:rPr>
                <w:b/>
                <w:sz w:val="16"/>
              </w:rPr>
              <w:t>Lampiran I.a (Faktor Kimia)</w:t>
            </w:r>
            <w:r>
              <w:br/>
            </w:r>
            <w:r>
              <w:rPr>
                <w:sz w:val="16"/>
              </w:rPr>
              <w:t xml:space="preserve">&amp; </w:t>
            </w:r>
            <w:r>
              <w:rPr>
                <w:b/>
                <w:sz w:val="16"/>
              </w:rPr>
              <w:t>Lampiran III (Kanker)</w:t>
            </w:r>
          </w:p>
        </w:tc>
        <w:tc>
          <w:tcPr>
            <w:tcW w:type="dxa" w:w="2381"/>
          </w:tcPr>
          <w:p>
            <w:pPr>
              <w:spacing w:after="0"/>
            </w:pPr>
            <w:r/>
            <w:r>
              <w:rPr>
                <w:sz w:val="16"/>
              </w:rPr>
              <w:t xml:space="preserve">• </w:t>
            </w:r>
            <w:r>
              <w:rPr>
                <w:b/>
                <w:sz w:val="16"/>
              </w:rPr>
              <w:t>Lampiran I.a Butir 6:</w:t>
            </w:r>
            <w:r>
              <w:rPr>
                <w:sz w:val="16"/>
              </w:rPr>
              <w:t xml:space="preserve"> </w:t>
            </w:r>
            <w:r>
              <w:rPr>
                <w:i/>
                <w:sz w:val="16"/>
              </w:rPr>
              <w:t>"Penyakit yang disebabkan oleh arsen atau persenyawaannya"</w:t>
            </w:r>
            <w:r>
              <w:rPr>
                <w:sz w:val="16"/>
              </w:rPr>
              <w:t>.</w:t>
            </w:r>
            <w:r>
              <w:br/>
            </w:r>
            <w:r>
              <w:rPr>
                <w:sz w:val="16"/>
              </w:rPr>
              <w:t xml:space="preserve">• </w:t>
            </w:r>
            <w:r>
              <w:rPr>
                <w:b/>
                <w:sz w:val="16"/>
              </w:rPr>
              <w:t>Lampiran III Butir 15:</w:t>
            </w:r>
            <w:r>
              <w:rPr>
                <w:sz w:val="16"/>
              </w:rPr>
              <w:t xml:space="preserve"> </w:t>
            </w:r>
            <w:r>
              <w:rPr>
                <w:i/>
                <w:sz w:val="16"/>
              </w:rPr>
              <w:t>"Arsen dan persenyawaannya"</w:t>
            </w:r>
            <w:r>
              <w:rPr>
                <w:sz w:val="16"/>
              </w:rPr>
              <w:t>.</w:t>
            </w:r>
          </w:p>
        </w:tc>
        <w:tc>
          <w:tcPr>
            <w:tcW w:type="dxa" w:w="2381"/>
          </w:tcPr>
          <w:p>
            <w:pPr>
              <w:spacing w:after="0"/>
            </w:pPr>
            <w:r/>
            <w:r>
              <w:rPr>
                <w:sz w:val="16"/>
              </w:rPr>
              <w:t>Hiperkeratosis telapak tangan/kaki, hiperpigmentasi kulit (</w:t>
            </w:r>
            <w:r>
              <w:rPr>
                <w:i/>
                <w:sz w:val="16"/>
              </w:rPr>
              <w:t>raindrop pigmentation</w:t>
            </w:r>
            <w:r>
              <w:rPr>
                <w:sz w:val="16"/>
              </w:rPr>
              <w:t xml:space="preserve">), polineuropati perifer, hemangiosarkoma, serta </w:t>
            </w:r>
            <w:r>
              <w:rPr>
                <w:b/>
                <w:sz w:val="16"/>
              </w:rPr>
              <w:t>Kanker Paru, Kanker Kulit, dan Kanker Kandung Kemih</w:t>
            </w:r>
            <w:r>
              <w:rPr>
                <w:sz w:val="16"/>
              </w:rPr>
              <w:t>.</w:t>
            </w:r>
          </w:p>
        </w:tc>
      </w:tr>
      <w:tr>
        <w:tc>
          <w:tcPr>
            <w:tcW w:type="dxa" w:w="2381"/>
          </w:tcPr>
          <w:p>
            <w:pPr>
              <w:spacing w:after="0"/>
            </w:pPr>
            <w:r/>
            <w:r>
              <w:rPr>
                <w:b/>
                <w:sz w:val="16"/>
              </w:rPr>
              <w:t>Kadmium (Cd)</w:t>
            </w:r>
          </w:p>
        </w:tc>
        <w:tc>
          <w:tcPr>
            <w:tcW w:type="dxa" w:w="2381"/>
          </w:tcPr>
          <w:p>
            <w:pPr>
              <w:spacing w:after="0"/>
            </w:pPr>
            <w:r/>
            <w:r>
              <w:rPr>
                <w:b/>
                <w:sz w:val="16"/>
              </w:rPr>
              <w:t>Lampiran I.a (Faktor Kimia)</w:t>
            </w:r>
            <w:r>
              <w:br/>
            </w:r>
            <w:r>
              <w:rPr>
                <w:sz w:val="16"/>
              </w:rPr>
              <w:t xml:space="preserve">&amp; </w:t>
            </w:r>
            <w:r>
              <w:rPr>
                <w:b/>
                <w:sz w:val="16"/>
              </w:rPr>
              <w:t>Lampiran III (Kanker)</w:t>
            </w:r>
          </w:p>
        </w:tc>
        <w:tc>
          <w:tcPr>
            <w:tcW w:type="dxa" w:w="2381"/>
          </w:tcPr>
          <w:p>
            <w:pPr>
              <w:spacing w:after="0"/>
            </w:pPr>
            <w:r/>
            <w:r>
              <w:rPr>
                <w:sz w:val="16"/>
              </w:rPr>
              <w:t xml:space="preserve">• </w:t>
            </w:r>
            <w:r>
              <w:rPr>
                <w:b/>
                <w:sz w:val="16"/>
              </w:rPr>
              <w:t>Lampiran I.a Butir 2:</w:t>
            </w:r>
            <w:r>
              <w:rPr>
                <w:sz w:val="16"/>
              </w:rPr>
              <w:t xml:space="preserve"> </w:t>
            </w:r>
            <w:r>
              <w:rPr>
                <w:i/>
                <w:sz w:val="16"/>
              </w:rPr>
              <w:t>"Penyakit yang disebabkan oleh cadmium atau persenyawaannya"</w:t>
            </w:r>
            <w:r>
              <w:rPr>
                <w:sz w:val="16"/>
              </w:rPr>
              <w:t>.</w:t>
            </w:r>
            <w:r>
              <w:br/>
            </w:r>
            <w:r>
              <w:rPr>
                <w:sz w:val="16"/>
              </w:rPr>
              <w:t xml:space="preserve">• </w:t>
            </w:r>
            <w:r>
              <w:rPr>
                <w:b/>
                <w:sz w:val="16"/>
              </w:rPr>
              <w:t>Lampiran III Butir 17:</w:t>
            </w:r>
            <w:r>
              <w:rPr>
                <w:sz w:val="16"/>
              </w:rPr>
              <w:t xml:space="preserve"> </w:t>
            </w:r>
            <w:r>
              <w:rPr>
                <w:i/>
                <w:sz w:val="16"/>
              </w:rPr>
              <w:t>"Cadmium dan persenyawaannya"</w:t>
            </w:r>
            <w:r>
              <w:rPr>
                <w:sz w:val="16"/>
              </w:rPr>
              <w:t>.</w:t>
            </w:r>
          </w:p>
        </w:tc>
        <w:tc>
          <w:tcPr>
            <w:tcW w:type="dxa" w:w="2381"/>
          </w:tcPr>
          <w:p>
            <w:pPr>
              <w:spacing w:after="0"/>
            </w:pPr>
            <w:r/>
            <w:r>
              <w:rPr>
                <w:sz w:val="16"/>
              </w:rPr>
              <w:t>Nefropati tubulointestinal kronis, proteinuria berat molekul rendah (β₂-mikroglobulin), osteomalasia/fraktur patologis (</w:t>
            </w:r>
            <w:r>
              <w:rPr>
                <w:i/>
                <w:sz w:val="16"/>
              </w:rPr>
              <w:t>Itai-itai disease</w:t>
            </w:r>
            <w:r>
              <w:rPr>
                <w:sz w:val="16"/>
              </w:rPr>
              <w:t xml:space="preserve">), emfisema, dan </w:t>
            </w:r>
            <w:r>
              <w:rPr>
                <w:b/>
                <w:sz w:val="16"/>
              </w:rPr>
              <w:t>Kanker Paru</w:t>
            </w:r>
            <w:r>
              <w:rPr>
                <w:sz w:val="16"/>
              </w:rPr>
              <w:t>.</w:t>
            </w:r>
          </w:p>
        </w:tc>
      </w:tr>
      <w:tr>
        <w:tc>
          <w:tcPr>
            <w:tcW w:type="dxa" w:w="2381"/>
          </w:tcPr>
          <w:p>
            <w:pPr>
              <w:spacing w:after="0"/>
            </w:pPr>
            <w:r/>
            <w:r>
              <w:rPr>
                <w:b/>
                <w:sz w:val="16"/>
              </w:rPr>
              <w:t>Kromium (Cr)</w:t>
            </w:r>
          </w:p>
        </w:tc>
        <w:tc>
          <w:tcPr>
            <w:tcW w:type="dxa" w:w="2381"/>
          </w:tcPr>
          <w:p>
            <w:pPr>
              <w:spacing w:after="0"/>
            </w:pPr>
            <w:r/>
            <w:r>
              <w:rPr>
                <w:b/>
                <w:sz w:val="16"/>
              </w:rPr>
              <w:t>Lampiran I.a (Faktor Kimia)</w:t>
            </w:r>
            <w:r>
              <w:br/>
            </w:r>
            <w:r>
              <w:rPr>
                <w:sz w:val="16"/>
              </w:rPr>
              <w:t xml:space="preserve">&amp; </w:t>
            </w:r>
            <w:r>
              <w:rPr>
                <w:b/>
                <w:sz w:val="16"/>
              </w:rPr>
              <w:t>Lampiran III (Kanker)</w:t>
            </w:r>
          </w:p>
        </w:tc>
        <w:tc>
          <w:tcPr>
            <w:tcW w:type="dxa" w:w="2381"/>
          </w:tcPr>
          <w:p>
            <w:pPr>
              <w:spacing w:after="0"/>
            </w:pPr>
            <w:r/>
            <w:r>
              <w:rPr>
                <w:sz w:val="16"/>
              </w:rPr>
              <w:t xml:space="preserve">• </w:t>
            </w:r>
            <w:r>
              <w:rPr>
                <w:b/>
                <w:sz w:val="16"/>
              </w:rPr>
              <w:t>Lampiran I.a Butir 4:</w:t>
            </w:r>
            <w:r>
              <w:rPr>
                <w:sz w:val="16"/>
              </w:rPr>
              <w:t xml:space="preserve"> </w:t>
            </w:r>
            <w:r>
              <w:rPr>
                <w:i/>
                <w:sz w:val="16"/>
              </w:rPr>
              <w:t>"Penyakit yang disebabkan oleh krom atau persenyawaannya"</w:t>
            </w:r>
            <w:r>
              <w:rPr>
                <w:sz w:val="16"/>
              </w:rPr>
              <w:t>.</w:t>
            </w:r>
            <w:r>
              <w:br/>
            </w:r>
            <w:r>
              <w:rPr>
                <w:sz w:val="16"/>
              </w:rPr>
              <w:t xml:space="preserve">• </w:t>
            </w:r>
            <w:r>
              <w:rPr>
                <w:b/>
                <w:sz w:val="16"/>
              </w:rPr>
              <w:t>Lampiran III Butir 4:</w:t>
            </w:r>
            <w:r>
              <w:rPr>
                <w:sz w:val="16"/>
              </w:rPr>
              <w:t xml:space="preserve"> </w:t>
            </w:r>
            <w:r>
              <w:rPr>
                <w:i/>
                <w:sz w:val="16"/>
              </w:rPr>
              <w:t>"Persenyawaan chromium VI"</w:t>
            </w:r>
            <w:r>
              <w:rPr>
                <w:sz w:val="16"/>
              </w:rPr>
              <w:t>.</w:t>
            </w:r>
          </w:p>
        </w:tc>
        <w:tc>
          <w:tcPr>
            <w:tcW w:type="dxa" w:w="2381"/>
          </w:tcPr>
          <w:p>
            <w:pPr>
              <w:spacing w:after="0"/>
            </w:pPr>
            <w:r/>
            <w:r>
              <w:rPr>
                <w:sz w:val="16"/>
              </w:rPr>
              <w:t>Ulkus berlubang pada kulit dan mukosa (</w:t>
            </w:r>
            <w:r>
              <w:rPr>
                <w:i/>
                <w:sz w:val="16"/>
              </w:rPr>
              <w:t>chrome holes</w:t>
            </w:r>
            <w:r>
              <w:rPr>
                <w:sz w:val="16"/>
              </w:rPr>
              <w:t xml:space="preserve">), perforasi septum nasi, asma kerja, dermatitis kontak alergi, serta </w:t>
            </w:r>
            <w:r>
              <w:rPr>
                <w:b/>
                <w:sz w:val="16"/>
              </w:rPr>
              <w:t>Kanker Paru dan Kanker Sinonasal</w:t>
            </w:r>
            <w:r>
              <w:rPr>
                <w:sz w:val="16"/>
              </w:rPr>
              <w:t>.</w:t>
            </w:r>
          </w:p>
        </w:tc>
      </w:tr>
      <w:tr>
        <w:tc>
          <w:tcPr>
            <w:tcW w:type="dxa" w:w="2381"/>
          </w:tcPr>
          <w:p>
            <w:pPr>
              <w:spacing w:after="0"/>
            </w:pPr>
            <w:r/>
            <w:r>
              <w:rPr>
                <w:b/>
                <w:sz w:val="16"/>
              </w:rPr>
              <w:t>Mangan (Mn)</w:t>
            </w:r>
          </w:p>
        </w:tc>
        <w:tc>
          <w:tcPr>
            <w:tcW w:type="dxa" w:w="2381"/>
          </w:tcPr>
          <w:p>
            <w:pPr>
              <w:spacing w:after="0"/>
            </w:pPr>
            <w:r/>
            <w:r>
              <w:rPr>
                <w:b/>
                <w:sz w:val="16"/>
              </w:rPr>
              <w:t>Lampiran I.a (Faktor Kimia)</w:t>
            </w:r>
          </w:p>
        </w:tc>
        <w:tc>
          <w:tcPr>
            <w:tcW w:type="dxa" w:w="2381"/>
          </w:tcPr>
          <w:p>
            <w:pPr>
              <w:spacing w:after="0"/>
            </w:pPr>
            <w:r/>
            <w:r>
              <w:rPr>
                <w:b/>
                <w:sz w:val="16"/>
              </w:rPr>
              <w:t>Butir 5:</w:t>
            </w:r>
            <w:r>
              <w:rPr>
                <w:sz w:val="16"/>
              </w:rPr>
              <w:t xml:space="preserve"> </w:t>
            </w:r>
            <w:r>
              <w:rPr>
                <w:i/>
                <w:sz w:val="16"/>
              </w:rPr>
              <w:t>"Penyakit yang disebabkan oleh mangan atau persenyawaannya"</w:t>
            </w:r>
            <w:r>
              <w:rPr>
                <w:sz w:val="16"/>
              </w:rPr>
              <w:t>.</w:t>
            </w:r>
          </w:p>
        </w:tc>
        <w:tc>
          <w:tcPr>
            <w:tcW w:type="dxa" w:w="2381"/>
          </w:tcPr>
          <w:p>
            <w:pPr>
              <w:spacing w:after="0"/>
            </w:pPr>
            <w:r/>
            <w:r>
              <w:rPr>
                <w:sz w:val="16"/>
              </w:rPr>
              <w:t>Manganisme / Parkinsonisme sekunder okupasi: gangguan langkah kokpit (</w:t>
            </w:r>
            <w:r>
              <w:rPr>
                <w:i/>
                <w:sz w:val="16"/>
              </w:rPr>
              <w:t>cock-walk gait</w:t>
            </w:r>
            <w:r>
              <w:rPr>
                <w:sz w:val="16"/>
              </w:rPr>
              <w:t>), tremor distonia, rigiditas ekstrapiramidal, serta psikosis mania (</w:t>
            </w:r>
            <w:r>
              <w:rPr>
                <w:i/>
                <w:sz w:val="16"/>
              </w:rPr>
              <w:t>manganese madness</w:t>
            </w:r>
            <w:r>
              <w:rPr>
                <w:sz w:val="16"/>
              </w:rPr>
              <w:t>).</w:t>
            </w:r>
          </w:p>
        </w:tc>
      </w:tr>
      <w:tr>
        <w:tc>
          <w:tcPr>
            <w:tcW w:type="dxa" w:w="2381"/>
          </w:tcPr>
          <w:p>
            <w:pPr>
              <w:spacing w:after="0"/>
            </w:pPr>
            <w:r/>
            <w:r>
              <w:rPr>
                <w:b/>
                <w:sz w:val="16"/>
              </w:rPr>
              <w:t>Nikel (Ni)</w:t>
            </w:r>
          </w:p>
        </w:tc>
        <w:tc>
          <w:tcPr>
            <w:tcW w:type="dxa" w:w="2381"/>
          </w:tcPr>
          <w:p>
            <w:pPr>
              <w:spacing w:after="0"/>
            </w:pPr>
            <w:r/>
            <w:r>
              <w:rPr>
                <w:b/>
                <w:sz w:val="16"/>
              </w:rPr>
              <w:t>Lampiran I.a (Faktor Kimia)</w:t>
            </w:r>
            <w:r>
              <w:br/>
            </w:r>
            <w:r>
              <w:rPr>
                <w:sz w:val="16"/>
              </w:rPr>
              <w:t xml:space="preserve">&amp; </w:t>
            </w:r>
            <w:r>
              <w:rPr>
                <w:b/>
                <w:sz w:val="16"/>
              </w:rPr>
              <w:t>Lampiran III (Kanker)</w:t>
            </w:r>
          </w:p>
        </w:tc>
        <w:tc>
          <w:tcPr>
            <w:tcW w:type="dxa" w:w="2381"/>
          </w:tcPr>
          <w:p>
            <w:pPr>
              <w:spacing w:after="0"/>
            </w:pPr>
            <w:r/>
            <w:r>
              <w:rPr>
                <w:sz w:val="16"/>
              </w:rPr>
              <w:t xml:space="preserve">• </w:t>
            </w:r>
            <w:r>
              <w:rPr>
                <w:b/>
                <w:sz w:val="16"/>
              </w:rPr>
              <w:t>Lampiran I.a Butir 24:</w:t>
            </w:r>
            <w:r>
              <w:rPr>
                <w:sz w:val="16"/>
              </w:rPr>
              <w:t xml:space="preserve"> </w:t>
            </w:r>
            <w:r>
              <w:rPr>
                <w:i/>
                <w:sz w:val="16"/>
              </w:rPr>
              <w:t>"Penyakit yang disebabkan oleh nikel atau persenyawaannya"</w:t>
            </w:r>
            <w:r>
              <w:rPr>
                <w:sz w:val="16"/>
              </w:rPr>
              <w:t>.</w:t>
            </w:r>
            <w:r>
              <w:br/>
            </w:r>
            <w:r>
              <w:rPr>
                <w:sz w:val="16"/>
              </w:rPr>
              <w:t xml:space="preserve">• </w:t>
            </w:r>
            <w:r>
              <w:rPr>
                <w:b/>
                <w:sz w:val="16"/>
              </w:rPr>
              <w:t>Lampiran III Butir 13:</w:t>
            </w:r>
            <w:r>
              <w:rPr>
                <w:sz w:val="16"/>
              </w:rPr>
              <w:t xml:space="preserve"> </w:t>
            </w:r>
            <w:r>
              <w:rPr>
                <w:i/>
                <w:sz w:val="16"/>
              </w:rPr>
              <w:t>"Persenyawaan nikel"</w:t>
            </w:r>
            <w:r>
              <w:rPr>
                <w:sz w:val="16"/>
              </w:rPr>
              <w:t>.</w:t>
            </w:r>
          </w:p>
        </w:tc>
        <w:tc>
          <w:tcPr>
            <w:tcW w:type="dxa" w:w="2381"/>
          </w:tcPr>
          <w:p>
            <w:pPr>
              <w:spacing w:after="0"/>
            </w:pPr>
            <w:r/>
            <w:r>
              <w:rPr>
                <w:sz w:val="16"/>
              </w:rPr>
              <w:t>Dermatitis kontak alergi (</w:t>
            </w:r>
            <w:r>
              <w:rPr>
                <w:i/>
                <w:sz w:val="16"/>
              </w:rPr>
              <w:t>nickel itch</w:t>
            </w:r>
            <w:r>
              <w:rPr>
                <w:sz w:val="16"/>
              </w:rPr>
              <w:t xml:space="preserve">), asma kerja, pneumonitis kimiawi (nikel karbonil), serta </w:t>
            </w:r>
            <w:r>
              <w:rPr>
                <w:b/>
                <w:sz w:val="16"/>
              </w:rPr>
              <w:t>Kanker Paru dan Kanker Rongga Hidung / Sinus Paranasal</w:t>
            </w:r>
            <w:r>
              <w:rPr>
                <w:sz w:val="16"/>
              </w:rPr>
              <w:t>.</w:t>
            </w:r>
          </w:p>
        </w:tc>
      </w:tr>
      <w:tr>
        <w:tc>
          <w:tcPr>
            <w:tcW w:type="dxa" w:w="2381"/>
          </w:tcPr>
          <w:p>
            <w:pPr>
              <w:spacing w:after="0"/>
            </w:pPr>
            <w:r/>
            <w:r>
              <w:rPr>
                <w:b/>
                <w:sz w:val="16"/>
              </w:rPr>
              <w:t>Berilium (Be)</w:t>
            </w:r>
          </w:p>
        </w:tc>
        <w:tc>
          <w:tcPr>
            <w:tcW w:type="dxa" w:w="2381"/>
          </w:tcPr>
          <w:p>
            <w:pPr>
              <w:spacing w:after="0"/>
            </w:pPr>
            <w:r/>
            <w:r>
              <w:rPr>
                <w:b/>
                <w:sz w:val="16"/>
              </w:rPr>
              <w:t>Lampiran I.a (Faktor Kimia)</w:t>
            </w:r>
            <w:r>
              <w:br/>
            </w:r>
            <w:r>
              <w:rPr>
                <w:sz w:val="16"/>
              </w:rPr>
              <w:t xml:space="preserve">&amp; </w:t>
            </w:r>
            <w:r>
              <w:rPr>
                <w:b/>
                <w:sz w:val="16"/>
              </w:rPr>
              <w:t>Lampiran III (Kanker)</w:t>
            </w:r>
          </w:p>
        </w:tc>
        <w:tc>
          <w:tcPr>
            <w:tcW w:type="dxa" w:w="2381"/>
          </w:tcPr>
          <w:p>
            <w:pPr>
              <w:spacing w:after="0"/>
            </w:pPr>
            <w:r/>
            <w:r>
              <w:rPr>
                <w:sz w:val="16"/>
              </w:rPr>
              <w:t xml:space="preserve">• </w:t>
            </w:r>
            <w:r>
              <w:rPr>
                <w:b/>
                <w:sz w:val="16"/>
              </w:rPr>
              <w:t>Lampiran I.a Butir 1:</w:t>
            </w:r>
            <w:r>
              <w:rPr>
                <w:sz w:val="16"/>
              </w:rPr>
              <w:t xml:space="preserve"> </w:t>
            </w:r>
            <w:r>
              <w:rPr>
                <w:i/>
                <w:sz w:val="16"/>
              </w:rPr>
              <w:t>"Penyakit yang disebabkan oleh berillium dan persenyawaannya"</w:t>
            </w:r>
            <w:r>
              <w:rPr>
                <w:sz w:val="16"/>
              </w:rPr>
              <w:t>.</w:t>
            </w:r>
            <w:r>
              <w:br/>
            </w:r>
            <w:r>
              <w:rPr>
                <w:sz w:val="16"/>
              </w:rPr>
              <w:t xml:space="preserve">• </w:t>
            </w:r>
            <w:r>
              <w:rPr>
                <w:b/>
                <w:sz w:val="16"/>
              </w:rPr>
              <w:t>Lampiran III Butir 16:</w:t>
            </w:r>
            <w:r>
              <w:rPr>
                <w:sz w:val="16"/>
              </w:rPr>
              <w:t xml:space="preserve"> </w:t>
            </w:r>
            <w:r>
              <w:rPr>
                <w:i/>
                <w:sz w:val="16"/>
              </w:rPr>
              <w:t>"Beryllium dan persenyawaannya"</w:t>
            </w:r>
            <w:r>
              <w:rPr>
                <w:sz w:val="16"/>
              </w:rPr>
              <w:t>.</w:t>
            </w:r>
          </w:p>
        </w:tc>
        <w:tc>
          <w:tcPr>
            <w:tcW w:type="dxa" w:w="2381"/>
          </w:tcPr>
          <w:p>
            <w:pPr>
              <w:spacing w:after="0"/>
            </w:pPr>
            <w:r/>
            <w:r>
              <w:rPr>
                <w:sz w:val="16"/>
              </w:rPr>
              <w:t>Penyakit Paru Berilium Kronis (</w:t>
            </w:r>
            <w:r>
              <w:rPr>
                <w:i/>
                <w:sz w:val="16"/>
              </w:rPr>
              <w:t>Chronic Beryllium Disease</w:t>
            </w:r>
            <w:r>
              <w:rPr>
                <w:sz w:val="16"/>
              </w:rPr>
              <w:t xml:space="preserve"> / CBD, pneumonitis granulomatosa non-kaseosa mirip sarkoidosis), sensitisasi berilium (BeS via BeLPT positif), dan </w:t>
            </w:r>
            <w:r>
              <w:rPr>
                <w:b/>
                <w:sz w:val="16"/>
              </w:rPr>
              <w:t>Kanker Paru</w:t>
            </w:r>
            <w:r>
              <w:rPr>
                <w:sz w:val="16"/>
              </w:rPr>
              <w:t>.</w:t>
            </w:r>
          </w:p>
        </w:tc>
      </w:tr>
      <w:tr>
        <w:tc>
          <w:tcPr>
            <w:tcW w:type="dxa" w:w="2381"/>
          </w:tcPr>
          <w:p>
            <w:pPr>
              <w:spacing w:after="0"/>
            </w:pPr>
            <w:r/>
            <w:r>
              <w:rPr>
                <w:b/>
                <w:sz w:val="16"/>
              </w:rPr>
              <w:t>Kobalt (Co)</w:t>
            </w:r>
          </w:p>
        </w:tc>
        <w:tc>
          <w:tcPr>
            <w:tcW w:type="dxa" w:w="2381"/>
          </w:tcPr>
          <w:p>
            <w:pPr>
              <w:spacing w:after="0"/>
            </w:pPr>
            <w:r/>
            <w:r>
              <w:rPr>
                <w:b/>
                <w:sz w:val="16"/>
              </w:rPr>
              <w:t>Lampiran II.a (Target Organ Paru)</w:t>
            </w:r>
            <w:r>
              <w:br/>
            </w:r>
            <w:r>
              <w:rPr>
                <w:sz w:val="16"/>
              </w:rPr>
              <w:t xml:space="preserve">&amp; </w:t>
            </w:r>
            <w:r>
              <w:rPr>
                <w:b/>
                <w:sz w:val="16"/>
              </w:rPr>
              <w:t>Lampiran I.a (Faktor Kimia)</w:t>
            </w:r>
          </w:p>
        </w:tc>
        <w:tc>
          <w:tcPr>
            <w:tcW w:type="dxa" w:w="2381"/>
          </w:tcPr>
          <w:p>
            <w:pPr>
              <w:spacing w:after="0"/>
            </w:pPr>
            <w:r/>
            <w:r>
              <w:rPr>
                <w:sz w:val="16"/>
              </w:rPr>
              <w:t xml:space="preserve">• </w:t>
            </w:r>
            <w:r>
              <w:rPr>
                <w:b/>
                <w:sz w:val="16"/>
              </w:rPr>
              <w:t>Lampiran II.a Butir 5:</w:t>
            </w:r>
            <w:r>
              <w:rPr>
                <w:sz w:val="16"/>
              </w:rPr>
              <w:t xml:space="preserve"> </w:t>
            </w:r>
            <w:r>
              <w:rPr>
                <w:i/>
                <w:sz w:val="16"/>
              </w:rPr>
              <w:t>"Penyakit bronkhopulmoner yang disebabkan oleh debu logam keras"</w:t>
            </w:r>
            <w:r>
              <w:rPr>
                <w:sz w:val="16"/>
              </w:rPr>
              <w:t>.</w:t>
            </w:r>
            <w:r>
              <w:br/>
            </w:r>
            <w:r>
              <w:rPr>
                <w:sz w:val="16"/>
              </w:rPr>
              <w:t xml:space="preserve">• </w:t>
            </w:r>
            <w:r>
              <w:rPr>
                <w:b/>
                <w:sz w:val="16"/>
              </w:rPr>
              <w:t>Lampiran I.a Butir 39:</w:t>
            </w:r>
            <w:r>
              <w:rPr>
                <w:sz w:val="16"/>
              </w:rPr>
              <w:t xml:space="preserve"> </w:t>
            </w:r>
            <w:r>
              <w:rPr>
                <w:i/>
                <w:sz w:val="16"/>
              </w:rPr>
              <w:t>"Bahan kimia lain..."</w:t>
            </w:r>
            <w:r>
              <w:rPr>
                <w:sz w:val="16"/>
              </w:rPr>
              <w:t>.</w:t>
            </w:r>
          </w:p>
        </w:tc>
        <w:tc>
          <w:tcPr>
            <w:tcW w:type="dxa" w:w="2381"/>
          </w:tcPr>
          <w:p>
            <w:pPr>
              <w:spacing w:after="0"/>
            </w:pPr>
            <w:r/>
            <w:r>
              <w:rPr>
                <w:i/>
                <w:sz w:val="16"/>
              </w:rPr>
              <w:t>Hard Metal Lung Disease</w:t>
            </w:r>
            <w:r>
              <w:rPr>
                <w:sz w:val="16"/>
              </w:rPr>
              <w:t xml:space="preserve"> (HMLD) / </w:t>
            </w:r>
            <w:r>
              <w:rPr>
                <w:i/>
                <w:sz w:val="16"/>
              </w:rPr>
              <w:t>Giant Cell Interstitial Pneumonia</w:t>
            </w:r>
            <w:r>
              <w:rPr>
                <w:sz w:val="16"/>
              </w:rPr>
              <w:t xml:space="preserve"> (GIP) akibat debu tungsten karbida berikat kobalt, asma kerja sensitisasi kobalt, kardiomiopati kobalt, dermatitis alergi.</w:t>
            </w:r>
          </w:p>
        </w:tc>
      </w:tr>
      <w:tr>
        <w:tc>
          <w:tcPr>
            <w:tcW w:type="dxa" w:w="2381"/>
          </w:tcPr>
          <w:p>
            <w:pPr>
              <w:spacing w:after="0"/>
            </w:pPr>
            <w:r/>
            <w:r>
              <w:rPr>
                <w:b/>
                <w:sz w:val="16"/>
              </w:rPr>
              <w:t>Talium (Tl)</w:t>
            </w:r>
          </w:p>
        </w:tc>
        <w:tc>
          <w:tcPr>
            <w:tcW w:type="dxa" w:w="2381"/>
          </w:tcPr>
          <w:p>
            <w:pPr>
              <w:spacing w:after="0"/>
            </w:pPr>
            <w:r/>
            <w:r>
              <w:rPr>
                <w:b/>
                <w:sz w:val="16"/>
              </w:rPr>
              <w:t>Lampiran I.a (Faktor Kimia)</w:t>
            </w:r>
          </w:p>
        </w:tc>
        <w:tc>
          <w:tcPr>
            <w:tcW w:type="dxa" w:w="2381"/>
          </w:tcPr>
          <w:p>
            <w:pPr>
              <w:spacing w:after="0"/>
            </w:pPr>
            <w:r/>
            <w:r>
              <w:rPr>
                <w:b/>
                <w:sz w:val="16"/>
              </w:rPr>
              <w:t>Butir 25:</w:t>
            </w:r>
            <w:r>
              <w:rPr>
                <w:sz w:val="16"/>
              </w:rPr>
              <w:t xml:space="preserve"> </w:t>
            </w:r>
            <w:r>
              <w:rPr>
                <w:i/>
                <w:sz w:val="16"/>
              </w:rPr>
              <w:t>"Penyakit yang disebabkan oleh thalium atau persenyawaannya"</w:t>
            </w:r>
            <w:r>
              <w:rPr>
                <w:sz w:val="16"/>
              </w:rPr>
              <w:t>.</w:t>
            </w:r>
          </w:p>
        </w:tc>
        <w:tc>
          <w:tcPr>
            <w:tcW w:type="dxa" w:w="2381"/>
          </w:tcPr>
          <w:p>
            <w:pPr>
              <w:spacing w:after="0"/>
            </w:pPr>
            <w:r/>
            <w:r>
              <w:rPr>
                <w:sz w:val="16"/>
              </w:rPr>
              <w:t>Alopesia difusa akut (kebotakan khas pasca-intoksikasi), neuropati perifer sensorimotor berat (</w:t>
            </w:r>
            <w:r>
              <w:rPr>
                <w:i/>
                <w:sz w:val="16"/>
              </w:rPr>
              <w:t>burning feet syndrome</w:t>
            </w:r>
            <w:r>
              <w:rPr>
                <w:sz w:val="16"/>
              </w:rPr>
              <w:t>), takikardia, ataksia, nyeri gastrointestinal berat.</w:t>
            </w:r>
          </w:p>
        </w:tc>
      </w:tr>
    </w:tbl>
    <w:p>
      <w:pPr>
        <w:spacing w:after="40"/>
      </w:pPr>
    </w:p>
    <w:p>
      <w:r>
        <w:rPr>
          <w:b/>
          <w:sz w:val="16"/>
        </w:rPr>
        <w:t>Sumber yang dirujuk NotebookLM:</w:t>
      </w:r>
    </w:p>
    <w:p>
      <w:pPr>
        <w:spacing w:after="0"/>
        <w:ind w:left="283"/>
      </w:pPr>
      <w:r>
        <w:rPr>
          <w:b/>
          <w:color w:val="595959"/>
          <w:sz w:val="16"/>
        </w:rPr>
        <w:t>Peraturan Presiden Republik Indonesia Nomor 7 Tahun 2019</w:t>
      </w:r>
      <w:r>
        <w:rPr>
          <w:color w:val="595959"/>
          <w:sz w:val="16"/>
        </w:rPr>
        <w:t xml:space="preserve"> </w:t>
      </w:r>
      <w:r>
        <w:rPr>
          <w:i/>
          <w:color w:val="595959"/>
          <w:sz w:val="16"/>
        </w:rPr>
        <w:t>tentang Penyakit Akibat Kerja</w:t>
      </w:r>
      <w:r>
        <w:rPr>
          <w:color w:val="595959"/>
          <w:sz w:val="16"/>
        </w:rPr>
        <w:t>:</w:t>
      </w:r>
    </w:p>
    <w:p>
      <w:pPr>
        <w:spacing w:after="0"/>
        <w:ind w:left="283"/>
      </w:pPr>
      <w:r>
        <w:rPr>
          <w:i/>
          <w:color w:val="595959"/>
          <w:sz w:val="16"/>
        </w:rPr>
        <w:t>Batang Tubuh:</w:t>
      </w:r>
      <w:r>
        <w:rPr>
          <w:color w:val="595959"/>
          <w:sz w:val="16"/>
        </w:rPr>
        <w:t xml:space="preserve"> Pasal 1 (Definisi PAK dan JKK), Pasal 2 (Hak JKK hingga 3 Tahun Pasca Hubungan Kerja Berakhir), Pasal 3 (Kewenangan Dokter dan Dokter Spesialis), Pasal 4 (Klausul Pembuktian Ilmiah PAK di Luar Lampiran), Pasal 5 (Pencatatan dan Pelaporan Nasional), Pasal 6 (Pencabutan Keppres No. 22 Tahun 1993).</w:t>
      </w:r>
    </w:p>
    <w:p>
      <w:pPr>
        <w:spacing w:after="0"/>
        <w:ind w:left="283"/>
      </w:pPr>
      <w:r>
        <w:rPr>
          <w:i/>
          <w:color w:val="595959"/>
          <w:sz w:val="16"/>
        </w:rPr>
        <w:t>Lampiran:</w:t>
      </w:r>
      <w:r>
        <w:rPr>
          <w:color w:val="595959"/>
          <w:sz w:val="16"/>
        </w:rPr>
        <w:t xml:space="preserve"> Bagian I.a Faktor Kimia (Butir 1 Berilium, 2 Kadmium, 4 Krom, 5 Mangan, 6 Arsen, 7 Raksa, 8 Timbal, 24 Nikel, 25 Talium, 39 Bahan Kimia Lain); Bagian II.a Saluran Pernafasan (Butir 5 Debu Logam Keras / Kobalt); Bagian III Penyakit Kanker Akibat Kerja (Butir 4 Krom VI, 13 Nikel, 15 Arsen, 16 Berilium, 17 Kadmium); Bagian IV Penyakit Spesifik Lainnya (Nystagmus).</w:t>
      </w:r>
    </w:p>
    <w:p>
      <w:pPr>
        <w:spacing w:after="0"/>
        <w:ind w:left="283"/>
      </w:pPr>
      <w:r>
        <w:rPr>
          <w:b/>
          <w:color w:val="595959"/>
          <w:sz w:val="16"/>
        </w:rPr>
        <w:t>Peraturan Menteri Kesehatan Republik Indonesia Nomor 11 Tahun 2022</w:t>
      </w:r>
      <w:r>
        <w:rPr>
          <w:color w:val="595959"/>
          <w:sz w:val="16"/>
        </w:rPr>
        <w:t xml:space="preserve"> </w:t>
      </w:r>
      <w:r>
        <w:rPr>
          <w:i/>
          <w:color w:val="595959"/>
          <w:sz w:val="16"/>
        </w:rPr>
        <w:t>tentang Pelayanan Kesehatan Penyakit Akibat Kerja</w:t>
      </w:r>
      <w:r>
        <w:rPr>
          <w:color w:val="595959"/>
          <w:sz w:val="16"/>
        </w:rPr>
        <w:t>:</w:t>
      </w:r>
    </w:p>
    <w:p>
      <w:pPr>
        <w:spacing w:after="0"/>
        <w:ind w:left="283"/>
      </w:pPr>
      <w:r>
        <w:rPr>
          <w:i/>
          <w:color w:val="595959"/>
          <w:sz w:val="16"/>
        </w:rPr>
        <w:t>Batang Tubuh:</w:t>
      </w:r>
      <w:r>
        <w:rPr>
          <w:color w:val="595959"/>
          <w:sz w:val="16"/>
        </w:rPr>
        <w:t xml:space="preserve"> Pasal 1–3 (Definisi, Hak Semua Pekerja Formal/Informal/ASN/TNI/Polri), Pasal 4 (Ruang Lingkup Pelayanan), Pasal 5 (Tujuh Langkah Penegakan Diagnosis Okupasi), Pasal 6–8 (Dua Kategori Dugaan Kasus: Spesifik Jenis Pekerjaan Tertentu vs Dugaan PAK), Pasal 9 (Tata Laksana Medis &amp; Tata Laksana Okupasi Individu/Komunitas), Pasal 10 (Sistem Rujukan), Pasal 11 (Pencatatan &amp; Pelaporan Terintegrasi Jaminan), Pasal 15 (Pencabutan Permenkes No. 56 Tahun 2016).</w:t>
      </w:r>
    </w:p>
    <w:p>
      <w:pPr>
        <w:spacing w:after="0"/>
        <w:ind w:left="283"/>
      </w:pPr>
      <w:r>
        <w:rPr>
          <w:b/>
          <w:color w:val="595959"/>
          <w:sz w:val="16"/>
        </w:rPr>
        <w:t>Peraturan Pemerintah Republik Indonesia Nomor 28 Tahun 2024</w:t>
      </w:r>
      <w:r>
        <w:rPr>
          <w:color w:val="595959"/>
          <w:sz w:val="16"/>
        </w:rPr>
        <w:t xml:space="preserve"> </w:t>
      </w:r>
      <w:r>
        <w:rPr>
          <w:i/>
          <w:color w:val="595959"/>
          <w:sz w:val="16"/>
        </w:rPr>
        <w:t>tentang Peraturan Pelaksanaan UU No. 17 Tahun 2023 tentang Kesehatan</w:t>
      </w:r>
      <w:r>
        <w:rPr>
          <w:color w:val="595959"/>
          <w:sz w:val="16"/>
        </w:rPr>
        <w:t>:</w:t>
      </w:r>
    </w:p>
    <w:p>
      <w:pPr>
        <w:spacing w:after="0"/>
        <w:ind w:left="283"/>
      </w:pPr>
      <w:r>
        <w:rPr>
          <w:color w:val="595959"/>
          <w:sz w:val="16"/>
        </w:rPr>
        <w:t>Pasal 232–239: Penyelenggaraan Upaya Kesehatan Kerja Komprehensif (Promotif, Preventif, Kuratif, Rehabilitatif Medik/Kerja, Paliatif), Dukungan Pendanaan Jaminan Sosial Ketenagakerjaan (JKK), dan Kelaikan Kerja (</w:t>
      </w:r>
      <w:r>
        <w:rPr>
          <w:i/>
          <w:color w:val="595959"/>
          <w:sz w:val="16"/>
        </w:rPr>
        <w:t>Return to Work</w:t>
      </w:r>
      <w:r>
        <w:rPr>
          <w:color w:val="595959"/>
          <w:sz w:val="16"/>
        </w:rPr>
        <w:t>).</w:t>
      </w:r>
    </w:p>
    <w:p>
      <w:pPr>
        <w:spacing w:after="0"/>
        <w:ind w:left="283"/>
      </w:pPr>
      <w:r>
        <w:rPr>
          <w:b/>
          <w:color w:val="595959"/>
          <w:sz w:val="16"/>
        </w:rPr>
        <w:t>Prof. Dr. dr. Muchtaruddin Mansyur, MS, Sp.Ok, Subsp.Tok-Ko.</w:t>
      </w:r>
      <w:r>
        <w:rPr>
          <w:color w:val="595959"/>
          <w:sz w:val="16"/>
        </w:rPr>
        <w:t xml:space="preserve"> </w:t>
      </w:r>
      <w:r>
        <w:rPr>
          <w:i/>
          <w:color w:val="595959"/>
          <w:sz w:val="16"/>
        </w:rPr>
        <w:t>Keganasan dan Pajanan Lingkungan Kerja</w:t>
      </w:r>
      <w:r>
        <w:rPr>
          <w:color w:val="595959"/>
          <w:sz w:val="16"/>
        </w:rPr>
        <w:t>:</w:t>
      </w:r>
    </w:p>
    <w:p>
      <w:pPr>
        <w:spacing w:after="0"/>
        <w:ind w:left="283"/>
      </w:pPr>
      <w:r>
        <w:rPr>
          <w:color w:val="595959"/>
          <w:sz w:val="16"/>
        </w:rPr>
        <w:t>Kajian Kanker Akibat Kerja Logam Berat: Hubungan Kausal Kanker Paru pada Pekerja Terpajan Cr(VI), Arsen, Berilium, Kadmium, dan Nikel Sesuai IARC Monograph 100C dan Perpres 7/2019.</w:t>
      </w:r>
    </w:p>
    <w:p>
      <w:pPr>
        <w:spacing w:after="0"/>
        <w:ind w:left="283"/>
      </w:pPr>
      <w:r>
        <w:rPr>
          <w:b/>
          <w:color w:val="595959"/>
          <w:sz w:val="16"/>
        </w:rPr>
        <w:t>Adams et al. (Cobalt Related Interstitial Lung Disease).</w:t>
      </w:r>
      <w:r>
        <w:rPr>
          <w:color w:val="595959"/>
          <w:sz w:val="16"/>
        </w:rPr>
        <w:t xml:space="preserve"> </w:t>
      </w:r>
      <w:r>
        <w:rPr>
          <w:i/>
          <w:color w:val="595959"/>
          <w:sz w:val="16"/>
        </w:rPr>
        <w:t>Respiratory Medicine</w:t>
      </w:r>
      <w:r>
        <w:rPr>
          <w:color w:val="595959"/>
          <w:sz w:val="16"/>
        </w:rPr>
        <w:t>:</w:t>
      </w:r>
    </w:p>
    <w:p>
      <w:pPr>
        <w:spacing w:after="0"/>
        <w:ind w:left="283"/>
      </w:pPr>
      <w:r>
        <w:rPr>
          <w:color w:val="595959"/>
          <w:sz w:val="16"/>
        </w:rPr>
        <w:t xml:space="preserve">Patogenesis </w:t>
      </w:r>
      <w:r>
        <w:rPr>
          <w:i/>
          <w:color w:val="595959"/>
          <w:sz w:val="16"/>
        </w:rPr>
        <w:t>Hard Metal Lung Disease</w:t>
      </w:r>
      <w:r>
        <w:rPr>
          <w:color w:val="595959"/>
          <w:sz w:val="16"/>
        </w:rPr>
        <w:t xml:space="preserve"> (HMLD) Akibat Debu Kobalt Bersama Tungsten Karbida pada Industri </w:t>
      </w:r>
      <w:r>
        <w:rPr>
          <w:i/>
          <w:color w:val="595959"/>
          <w:sz w:val="16"/>
        </w:rPr>
        <w:t>Bonded Diamond Tooling</w:t>
      </w:r>
      <w:r>
        <w:rPr>
          <w:color w:val="595959"/>
          <w:sz w:val="16"/>
        </w:rPr>
        <w:t xml:space="preserve"> dan Pemotongan Logam Keras.</w:t>
      </w:r>
    </w:p>
    <w:p>
      <w:pPr>
        <w:pStyle w:val="Heading2"/>
      </w:pPr>
      <w:bookmarkStart w:id="116" w:name="toc_016"/>
      <w:r>
        <w:t>2.3 Status PP 88/2019 dan PP 28/2024</w:t>
      </w:r>
      <w:bookmarkEnd w:id="116"/>
    </w:p>
    <w:p>
      <w:pPr>
        <w:pStyle w:val="Heading2"/>
      </w:pPr>
      <w:bookmarkStart w:id="117" w:name="toc_017"/>
      <w:r>
        <w:t>2.4 ARKL: Pedoman Ditjen PP&amp;PL Kemenkes 2012</w:t>
      </w:r>
      <w:bookmarkEnd w:id="117"/>
    </w:p>
    <w:p>
      <w:pPr>
        <w:pStyle w:val="Heading3"/>
      </w:pPr>
      <w:r>
        <w:t>1. Empat Langkah Utama ARKL (The 4-Step Risk Assessment Paradigm)</w:t>
      </w:r>
    </w:p>
    <w:p>
      <w:pPr>
        <w:spacing w:after="80"/>
      </w:pPr>
      <w:r>
        <w:rPr/>
        <w:t xml:space="preserve">Proses ARKL diawali dengan tahap pendahuluan berupa </w:t>
      </w:r>
      <w:r>
        <w:rPr>
          <w:b/>
        </w:rPr>
        <w:t>perumusan masalah (</w:t>
      </w:r>
      <w:r>
        <w:rPr>
          <w:b/>
          <w:i/>
        </w:rPr>
        <w:t>scoping / problem formulation</w:t>
      </w:r>
      <w:r>
        <w:rPr>
          <w:b/>
        </w:rPr>
        <w:t>)</w:t>
      </w:r>
      <w:r>
        <w:rPr/>
        <w:t xml:space="preserve"> dan dilanjutkan dengan </w:t>
      </w:r>
      <w:r>
        <w:rPr>
          <w:b/>
        </w:rPr>
        <w:t>4 langkah ilmiah baku</w:t>
      </w:r>
      <w:r>
        <w:rPr/>
        <w:t xml:space="preserve">, yang hasilnya bermuara pada </w:t>
      </w:r>
      <w:r>
        <w:rPr>
          <w:b/>
        </w:rPr>
        <w:t>pengelolaan risiko (</w:t>
      </w:r>
      <w:r>
        <w:rPr>
          <w:b/>
          <w:i/>
        </w:rPr>
        <w:t>risk management</w:t>
      </w:r>
      <w:r>
        <w:rPr>
          <w:b/>
        </w:rPr>
        <w:t>)</w:t>
      </w:r>
      <w:r>
        <w:rPr/>
        <w:t xml:space="preserve"> dan </w:t>
      </w:r>
      <w:r>
        <w:rPr>
          <w:b/>
        </w:rPr>
        <w:t>komunikasi risiko (</w:t>
      </w:r>
      <w:r>
        <w:rPr>
          <w:b/>
          <w:i/>
        </w:rPr>
        <w:t>risk communication</w:t>
      </w:r>
      <w:r>
        <w:rPr>
          <w:b/>
        </w:rPr>
        <w:t>)</w:t>
      </w:r>
      <w:r>
        <w:rPr/>
        <w:t>:</w:t>
      </w:r>
    </w:p>
    <w:p>
      <w:pPr>
        <w:spacing w:after="120"/>
        <w:ind w:left="170"/>
      </w:pPr>
      <w:r>
        <w:rPr>
          <w:rFonts w:ascii="Consolas" w:hAnsi="Consolas" w:eastAsia="Consolas"/>
          <w:sz w:val="13"/>
        </w:rPr>
        <w:t xml:space="preserve">                           [ KERANGKA PARADIGMA ARKL KEMENKES 2012 ]</w:t>
      </w:r>
      <w:r>
        <w:br/>
      </w:r>
      <w:r>
        <w:rPr>
          <w:rFonts w:ascii="Consolas" w:hAnsi="Consolas" w:eastAsia="Consolas"/>
          <w:sz w:val="13"/>
        </w:rPr>
        <w:t xml:space="preserve">                                              │</w:t>
      </w:r>
      <w:r>
        <w:br/>
      </w:r>
      <w:r>
        <w:rPr>
          <w:rFonts w:ascii="Consolas" w:hAnsi="Consolas" w:eastAsia="Consolas"/>
          <w:sz w:val="13"/>
        </w:rPr>
        <w:t xml:space="preserve">                                   [ Perumusan Masalah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[ 1. IDENTIFIKASI BAHAYA ]          [ 2. ANALISIS DOSIS-RESPONS ]          [ 3. ANALISIS PAJANAN ]</w:t>
      </w:r>
      <w:r>
        <w:br/>
      </w:r>
      <w:r>
        <w:rPr>
          <w:rFonts w:ascii="Consolas" w:hAnsi="Consolas" w:eastAsia="Consolas"/>
          <w:sz w:val="13"/>
        </w:rPr>
        <w:t>• Karakterisasi agen risiko         • Karakterisasi toksisitas           • Menghitung Intake (Ink &amp; Ik)</w:t>
      </w:r>
      <w:r>
        <w:br/>
      </w:r>
      <w:r>
        <w:rPr>
          <w:rFonts w:ascii="Consolas" w:hAnsi="Consolas" w:eastAsia="Consolas"/>
          <w:sz w:val="13"/>
        </w:rPr>
        <w:t>• Media lingkungan (udara/air)      • Nilai acuan aman: RfD, RfC         • Jalur: Inhalasi &amp; Ingesti</w:t>
      </w:r>
      <w:r>
        <w:br/>
      </w:r>
      <w:r>
        <w:rPr>
          <w:rFonts w:ascii="Consolas" w:hAnsi="Consolas" w:eastAsia="Consolas"/>
          <w:sz w:val="13"/>
        </w:rPr>
        <w:t>• Konsentrasi terukur (C)           • Nilai karsinogenik: SF / CSF       • Menggunakan data antropometri</w:t>
      </w:r>
      <w:r>
        <w:br/>
      </w:r>
      <w:r>
        <w:rPr>
          <w:rFonts w:ascii="Consolas" w:hAnsi="Consolas" w:eastAsia="Consolas"/>
          <w:sz w:val="13"/>
        </w:rPr>
        <w:t>• Efek kritis toksikologi           • Rujukan: US-EPA IRIS database        (R, tE, fE, Dt, Wb, tavg)</w:t>
      </w:r>
      <w:r>
        <w:br/>
      </w:r>
      <w:r>
        <w:rPr>
          <w:rFonts w:ascii="Consolas" w:hAnsi="Consolas" w:eastAsia="Consolas"/>
          <w:sz w:val="13"/>
        </w:rPr>
        <w:t xml:space="preserve">         │                                    │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[ 4. KARAKTERISASI RISIKO ]</w:t>
      </w:r>
      <w:r>
        <w:br/>
      </w:r>
      <w:r>
        <w:rPr>
          <w:rFonts w:ascii="Consolas" w:hAnsi="Consolas" w:eastAsia="Consolas"/>
          <w:sz w:val="13"/>
        </w:rPr>
        <w:t xml:space="preserve">                                 • Non-karsinogenik: RQ = Intake / RfD (atau RfC)</w:t>
      </w:r>
      <w:r>
        <w:br/>
      </w:r>
      <w:r>
        <w:rPr>
          <w:rFonts w:ascii="Consolas" w:hAnsi="Consolas" w:eastAsia="Consolas"/>
          <w:sz w:val="13"/>
        </w:rPr>
        <w:t xml:space="preserve">                                 • Karsinogenik: ECR = Intake × SF</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PENGELOLAAN RISIKO ]</w:t>
      </w:r>
      <w:r>
        <w:br/>
      </w:r>
      <w:r>
        <w:rPr>
          <w:rFonts w:ascii="Consolas" w:hAnsi="Consolas" w:eastAsia="Consolas"/>
          <w:sz w:val="13"/>
        </w:rPr>
        <w:t xml:space="preserve">                                   (Jika RQ &gt; 1 atau ECR &gt; 1E-4)</w:t>
      </w:r>
      <w:r>
        <w:br/>
      </w:r>
      <w:r>
        <w:rPr>
          <w:rFonts w:ascii="Consolas" w:hAnsi="Consolas" w:eastAsia="Consolas"/>
          <w:sz w:val="13"/>
        </w:rPr>
        <w:t xml:space="preserve">                                   • Formulasi Batas Aman: C, R, fE, Dt</w:t>
      </w:r>
    </w:p>
    <w:p>
      <w:pPr>
        <w:spacing w:after="40"/>
        <w:ind w:left="340" w:hanging="283"/>
      </w:pPr>
      <w:r>
        <w:rPr/>
        <w:t xml:space="preserve">1. </w:t>
      </w:r>
      <w:r>
        <w:rPr>
          <w:b/>
        </w:rPr>
        <w:t>Langkah 1: Identifikasi Bahaya (</w:t>
      </w:r>
      <w:r>
        <w:rPr>
          <w:b/>
          <w:i/>
        </w:rPr>
        <w:t>Hazard Identification</w:t>
      </w:r>
      <w:r>
        <w:rPr>
          <w:b/>
        </w:rPr>
        <w:t>):</w:t>
      </w:r>
    </w:p>
    <w:p>
      <w:pPr>
        <w:pStyle w:val="ListBullet2"/>
        <w:spacing w:after="20"/>
      </w:pPr>
      <w:r>
        <w:rPr>
          <w:i/>
        </w:rPr>
        <w:t>Tujuan:</w:t>
      </w:r>
      <w:r>
        <w:rPr/>
        <w:t xml:space="preserve"> Mengidentifikasi jenis, sifat kimia-fisika, dan potensi merugikan yang melekat pada agen risiko di media lingkungan tertentu (udara ambien, air minum/bersih, tanah, atau bahan pangan).</w:t>
      </w:r>
    </w:p>
    <w:p>
      <w:pPr>
        <w:pStyle w:val="ListBullet2"/>
        <w:spacing w:after="20"/>
      </w:pPr>
      <w:r>
        <w:rPr>
          <w:i/>
        </w:rPr>
        <w:t>Fokus Telaah:</w:t>
      </w:r>
      <w:r>
        <w:rPr/>
        <w:t xml:space="preserve"> Menentukan agen kimia yang menjadi prioritas, menetapkan efek kritis organ target (</w:t>
      </w:r>
      <w:r>
        <w:rPr>
          <w:i/>
        </w:rPr>
        <w:t>critical health effects</w:t>
      </w:r>
      <w:r>
        <w:rPr/>
        <w:t>), mengidentifikasi jalur pajanan (</w:t>
      </w:r>
      <w:r>
        <w:rPr>
          <w:i/>
        </w:rPr>
        <w:t>exposure pathways</w:t>
      </w:r>
      <w:r>
        <w:rPr/>
        <w:t>), serta memetakan konsentrasi terukur (nilai minimal, rata-rata, dan maksimal).</w:t>
      </w:r>
    </w:p>
    <w:p>
      <w:pPr>
        <w:spacing w:after="40"/>
        <w:ind w:left="340" w:hanging="283"/>
      </w:pPr>
      <w:r>
        <w:rPr/>
        <w:t xml:space="preserve">2. </w:t>
      </w:r>
      <w:r>
        <w:rPr>
          <w:b/>
        </w:rPr>
        <w:t>Langkah 2: Analisis Dosis-Respons (</w:t>
      </w:r>
      <w:r>
        <w:rPr>
          <w:b/>
          <w:i/>
        </w:rPr>
        <w:t>Dose-Response Assessment</w:t>
      </w:r>
      <w:r>
        <w:rPr>
          <w:b/>
        </w:rPr>
        <w:t>):</w:t>
      </w:r>
    </w:p>
    <w:p>
      <w:pPr>
        <w:pStyle w:val="ListBullet2"/>
        <w:spacing w:after="20"/>
      </w:pPr>
      <w:r>
        <w:rPr>
          <w:i/>
        </w:rPr>
        <w:t>Tujuan:</w:t>
      </w:r>
      <w:r>
        <w:rPr/>
        <w:t xml:space="preserve"> Menelaah hubungan kuantitatif antara jumlah agen yang masuk/diserap tubuh dengan insiden keparahan efek kesehatan pada populasi.</w:t>
      </w:r>
    </w:p>
    <w:p>
      <w:pPr>
        <w:pStyle w:val="ListBullet2"/>
        <w:spacing w:after="20"/>
      </w:pPr>
      <w:r>
        <w:rPr>
          <w:i/>
        </w:rPr>
        <w:t>Fokus Telaah:</w:t>
      </w:r>
      <w:r>
        <w:rPr/>
        <w:t xml:space="preserve"> Mencari nilai toksisitas kuantitatif baku: </w:t>
      </w:r>
      <w:r>
        <w:rPr>
          <w:b/>
        </w:rPr>
        <w:t>Dosis Referensi (</w:t>
      </w:r>
      <w:r>
        <w:rPr>
          <w:b/>
          <w:i/>
        </w:rPr>
        <w:t>Reference Dose</w:t>
      </w:r>
      <w:r>
        <w:rPr>
          <w:b/>
        </w:rPr>
        <w:t xml:space="preserve"> / RfD)</w:t>
      </w:r>
      <w:r>
        <w:rPr/>
        <w:t xml:space="preserve"> atau </w:t>
      </w:r>
      <w:r>
        <w:rPr>
          <w:b/>
        </w:rPr>
        <w:t>Konsentrasi Referensi (</w:t>
      </w:r>
      <w:r>
        <w:rPr>
          <w:b/>
          <w:i/>
        </w:rPr>
        <w:t>Reference Concentration</w:t>
      </w:r>
      <w:r>
        <w:rPr>
          <w:b/>
        </w:rPr>
        <w:t xml:space="preserve"> / RfC)</w:t>
      </w:r>
      <w:r>
        <w:rPr/>
        <w:t xml:space="preserve"> untuk efek non-karsinogenik, serta </w:t>
      </w:r>
      <w:r>
        <w:rPr>
          <w:b/>
        </w:rPr>
        <w:t>Faktor Kemiringan (</w:t>
      </w:r>
      <w:r>
        <w:rPr>
          <w:b/>
          <w:i/>
        </w:rPr>
        <w:t>Slope Factor</w:t>
      </w:r>
      <w:r>
        <w:rPr>
          <w:b/>
        </w:rPr>
        <w:t xml:space="preserve"> / SF atau CSF)</w:t>
      </w:r>
      <w:r>
        <w:rPr/>
        <w:t xml:space="preserve"> untuk efek karsinogenik. Analisis ini merujuk pada pangkalan data toksikologi eksperimental terpercaya, terutama </w:t>
      </w:r>
      <w:r>
        <w:rPr>
          <w:i/>
        </w:rPr>
        <w:t>Integrated Risk Information System</w:t>
      </w:r>
      <w:r>
        <w:rPr/>
        <w:t xml:space="preserve"> (IRIS) US-EPA (</w:t>
      </w:r>
      <w:r>
        <w:rPr/>
        <w:t>[suspicious link removed]</w:t>
      </w:r>
      <w:r>
        <w:rPr/>
        <w:t>).</w:t>
      </w:r>
    </w:p>
    <w:p>
      <w:pPr>
        <w:spacing w:after="40"/>
        <w:ind w:left="340" w:hanging="283"/>
      </w:pPr>
      <w:r>
        <w:rPr/>
        <w:t xml:space="preserve">3. </w:t>
      </w:r>
      <w:r>
        <w:rPr>
          <w:b/>
        </w:rPr>
        <w:t>Langkah 3: Analisis Pajanan (</w:t>
      </w:r>
      <w:r>
        <w:rPr>
          <w:b/>
          <w:i/>
        </w:rPr>
        <w:t>Exposure Assessment</w:t>
      </w:r>
      <w:r>
        <w:rPr>
          <w:b/>
        </w:rPr>
        <w:t>):</w:t>
      </w:r>
    </w:p>
    <w:p>
      <w:pPr>
        <w:pStyle w:val="ListBullet2"/>
        <w:spacing w:after="20"/>
      </w:pPr>
      <w:r>
        <w:rPr>
          <w:i/>
        </w:rPr>
        <w:t>Tujuan:</w:t>
      </w:r>
      <w:r>
        <w:rPr/>
        <w:t xml:space="preserve"> Mengukur atau mengestimasi besaran asupan harian (</w:t>
      </w:r>
      <w:r>
        <w:rPr>
          <w:b/>
        </w:rPr>
        <w:t>Intake / I</w:t>
      </w:r>
      <w:r>
        <w:rPr/>
        <w:t>) dari agen risiko yang masuk ke dalam tubuh manusia melalui jalur inhalasi, ingesti (air/makanan), atau kontak dermal.</w:t>
      </w:r>
    </w:p>
    <w:p>
      <w:pPr>
        <w:pStyle w:val="ListBullet2"/>
        <w:spacing w:after="20"/>
      </w:pPr>
      <w:r>
        <w:rPr>
          <w:i/>
        </w:rPr>
        <w:t>Fokus Telaah:</w:t>
      </w:r>
      <w:r>
        <w:rPr/>
        <w:t xml:space="preserve"> Mengombinasikan data konsentrasi lingkungan dengan faktor antropometri dan perilaku populasi (laju asupan, waktu pajanan, frekuensi, durasi, berat badan, dan periode waktu rata-rata).</w:t>
      </w:r>
    </w:p>
    <w:p>
      <w:pPr>
        <w:spacing w:after="40"/>
        <w:ind w:left="340" w:hanging="283"/>
      </w:pPr>
      <w:r>
        <w:rPr/>
        <w:t xml:space="preserve">4. </w:t>
      </w:r>
      <w:r>
        <w:rPr>
          <w:b/>
        </w:rPr>
        <w:t>Langkah 4: Karakterisasi Risiko (</w:t>
      </w:r>
      <w:r>
        <w:rPr>
          <w:b/>
          <w:i/>
        </w:rPr>
        <w:t>Risk Characterization</w:t>
      </w:r>
      <w:r>
        <w:rPr>
          <w:b/>
        </w:rPr>
        <w:t>):</w:t>
      </w:r>
    </w:p>
    <w:p>
      <w:pPr>
        <w:pStyle w:val="ListBullet2"/>
        <w:spacing w:after="20"/>
      </w:pPr>
      <w:r>
        <w:rPr>
          <w:i/>
        </w:rPr>
        <w:t>Tujuan:</w:t>
      </w:r>
      <w:r>
        <w:rPr/>
        <w:t xml:space="preserve"> Menetapkan estimasi tingkat risiko kesehatan dengan mengintegrasikan hasil analisis dosis-respons dan analisis pajanan.</w:t>
      </w:r>
    </w:p>
    <w:p>
      <w:pPr>
        <w:pStyle w:val="ListBullet2"/>
        <w:spacing w:after="20"/>
      </w:pPr>
      <w:r>
        <w:rPr>
          <w:i/>
        </w:rPr>
        <w:t>Fokus Telaah:</w:t>
      </w:r>
      <w:r>
        <w:rPr/>
        <w:t xml:space="preserve"> Menghitung </w:t>
      </w:r>
      <w:r>
        <w:rPr>
          <w:b/>
        </w:rPr>
        <w:t xml:space="preserve">Tingkat Risiko / </w:t>
      </w:r>
      <w:r>
        <w:rPr>
          <w:b/>
          <w:i/>
        </w:rPr>
        <w:t>Risk Quotient</w:t>
      </w:r>
      <w:r>
        <w:rPr>
          <w:b/>
        </w:rPr>
        <w:t xml:space="preserve"> (RQ)</w:t>
      </w:r>
      <w:r>
        <w:rPr/>
        <w:t xml:space="preserve"> untuk efek non-karsinogenik dan menghitung probabilitas </w:t>
      </w:r>
      <w:r>
        <w:rPr>
          <w:b/>
        </w:rPr>
        <w:t xml:space="preserve">Lebihan Risiko Kanker / </w:t>
      </w:r>
      <w:r>
        <w:rPr>
          <w:b/>
          <w:i/>
        </w:rPr>
        <w:t>Excess Cancer Risk</w:t>
      </w:r>
      <w:r>
        <w:rPr>
          <w:b/>
        </w:rPr>
        <w:t xml:space="preserve"> (ECR)</w:t>
      </w:r>
      <w:r>
        <w:rPr/>
        <w:t xml:space="preserve"> untuk efek karsinogenik, mengevaluasi ketidakpastian (</w:t>
      </w:r>
      <w:r>
        <w:rPr>
          <w:i/>
        </w:rPr>
        <w:t>uncertainties</w:t>
      </w:r>
      <w:r>
        <w:rPr/>
        <w:t>), serta menyimpulkan apakah risiko dapat diterima (</w:t>
      </w:r>
      <w:r>
        <w:rPr>
          <w:i/>
        </w:rPr>
        <w:t>acceptable</w:t>
      </w:r>
      <w:r>
        <w:rPr/>
        <w:t>) atau tidak aman (</w:t>
      </w:r>
      <w:r>
        <w:rPr>
          <w:i/>
        </w:rPr>
        <w:t>unacceptable</w:t>
      </w:r>
      <w:r>
        <w:rPr/>
        <w:t>).</w:t>
      </w:r>
    </w:p>
    <w:p>
      <w:pPr>
        <w:pStyle w:val="Heading3"/>
      </w:pPr>
      <w:r>
        <w:t>2. Rumus Asupan (Intake) Non-Karsinogenik dan Karsinogenik</w:t>
      </w:r>
    </w:p>
    <w:p>
      <w:pPr>
        <w:spacing w:after="80"/>
      </w:pPr>
      <w:r>
        <w:rPr/>
        <w:t>Intake (I) menyatakan jumlah massa agen risiko (dalam mg) yang masuk ke dalam tubuh per kilogram berat badan individu per hari (mg/kg×hari).</w:t>
      </w:r>
    </w:p>
    <w:p>
      <w:pPr>
        <w:pStyle w:val="Heading4"/>
      </w:pPr>
      <w:r>
        <w:t>a. Rumus Intake Non-Karsinogenik (I_(nk))</w:t>
      </w:r>
    </w:p>
    <w:p>
      <w:pPr>
        <w:spacing w:after="80"/>
      </w:pPr>
      <w:r>
        <w:rPr/>
        <w:t>Perhitungan asupan untuk zat yang menimbulkan efek non-karsinogenik:</w:t>
      </w:r>
    </w:p>
    <w:p>
      <w:pPr>
        <w:pStyle w:val="ListBullet"/>
        <w:spacing w:after="20"/>
      </w:pPr>
      <w:r>
        <w:rPr>
          <w:b/>
        </w:rPr>
        <w:t>Jalur Inhalasi (Pernapasan):</w:t>
      </w:r>
    </w:p>
    <w:p>
      <w:pPr>
        <w:spacing w:after="60"/>
        <w:jc w:val="center"/>
      </w:pPr>
      <w:r>
        <w:rPr>
          <w:i/>
        </w:rPr>
        <w:t>I_(nk) = (C × R × t_E × f_E × D_t)/(W_b × t_(avg))</w:t>
      </w:r>
    </w:p>
    <w:p>
      <w:pPr>
        <w:spacing w:after="80"/>
      </w:pPr>
      <w:r>
        <w:rPr>
          <w:i/>
        </w:rPr>
        <w:t>(Pada beberapa literatur ARKL, jika konsentrasi udara dinyatakan dalam mg/m³ dan laju pernapasan R dalam m³/hari, maka variabel waktu harian t_E/24 jam disatukan)</w:t>
      </w:r>
      <w:r>
        <w:rPr/>
        <w:t>.</w:t>
      </w:r>
    </w:p>
    <w:p>
      <w:pPr>
        <w:pStyle w:val="ListBullet"/>
        <w:spacing w:after="20"/>
      </w:pPr>
      <w:r>
        <w:rPr>
          <w:b/>
        </w:rPr>
        <w:t>Jalur Ingesti (Tertelan melalui Air Minum atau Makanan):</w:t>
      </w:r>
    </w:p>
    <w:p>
      <w:pPr>
        <w:spacing w:after="60"/>
        <w:jc w:val="center"/>
      </w:pPr>
      <w:r>
        <w:rPr>
          <w:i/>
        </w:rPr>
        <w:t>I_(nk) = (C × R × f_E × D_t)/(W_b × t_(avg))</w:t>
      </w:r>
    </w:p>
    <w:p>
      <w:pPr>
        <w:spacing w:after="80"/>
      </w:pPr>
      <w:r>
        <w:rPr>
          <w:i/>
        </w:rPr>
        <w:t>(Variabel t_E tidak digunakan pada ingesti karena laju konsumsi R sudah dihitung dalam satuan massa atau volume per hari)</w:t>
      </w:r>
      <w:r>
        <w:rPr/>
        <w:t>.</w:t>
      </w:r>
    </w:p>
    <w:p>
      <w:pPr>
        <w:spacing w:after="80"/>
      </w:pPr>
      <w:r>
        <w:rPr/>
        <w:t>Di mana untuk non-karsinogenik:</w:t>
      </w:r>
    </w:p>
    <w:p>
      <w:pPr>
        <w:spacing w:after="60"/>
        <w:jc w:val="center"/>
      </w:pPr>
      <w:r>
        <w:rPr>
          <w:i/>
        </w:rPr>
        <w:t>t_(avg) = D_t × 365 hari/tahun</w:t>
      </w:r>
    </w:p>
    <w:p>
      <w:pPr>
        <w:pStyle w:val="Heading4"/>
      </w:pPr>
      <w:r>
        <w:t>b. Rumus Intake Karsinogenik (I_k)</w:t>
      </w:r>
    </w:p>
    <w:p>
      <w:pPr>
        <w:spacing w:after="80"/>
      </w:pPr>
      <w:r>
        <w:rPr/>
        <w:t>Untuk zat karsinogenik, pajanan diasumsikan memiliki risiko kumulatif sepanjang hayat (</w:t>
      </w:r>
      <w:r>
        <w:rPr>
          <w:i/>
        </w:rPr>
        <w:t>lifetime exposure</w:t>
      </w:r>
      <w:r>
        <w:rPr/>
        <w:t>) tanpa ambang batas aman (</w:t>
      </w:r>
      <w:r>
        <w:rPr>
          <w:i/>
        </w:rPr>
        <w:t>no-threshold concept</w:t>
      </w:r>
      <w:r>
        <w:rPr/>
        <w:t>):</w:t>
      </w:r>
    </w:p>
    <w:p>
      <w:pPr>
        <w:pStyle w:val="ListBullet"/>
        <w:spacing w:after="20"/>
      </w:pPr>
      <w:r>
        <w:rPr>
          <w:b/>
        </w:rPr>
        <w:t>Jalur Inhalasi Karsinogenik:</w:t>
      </w:r>
    </w:p>
    <w:p>
      <w:pPr>
        <w:spacing w:after="60"/>
        <w:jc w:val="center"/>
      </w:pPr>
      <w:r>
        <w:rPr>
          <w:i/>
        </w:rPr>
        <w:t>I_k = (C × R × t_E × f_E × D_t)/(W_b × t_(avg(k)))</w:t>
      </w:r>
    </w:p>
    <w:p>
      <w:pPr>
        <w:pStyle w:val="ListBullet"/>
        <w:spacing w:after="20"/>
      </w:pPr>
      <w:r>
        <w:rPr>
          <w:b/>
        </w:rPr>
        <w:t>Jalur Ingesti Karsinogenik:</w:t>
      </w:r>
    </w:p>
    <w:p>
      <w:pPr>
        <w:spacing w:after="60"/>
        <w:jc w:val="center"/>
      </w:pPr>
      <w:r>
        <w:rPr>
          <w:i/>
        </w:rPr>
        <w:t>I_k = (C × R × f_E × D_t)/(W_b × t_(avg(k)))</w:t>
      </w:r>
    </w:p>
    <w:p>
      <w:pPr>
        <w:spacing w:after="80"/>
      </w:pPr>
      <w:r>
        <w:rPr/>
        <w:t>Di mana untuk efek karsinogenik, periode waktu rata-rata (t_(avg(k))) dibakukan sepanjang umur biologis rata-rata manusia (70 tahun):</w:t>
      </w:r>
    </w:p>
    <w:p>
      <w:pPr>
        <w:spacing w:after="60"/>
        <w:jc w:val="center"/>
      </w:pPr>
      <w:r>
        <w:rPr>
          <w:i/>
        </w:rPr>
        <w:t>t_(avg(k)) = 70 tahun × 365 hari/tahun = 25.550 hari</w:t>
      </w:r>
    </w:p>
    <w:p>
      <w:pPr>
        <w:pStyle w:val="Heading3"/>
      </w:pPr>
      <w:r>
        <w:t>3. Nilai Default Antropometri dan Parameter Pajanan</w:t>
      </w:r>
    </w:p>
    <w:p>
      <w:pPr>
        <w:spacing w:after="80"/>
      </w:pPr>
      <w:r>
        <w:rPr/>
        <w:t xml:space="preserve">Pedoman ARKL Kemenkes 2012 (mengacu pada Tabel 9 disadur dari Rahman 2007 dan studi antropometri Indonesia oleh Nukman et al., 2005 serta US-EPA </w:t>
      </w:r>
      <w:r>
        <w:rPr>
          <w:i/>
        </w:rPr>
        <w:t>Exposure Factors Handbook</w:t>
      </w:r>
      <w:r>
        <w:rPr/>
        <w:t>) menetapkan nilai baku (</w:t>
      </w:r>
      <w:r>
        <w:rPr>
          <w:i/>
        </w:rPr>
        <w:t>default values</w:t>
      </w:r>
      <w:r>
        <w:rPr/>
        <w:t>) berikut jika data empiris spesifik lapangan tidak tersedia:</w:t>
      </w:r>
    </w:p>
    <w:tbl>
      <w:tblPr>
        <w:tblStyle w:val="TableGrid"/>
        <w:tblW w:type="auto" w:w="0"/>
        <w:tblLook w:firstColumn="1" w:firstRow="1" w:lastColumn="0" w:lastRow="0" w:noHBand="0" w:noVBand="1" w:val="04A0"/>
      </w:tblPr>
      <w:tblGrid>
        <w:gridCol w:w="1905"/>
        <w:gridCol w:w="1905"/>
        <w:gridCol w:w="1905"/>
        <w:gridCol w:w="1905"/>
        <w:gridCol w:w="1905"/>
      </w:tblGrid>
      <w:tr>
        <w:tc>
          <w:tcPr>
            <w:tcW w:type="dxa" w:w="1905"/>
            <w:shd w:val="clear" w:color="auto" w:fill="DCE6F1"/>
          </w:tcPr>
          <w:p>
            <w:pPr>
              <w:spacing w:after="0"/>
            </w:pPr>
            <w:r/>
            <w:r>
              <w:rPr>
                <w:b/>
                <w:sz w:val="16"/>
              </w:rPr>
              <w:t>Notasi Parameter</w:t>
            </w:r>
          </w:p>
        </w:tc>
        <w:tc>
          <w:tcPr>
            <w:tcW w:type="dxa" w:w="1905"/>
            <w:shd w:val="clear" w:color="auto" w:fill="DCE6F1"/>
          </w:tcPr>
          <w:p>
            <w:pPr>
              <w:spacing w:after="0"/>
            </w:pPr>
            <w:r/>
            <w:r>
              <w:rPr>
                <w:b/>
                <w:sz w:val="16"/>
              </w:rPr>
              <w:t>Definisi Parameter</w:t>
            </w:r>
          </w:p>
        </w:tc>
        <w:tc>
          <w:tcPr>
            <w:tcW w:type="dxa" w:w="1905"/>
            <w:shd w:val="clear" w:color="auto" w:fill="DCE6F1"/>
          </w:tcPr>
          <w:p>
            <w:pPr>
              <w:spacing w:after="0"/>
            </w:pPr>
            <w:r/>
            <w:r>
              <w:rPr>
                <w:b/>
                <w:sz w:val="16"/>
              </w:rPr>
              <w:t>Satuan</w:t>
            </w:r>
          </w:p>
        </w:tc>
        <w:tc>
          <w:tcPr>
            <w:tcW w:type="dxa" w:w="1905"/>
            <w:shd w:val="clear" w:color="auto" w:fill="DCE6F1"/>
          </w:tcPr>
          <w:p>
            <w:pPr>
              <w:spacing w:after="0"/>
            </w:pPr>
            <w:r/>
            <w:r>
              <w:rPr>
                <w:b/>
                <w:sz w:val="16"/>
              </w:rPr>
              <w:t xml:space="preserve">Nilai </w:t>
            </w:r>
            <w:r>
              <w:rPr>
                <w:b/>
                <w:i/>
                <w:sz w:val="16"/>
              </w:rPr>
              <w:t>Default</w:t>
            </w:r>
            <w:r>
              <w:rPr>
                <w:b/>
                <w:sz w:val="16"/>
              </w:rPr>
              <w:t xml:space="preserve"> ARKL Kemenkes 2012 (Dewasa Indonesia / Asia)</w:t>
            </w:r>
          </w:p>
        </w:tc>
        <w:tc>
          <w:tcPr>
            <w:tcW w:type="dxa" w:w="1905"/>
            <w:shd w:val="clear" w:color="auto" w:fill="DCE6F1"/>
          </w:tcPr>
          <w:p>
            <w:pPr>
              <w:spacing w:after="0"/>
            </w:pPr>
            <w:r/>
            <w:r>
              <w:rPr>
                <w:b/>
                <w:sz w:val="16"/>
              </w:rPr>
              <w:t>Pembanding Default US-EPA / Internasional</w:t>
            </w:r>
          </w:p>
        </w:tc>
      </w:tr>
      <w:tr>
        <w:tc>
          <w:tcPr>
            <w:tcW w:type="dxa" w:w="1905"/>
          </w:tcPr>
          <w:p>
            <w:pPr>
              <w:spacing w:after="0"/>
            </w:pPr>
            <w:r/>
            <w:r>
              <w:rPr>
                <w:b/>
                <w:sz w:val="16"/>
              </w:rPr>
              <w:t>C</w:t>
            </w:r>
          </w:p>
        </w:tc>
        <w:tc>
          <w:tcPr>
            <w:tcW w:type="dxa" w:w="1905"/>
          </w:tcPr>
          <w:p>
            <w:pPr>
              <w:spacing w:after="0"/>
            </w:pPr>
            <w:r/>
            <w:r>
              <w:rPr>
                <w:sz w:val="16"/>
              </w:rPr>
              <w:t>Konsentrasi agen risiko</w:t>
            </w:r>
          </w:p>
        </w:tc>
        <w:tc>
          <w:tcPr>
            <w:tcW w:type="dxa" w:w="1905"/>
          </w:tcPr>
          <w:p>
            <w:pPr>
              <w:spacing w:after="0"/>
            </w:pPr>
            <w:r/>
            <w:r>
              <w:rPr>
                <w:sz w:val="16"/>
              </w:rPr>
              <w:t>mg/m³ (udara)</w:t>
            </w:r>
            <w:r>
              <w:br/>
            </w:r>
            <w:r>
              <w:rPr>
                <w:sz w:val="16"/>
              </w:rPr>
              <w:t>mg/L (air)</w:t>
            </w:r>
            <w:r>
              <w:br/>
            </w:r>
            <w:r>
              <w:rPr>
                <w:sz w:val="16"/>
              </w:rPr>
              <w:t>mg/kg (makanan)</w:t>
            </w:r>
          </w:p>
        </w:tc>
        <w:tc>
          <w:tcPr>
            <w:tcW w:type="dxa" w:w="1905"/>
          </w:tcPr>
          <w:p>
            <w:pPr>
              <w:spacing w:after="0"/>
            </w:pPr>
            <w:r/>
            <w:r>
              <w:rPr>
                <w:i/>
                <w:sz w:val="16"/>
              </w:rPr>
              <w:t>Tidak ada default</w:t>
            </w:r>
            <w:r>
              <w:rPr>
                <w:sz w:val="16"/>
              </w:rPr>
              <w:t xml:space="preserve"> (berdasarkan hasil pengukuran riil laboratorium/lapangan)</w:t>
            </w:r>
          </w:p>
        </w:tc>
        <w:tc>
          <w:tcPr>
            <w:tcW w:type="dxa" w:w="1905"/>
          </w:tcPr>
          <w:p>
            <w:pPr>
              <w:spacing w:after="0"/>
            </w:pPr>
            <w:r/>
            <w:r>
              <w:rPr>
                <w:i/>
                <w:sz w:val="16"/>
              </w:rPr>
              <w:t>Data riil lapangan</w:t>
            </w:r>
          </w:p>
        </w:tc>
      </w:tr>
      <w:tr>
        <w:tc>
          <w:tcPr>
            <w:tcW w:type="dxa" w:w="1905"/>
          </w:tcPr>
          <w:p>
            <w:pPr>
              <w:spacing w:after="0"/>
            </w:pPr>
            <w:r/>
            <w:r>
              <w:rPr>
                <w:b/>
                <w:sz w:val="16"/>
              </w:rPr>
              <w:t>R</w:t>
            </w:r>
          </w:p>
        </w:tc>
        <w:tc>
          <w:tcPr>
            <w:tcW w:type="dxa" w:w="1905"/>
          </w:tcPr>
          <w:p>
            <w:pPr>
              <w:spacing w:after="0"/>
            </w:pPr>
            <w:r/>
            <w:r>
              <w:rPr>
                <w:sz w:val="16"/>
              </w:rPr>
              <w:t>Laju asupan (</w:t>
            </w:r>
            <w:r>
              <w:rPr>
                <w:i/>
                <w:sz w:val="16"/>
              </w:rPr>
              <w:t>Rate</w:t>
            </w:r>
            <w:r>
              <w:rPr>
                <w:sz w:val="16"/>
              </w:rPr>
              <w:t>)</w:t>
            </w:r>
          </w:p>
        </w:tc>
        <w:tc>
          <w:tcPr>
            <w:tcW w:type="dxa" w:w="1905"/>
          </w:tcPr>
          <w:p>
            <w:pPr>
              <w:spacing w:after="0"/>
            </w:pPr>
            <w:r/>
          </w:p>
        </w:tc>
        <w:tc>
          <w:tcPr>
            <w:tcW w:type="dxa" w:w="1905"/>
          </w:tcPr>
          <w:p>
            <w:pPr>
              <w:spacing w:after="0"/>
            </w:pPr>
            <w:r/>
          </w:p>
        </w:tc>
        <w:tc>
          <w:tcPr>
            <w:tcW w:type="dxa" w:w="1905"/>
          </w:tcPr>
          <w:p>
            <w:pPr>
              <w:spacing w:after="0"/>
            </w:pPr>
            <w:r/>
          </w:p>
        </w:tc>
      </w:tr>
      <w:tr>
        <w:tc>
          <w:tcPr>
            <w:tcW w:type="dxa" w:w="1905"/>
          </w:tcPr>
          <w:p>
            <w:pPr>
              <w:spacing w:after="0"/>
            </w:pPr>
            <w:r/>
            <w:r>
              <w:rPr>
                <w:sz w:val="16"/>
              </w:rPr>
              <w:t xml:space="preserve">• </w:t>
            </w:r>
            <w:r>
              <w:rPr>
                <w:i/>
                <w:sz w:val="16"/>
              </w:rPr>
              <w:t>Inhalasi</w:t>
            </w:r>
          </w:p>
        </w:tc>
        <w:tc>
          <w:tcPr>
            <w:tcW w:type="dxa" w:w="1905"/>
          </w:tcPr>
          <w:p>
            <w:pPr>
              <w:spacing w:after="0"/>
            </w:pPr>
            <w:r/>
            <w:r>
              <w:rPr>
                <w:sz w:val="16"/>
              </w:rPr>
              <w:t>Volume udara terhirup</w:t>
            </w:r>
          </w:p>
        </w:tc>
        <w:tc>
          <w:tcPr>
            <w:tcW w:type="dxa" w:w="1905"/>
          </w:tcPr>
          <w:p>
            <w:pPr>
              <w:spacing w:after="0"/>
            </w:pPr>
            <w:r/>
            <w:r>
              <w:rPr>
                <w:sz w:val="16"/>
              </w:rPr>
              <w:t>m³/jam atau m³/hari</w:t>
            </w:r>
          </w:p>
        </w:tc>
        <w:tc>
          <w:tcPr>
            <w:tcW w:type="dxa" w:w="1905"/>
          </w:tcPr>
          <w:p>
            <w:pPr>
              <w:spacing w:after="0"/>
            </w:pPr>
            <w:r/>
            <w:r>
              <w:rPr>
                <w:b/>
                <w:sz w:val="16"/>
              </w:rPr>
              <w:t>0,83 m³/jam</w:t>
            </w:r>
            <w:r>
              <w:rPr>
                <w:sz w:val="16"/>
              </w:rPr>
              <w:t xml:space="preserve"> (Dewasa)</w:t>
            </w:r>
            <w:r>
              <w:br/>
            </w:r>
            <w:r>
              <w:rPr>
                <w:sz w:val="16"/>
              </w:rPr>
              <w:t>0,5 m³/jam (Anak 6–12 th)</w:t>
            </w:r>
          </w:p>
        </w:tc>
        <w:tc>
          <w:tcPr>
            <w:tcW w:type="dxa" w:w="1905"/>
          </w:tcPr>
          <w:p>
            <w:pPr>
              <w:spacing w:after="0"/>
            </w:pPr>
            <w:r/>
            <w:r>
              <w:rPr>
                <w:b/>
                <w:sz w:val="16"/>
              </w:rPr>
              <w:t>20 m³/hari</w:t>
            </w:r>
            <w:r>
              <w:rPr>
                <w:sz w:val="16"/>
              </w:rPr>
              <w:t xml:space="preserve"> (Dewasa)</w:t>
            </w:r>
            <w:r>
              <w:br/>
            </w:r>
            <w:r>
              <w:rPr>
                <w:sz w:val="16"/>
              </w:rPr>
              <w:t>12 m³/hari (Anak)</w:t>
            </w:r>
          </w:p>
        </w:tc>
      </w:tr>
      <w:tr>
        <w:tc>
          <w:tcPr>
            <w:tcW w:type="dxa" w:w="1905"/>
          </w:tcPr>
          <w:p>
            <w:pPr>
              <w:spacing w:after="0"/>
            </w:pPr>
            <w:r/>
            <w:r>
              <w:rPr>
                <w:sz w:val="16"/>
              </w:rPr>
              <w:t xml:space="preserve">• </w:t>
            </w:r>
            <w:r>
              <w:rPr>
                <w:i/>
                <w:sz w:val="16"/>
              </w:rPr>
              <w:t>Air Minum</w:t>
            </w:r>
          </w:p>
        </w:tc>
        <w:tc>
          <w:tcPr>
            <w:tcW w:type="dxa" w:w="1905"/>
          </w:tcPr>
          <w:p>
            <w:pPr>
              <w:spacing w:after="0"/>
            </w:pPr>
            <w:r/>
            <w:r>
              <w:rPr>
                <w:sz w:val="16"/>
              </w:rPr>
              <w:t>Volume konsumsi air</w:t>
            </w:r>
          </w:p>
        </w:tc>
        <w:tc>
          <w:tcPr>
            <w:tcW w:type="dxa" w:w="1905"/>
          </w:tcPr>
          <w:p>
            <w:pPr>
              <w:spacing w:after="0"/>
            </w:pPr>
            <w:r/>
            <w:r>
              <w:rPr>
                <w:sz w:val="16"/>
              </w:rPr>
              <w:t>L/hari</w:t>
            </w:r>
          </w:p>
        </w:tc>
        <w:tc>
          <w:tcPr>
            <w:tcW w:type="dxa" w:w="1905"/>
          </w:tcPr>
          <w:p>
            <w:pPr>
              <w:spacing w:after="0"/>
            </w:pPr>
            <w:r/>
            <w:r>
              <w:rPr>
                <w:b/>
                <w:sz w:val="16"/>
              </w:rPr>
              <w:t>2 L/hari</w:t>
            </w:r>
            <w:r>
              <w:rPr>
                <w:sz w:val="16"/>
              </w:rPr>
              <w:t xml:space="preserve"> (Dewasa pemukiman)</w:t>
            </w:r>
            <w:r>
              <w:br/>
            </w:r>
            <w:r>
              <w:rPr>
                <w:b/>
                <w:sz w:val="16"/>
              </w:rPr>
              <w:t>1 L/hari</w:t>
            </w:r>
            <w:r>
              <w:rPr>
                <w:sz w:val="16"/>
              </w:rPr>
              <w:t xml:space="preserve"> (Anak pemukiman)</w:t>
            </w:r>
            <w:r>
              <w:br/>
            </w:r>
            <w:r>
              <w:rPr>
                <w:b/>
                <w:sz w:val="16"/>
              </w:rPr>
              <w:t>1 L/hari</w:t>
            </w:r>
            <w:r>
              <w:rPr>
                <w:sz w:val="16"/>
              </w:rPr>
              <w:t xml:space="preserve"> (Dewasa lingkungan kerja)</w:t>
            </w:r>
          </w:p>
        </w:tc>
        <w:tc>
          <w:tcPr>
            <w:tcW w:type="dxa" w:w="1905"/>
          </w:tcPr>
          <w:p>
            <w:pPr>
              <w:spacing w:after="0"/>
            </w:pPr>
            <w:r/>
            <w:r>
              <w:rPr>
                <w:sz w:val="16"/>
              </w:rPr>
              <w:t>2 L/hari (Dewasa)</w:t>
            </w:r>
            <w:r>
              <w:br/>
            </w:r>
            <w:r>
              <w:rPr>
                <w:sz w:val="16"/>
              </w:rPr>
              <w:t>1 L/hari (Anak)</w:t>
            </w:r>
          </w:p>
        </w:tc>
      </w:tr>
      <w:tr>
        <w:tc>
          <w:tcPr>
            <w:tcW w:type="dxa" w:w="1905"/>
          </w:tcPr>
          <w:p>
            <w:pPr>
              <w:spacing w:after="0"/>
            </w:pPr>
            <w:r/>
            <w:r>
              <w:rPr>
                <w:sz w:val="16"/>
              </w:rPr>
              <w:t xml:space="preserve">• </w:t>
            </w:r>
            <w:r>
              <w:rPr>
                <w:i/>
                <w:sz w:val="16"/>
              </w:rPr>
              <w:t>Makanan</w:t>
            </w:r>
          </w:p>
        </w:tc>
        <w:tc>
          <w:tcPr>
            <w:tcW w:type="dxa" w:w="1905"/>
          </w:tcPr>
          <w:p>
            <w:pPr>
              <w:spacing w:after="0"/>
            </w:pPr>
            <w:r/>
            <w:r>
              <w:rPr>
                <w:sz w:val="16"/>
              </w:rPr>
              <w:t>Konsumsi bahan pangan</w:t>
            </w:r>
          </w:p>
        </w:tc>
        <w:tc>
          <w:tcPr>
            <w:tcW w:type="dxa" w:w="1905"/>
          </w:tcPr>
          <w:p>
            <w:pPr>
              <w:spacing w:after="0"/>
            </w:pPr>
            <w:r/>
            <w:r>
              <w:rPr>
                <w:sz w:val="16"/>
              </w:rPr>
              <w:t>gram/hari</w:t>
            </w:r>
          </w:p>
        </w:tc>
        <w:tc>
          <w:tcPr>
            <w:tcW w:type="dxa" w:w="1905"/>
          </w:tcPr>
          <w:p>
            <w:pPr>
              <w:spacing w:after="0"/>
            </w:pPr>
            <w:r/>
            <w:r>
              <w:rPr>
                <w:sz w:val="16"/>
              </w:rPr>
              <w:t xml:space="preserve">Buah: </w:t>
            </w:r>
            <w:r>
              <w:rPr>
                <w:b/>
                <w:sz w:val="16"/>
              </w:rPr>
              <w:t>42 g/hari</w:t>
            </w:r>
            <w:r>
              <w:br/>
            </w:r>
            <w:r>
              <w:rPr>
                <w:sz w:val="16"/>
              </w:rPr>
              <w:t xml:space="preserve">Sayur: </w:t>
            </w:r>
            <w:r>
              <w:rPr>
                <w:b/>
                <w:sz w:val="16"/>
              </w:rPr>
              <w:t>80 g/hari</w:t>
            </w:r>
            <w:r>
              <w:br/>
            </w:r>
            <w:r>
              <w:rPr>
                <w:sz w:val="16"/>
              </w:rPr>
              <w:t xml:space="preserve">Ikan tangkapan: </w:t>
            </w:r>
            <w:r>
              <w:rPr>
                <w:b/>
                <w:sz w:val="16"/>
              </w:rPr>
              <w:t>54 g/hari</w:t>
            </w:r>
          </w:p>
        </w:tc>
        <w:tc>
          <w:tcPr>
            <w:tcW w:type="dxa" w:w="1905"/>
          </w:tcPr>
          <w:p>
            <w:pPr>
              <w:spacing w:after="0"/>
            </w:pPr>
            <w:r/>
            <w:r>
              <w:rPr>
                <w:sz w:val="16"/>
              </w:rPr>
              <w:t>Setara (US-EPA)</w:t>
            </w:r>
          </w:p>
        </w:tc>
      </w:tr>
      <w:tr>
        <w:tc>
          <w:tcPr>
            <w:tcW w:type="dxa" w:w="1905"/>
          </w:tcPr>
          <w:p>
            <w:pPr>
              <w:spacing w:after="0"/>
            </w:pPr>
            <w:r/>
            <w:r>
              <w:rPr>
                <w:b/>
                <w:sz w:val="16"/>
              </w:rPr>
              <w:t>t_E</w:t>
            </w:r>
          </w:p>
        </w:tc>
        <w:tc>
          <w:tcPr>
            <w:tcW w:type="dxa" w:w="1905"/>
          </w:tcPr>
          <w:p>
            <w:pPr>
              <w:spacing w:after="0"/>
            </w:pPr>
            <w:r/>
            <w:r>
              <w:rPr>
                <w:sz w:val="16"/>
              </w:rPr>
              <w:t>Waktu pajanan harian</w:t>
            </w:r>
          </w:p>
        </w:tc>
        <w:tc>
          <w:tcPr>
            <w:tcW w:type="dxa" w:w="1905"/>
          </w:tcPr>
          <w:p>
            <w:pPr>
              <w:spacing w:after="0"/>
            </w:pPr>
            <w:r/>
            <w:r>
              <w:rPr>
                <w:sz w:val="16"/>
              </w:rPr>
              <w:t>jam/hari</w:t>
            </w:r>
          </w:p>
        </w:tc>
        <w:tc>
          <w:tcPr>
            <w:tcW w:type="dxa" w:w="1905"/>
          </w:tcPr>
          <w:p>
            <w:pPr>
              <w:spacing w:after="0"/>
            </w:pPr>
            <w:r/>
            <w:r>
              <w:rPr>
                <w:sz w:val="16"/>
              </w:rPr>
              <w:t>Residensial: Sesuai observasi (sering dipakai 14–24 jam)</w:t>
            </w:r>
            <w:r>
              <w:br/>
            </w:r>
            <w:r>
              <w:rPr>
                <w:sz w:val="16"/>
              </w:rPr>
              <w:t xml:space="preserve">Kerja: </w:t>
            </w:r>
            <w:r>
              <w:rPr>
                <w:b/>
                <w:sz w:val="16"/>
              </w:rPr>
              <w:t>8 jam/hari</w:t>
            </w:r>
          </w:p>
        </w:tc>
        <w:tc>
          <w:tcPr>
            <w:tcW w:type="dxa" w:w="1905"/>
          </w:tcPr>
          <w:p>
            <w:pPr>
              <w:spacing w:after="0"/>
            </w:pPr>
            <w:r/>
            <w:r>
              <w:rPr>
                <w:sz w:val="16"/>
              </w:rPr>
              <w:t>8 jam/hari (Kerja)</w:t>
            </w:r>
          </w:p>
        </w:tc>
      </w:tr>
      <w:tr>
        <w:tc>
          <w:tcPr>
            <w:tcW w:type="dxa" w:w="1905"/>
          </w:tcPr>
          <w:p>
            <w:pPr>
              <w:spacing w:after="0"/>
            </w:pPr>
            <w:r/>
            <w:r>
              <w:rPr>
                <w:b/>
                <w:sz w:val="16"/>
              </w:rPr>
              <w:t>f_E</w:t>
            </w:r>
          </w:p>
        </w:tc>
        <w:tc>
          <w:tcPr>
            <w:tcW w:type="dxa" w:w="1905"/>
          </w:tcPr>
          <w:p>
            <w:pPr>
              <w:spacing w:after="0"/>
            </w:pPr>
            <w:r/>
            <w:r>
              <w:rPr>
                <w:sz w:val="16"/>
              </w:rPr>
              <w:t>Frekuensi pajanan</w:t>
            </w:r>
          </w:p>
        </w:tc>
        <w:tc>
          <w:tcPr>
            <w:tcW w:type="dxa" w:w="1905"/>
          </w:tcPr>
          <w:p>
            <w:pPr>
              <w:spacing w:after="0"/>
            </w:pPr>
            <w:r/>
            <w:r>
              <w:rPr>
                <w:sz w:val="16"/>
              </w:rPr>
              <w:t>hari/tahun</w:t>
            </w:r>
          </w:p>
        </w:tc>
        <w:tc>
          <w:tcPr>
            <w:tcW w:type="dxa" w:w="1905"/>
          </w:tcPr>
          <w:p>
            <w:pPr>
              <w:spacing w:after="0"/>
            </w:pPr>
            <w:r/>
            <w:r>
              <w:rPr>
                <w:b/>
                <w:sz w:val="16"/>
              </w:rPr>
              <w:t>350 hari/tahun</w:t>
            </w:r>
            <w:r>
              <w:rPr>
                <w:sz w:val="16"/>
              </w:rPr>
              <w:t xml:space="preserve"> (Pemukiman/Residensial)</w:t>
            </w:r>
            <w:r>
              <w:br/>
            </w:r>
            <w:r>
              <w:rPr>
                <w:b/>
                <w:sz w:val="16"/>
              </w:rPr>
              <w:t>250 hari/tahun</w:t>
            </w:r>
            <w:r>
              <w:rPr>
                <w:sz w:val="16"/>
              </w:rPr>
              <w:t xml:space="preserve"> (Lingkungan Kerja / Industri)</w:t>
            </w:r>
          </w:p>
        </w:tc>
        <w:tc>
          <w:tcPr>
            <w:tcW w:type="dxa" w:w="1905"/>
          </w:tcPr>
          <w:p>
            <w:pPr>
              <w:spacing w:after="0"/>
            </w:pPr>
            <w:r/>
            <w:r>
              <w:rPr>
                <w:sz w:val="16"/>
              </w:rPr>
              <w:t>350 hari/tahun (Residensial)</w:t>
            </w:r>
            <w:r>
              <w:br/>
            </w:r>
            <w:r>
              <w:rPr>
                <w:sz w:val="16"/>
              </w:rPr>
              <w:t>250 hari/tahun (Industri)</w:t>
            </w:r>
          </w:p>
        </w:tc>
      </w:tr>
      <w:tr>
        <w:tc>
          <w:tcPr>
            <w:tcW w:type="dxa" w:w="1905"/>
          </w:tcPr>
          <w:p>
            <w:pPr>
              <w:spacing w:after="0"/>
            </w:pPr>
            <w:r/>
            <w:r>
              <w:rPr>
                <w:b/>
                <w:sz w:val="16"/>
              </w:rPr>
              <w:t>D_t</w:t>
            </w:r>
          </w:p>
        </w:tc>
        <w:tc>
          <w:tcPr>
            <w:tcW w:type="dxa" w:w="1905"/>
          </w:tcPr>
          <w:p>
            <w:pPr>
              <w:spacing w:after="0"/>
            </w:pPr>
            <w:r/>
            <w:r>
              <w:rPr>
                <w:sz w:val="16"/>
              </w:rPr>
              <w:t>Durasi pajanan</w:t>
            </w:r>
          </w:p>
        </w:tc>
        <w:tc>
          <w:tcPr>
            <w:tcW w:type="dxa" w:w="1905"/>
          </w:tcPr>
          <w:p>
            <w:pPr>
              <w:spacing w:after="0"/>
            </w:pPr>
            <w:r/>
            <w:r>
              <w:rPr>
                <w:sz w:val="16"/>
              </w:rPr>
              <w:t>tahun</w:t>
            </w:r>
          </w:p>
        </w:tc>
        <w:tc>
          <w:tcPr>
            <w:tcW w:type="dxa" w:w="1905"/>
          </w:tcPr>
          <w:p>
            <w:pPr>
              <w:spacing w:after="0"/>
            </w:pPr>
            <w:r/>
            <w:r>
              <w:rPr>
                <w:sz w:val="16"/>
              </w:rPr>
              <w:t xml:space="preserve">Proyeksi seumur hidup: </w:t>
            </w:r>
            <w:r>
              <w:rPr>
                <w:b/>
                <w:sz w:val="16"/>
              </w:rPr>
              <w:t>30 tahun</w:t>
            </w:r>
            <w:r>
              <w:rPr>
                <w:sz w:val="16"/>
              </w:rPr>
              <w:t xml:space="preserve"> (Residensial)</w:t>
            </w:r>
            <w:r>
              <w:br/>
            </w:r>
            <w:r>
              <w:rPr>
                <w:b/>
                <w:sz w:val="16"/>
              </w:rPr>
              <w:t>25 tahun</w:t>
            </w:r>
            <w:r>
              <w:rPr>
                <w:sz w:val="16"/>
              </w:rPr>
              <w:t xml:space="preserve"> (Lingkungan Kerja)</w:t>
            </w:r>
            <w:r>
              <w:br/>
            </w:r>
            <w:r>
              <w:rPr>
                <w:sz w:val="16"/>
              </w:rPr>
              <w:t xml:space="preserve">Anak-anak: </w:t>
            </w:r>
            <w:r>
              <w:rPr>
                <w:b/>
                <w:sz w:val="16"/>
              </w:rPr>
              <w:t>6 tahun</w:t>
            </w:r>
            <w:r>
              <w:br/>
            </w:r>
            <w:r>
              <w:rPr>
                <w:sz w:val="16"/>
              </w:rPr>
              <w:t xml:space="preserve">Atau nilai </w:t>
            </w:r>
            <w:r>
              <w:rPr>
                <w:i/>
                <w:sz w:val="16"/>
              </w:rPr>
              <w:t>real time</w:t>
            </w:r>
            <w:r>
              <w:rPr>
                <w:sz w:val="16"/>
              </w:rPr>
              <w:t xml:space="preserve"> lama mukim/kerja</w:t>
            </w:r>
          </w:p>
        </w:tc>
        <w:tc>
          <w:tcPr>
            <w:tcW w:type="dxa" w:w="1905"/>
          </w:tcPr>
          <w:p>
            <w:pPr>
              <w:spacing w:after="0"/>
            </w:pPr>
            <w:r/>
            <w:r>
              <w:rPr>
                <w:sz w:val="16"/>
              </w:rPr>
              <w:t>30 tahun (Residensial)</w:t>
            </w:r>
            <w:r>
              <w:br/>
            </w:r>
            <w:r>
              <w:rPr>
                <w:sz w:val="16"/>
              </w:rPr>
              <w:t>25 tahun (Industri)</w:t>
            </w:r>
          </w:p>
        </w:tc>
      </w:tr>
      <w:tr>
        <w:tc>
          <w:tcPr>
            <w:tcW w:type="dxa" w:w="1905"/>
          </w:tcPr>
          <w:p>
            <w:pPr>
              <w:spacing w:after="0"/>
            </w:pPr>
            <w:r/>
            <w:r>
              <w:rPr>
                <w:b/>
                <w:sz w:val="16"/>
              </w:rPr>
              <w:t>W_b</w:t>
            </w:r>
          </w:p>
        </w:tc>
        <w:tc>
          <w:tcPr>
            <w:tcW w:type="dxa" w:w="1905"/>
          </w:tcPr>
          <w:p>
            <w:pPr>
              <w:spacing w:after="0"/>
            </w:pPr>
            <w:r/>
            <w:r>
              <w:rPr>
                <w:sz w:val="16"/>
              </w:rPr>
              <w:t>Berat badan populasi</w:t>
            </w:r>
          </w:p>
        </w:tc>
        <w:tc>
          <w:tcPr>
            <w:tcW w:type="dxa" w:w="1905"/>
          </w:tcPr>
          <w:p>
            <w:pPr>
              <w:spacing w:after="0"/>
            </w:pPr>
            <w:r/>
            <w:r>
              <w:rPr>
                <w:sz w:val="16"/>
              </w:rPr>
              <w:t>kg</w:t>
            </w:r>
          </w:p>
        </w:tc>
        <w:tc>
          <w:tcPr>
            <w:tcW w:type="dxa" w:w="1905"/>
          </w:tcPr>
          <w:p>
            <w:pPr>
              <w:spacing w:after="0"/>
            </w:pPr>
            <w:r/>
            <w:r>
              <w:rPr>
                <w:b/>
                <w:sz w:val="16"/>
              </w:rPr>
              <w:t>55 kg</w:t>
            </w:r>
            <w:r>
              <w:rPr>
                <w:sz w:val="16"/>
              </w:rPr>
              <w:t xml:space="preserve"> (Dewasa Indonesia / Asia)</w:t>
            </w:r>
            <w:r>
              <w:br/>
            </w:r>
            <w:r>
              <w:rPr>
                <w:b/>
                <w:sz w:val="16"/>
              </w:rPr>
              <w:t>15 kg</w:t>
            </w:r>
            <w:r>
              <w:rPr>
                <w:sz w:val="16"/>
              </w:rPr>
              <w:t xml:space="preserve"> (Anak-anak)</w:t>
            </w:r>
          </w:p>
        </w:tc>
        <w:tc>
          <w:tcPr>
            <w:tcW w:type="dxa" w:w="1905"/>
          </w:tcPr>
          <w:p>
            <w:pPr>
              <w:spacing w:after="0"/>
            </w:pPr>
            <w:r/>
            <w:r>
              <w:rPr>
                <w:b/>
                <w:sz w:val="16"/>
              </w:rPr>
              <w:t>70 kg</w:t>
            </w:r>
            <w:r>
              <w:rPr>
                <w:sz w:val="16"/>
              </w:rPr>
              <w:t xml:space="preserve"> (Dewasa Kaukasia)</w:t>
            </w:r>
            <w:r>
              <w:br/>
            </w:r>
            <w:r>
              <w:rPr>
                <w:sz w:val="16"/>
              </w:rPr>
              <w:t>15 kg (Anak-anak)</w:t>
            </w:r>
          </w:p>
        </w:tc>
      </w:tr>
      <w:tr>
        <w:tc>
          <w:tcPr>
            <w:tcW w:type="dxa" w:w="1905"/>
          </w:tcPr>
          <w:p>
            <w:pPr>
              <w:spacing w:after="0"/>
            </w:pPr>
            <w:r/>
            <w:r>
              <w:rPr>
                <w:b/>
                <w:sz w:val="16"/>
              </w:rPr>
              <w:t>t_(avg) / t_(avg(k))</w:t>
            </w:r>
          </w:p>
        </w:tc>
        <w:tc>
          <w:tcPr>
            <w:tcW w:type="dxa" w:w="1905"/>
          </w:tcPr>
          <w:p>
            <w:pPr>
              <w:spacing w:after="0"/>
            </w:pPr>
            <w:r/>
            <w:r>
              <w:rPr>
                <w:sz w:val="16"/>
              </w:rPr>
              <w:t>Periode waktu rata-rata</w:t>
            </w:r>
          </w:p>
        </w:tc>
        <w:tc>
          <w:tcPr>
            <w:tcW w:type="dxa" w:w="1905"/>
          </w:tcPr>
          <w:p>
            <w:pPr>
              <w:spacing w:after="0"/>
            </w:pPr>
            <w:r/>
            <w:r>
              <w:rPr>
                <w:sz w:val="16"/>
              </w:rPr>
              <w:t>hari</w:t>
            </w:r>
          </w:p>
        </w:tc>
        <w:tc>
          <w:tcPr>
            <w:tcW w:type="dxa" w:w="1905"/>
          </w:tcPr>
          <w:p>
            <w:pPr>
              <w:spacing w:after="0"/>
            </w:pPr>
            <w:r/>
            <w:r>
              <w:rPr>
                <w:sz w:val="16"/>
              </w:rPr>
              <w:t>Non-karsinogen: D_t × 365 hari</w:t>
            </w:r>
            <w:r>
              <w:br/>
            </w:r>
            <w:r>
              <w:rPr>
                <w:sz w:val="16"/>
              </w:rPr>
              <w:t>Karsinogen: 70 × 365 = 25.550 hari</w:t>
            </w:r>
          </w:p>
        </w:tc>
        <w:tc>
          <w:tcPr>
            <w:tcW w:type="dxa" w:w="1905"/>
          </w:tcPr>
          <w:p>
            <w:pPr>
              <w:spacing w:after="0"/>
            </w:pPr>
            <w:r/>
            <w:r>
              <w:rPr>
                <w:sz w:val="16"/>
              </w:rPr>
              <w:t>Setara (US-EPA)</w:t>
            </w:r>
          </w:p>
        </w:tc>
      </w:tr>
    </w:tbl>
    <w:p>
      <w:pPr>
        <w:spacing w:after="40"/>
      </w:pPr>
    </w:p>
    <w:p>
      <w:pPr>
        <w:pStyle w:val="Heading2"/>
      </w:pPr>
      <w:bookmarkStart w:id="118" w:name="toc_018"/>
      <w:r>
        <w:t>2.5 Regulasi lain (belum tercakup di notebook ini)</w:t>
      </w:r>
      <w:bookmarkEnd w:id="118"/>
    </w:p>
    <w:tbl>
      <w:tblPr>
        <w:tblStyle w:val="TableGrid"/>
        <w:tblW w:type="auto" w:w="0"/>
        <w:tblLook w:firstColumn="1" w:firstRow="1" w:lastColumn="0" w:lastRow="0" w:noHBand="0" w:noVBand="1" w:val="04A0"/>
      </w:tblPr>
      <w:tblGrid>
        <w:gridCol w:w="9524"/>
      </w:tblGrid>
      <w:tr>
        <w:tc>
          <w:tcPr>
            <w:tcW w:type="dxa" w:w="9524"/>
            <w:shd w:val="clear" w:color="auto" w:fill="FFF2CC"/>
          </w:tcPr>
          <w:p>
            <w:r/>
            <w:r>
              <w:rPr>
                <w:b/>
                <w:sz w:val="19"/>
              </w:rPr>
              <w:t>Perhatian status regulasi.</w:t>
            </w:r>
            <w:r>
              <w:rPr>
                <w:sz w:val="19"/>
              </w:rPr>
              <w:t xml:space="preserve"> Outline menyebut PP 88/2019 tentang Kesehatan Kerja. Menurut pembacaan NotebookLM atas PP 28/2024 (Pasal 1170), PP 88/2019 </w:t>
            </w:r>
            <w:r>
              <w:rPr>
                <w:b/>
                <w:sz w:val="19"/>
              </w:rPr>
              <w:t>dicabut dan dinyatakan tidak berlaku</w:t>
            </w:r>
            <w:r>
              <w:rPr>
                <w:sz w:val="19"/>
              </w:rPr>
              <w:t>; peraturan pelaksananya, termasuk Permenkes 11/2022, tetap berlaku sepanjang tidak bertentangan dengan PP 28/2024 (Pasal 1169 huruf w). Pengaturan kesehatan kerja kini berada di PP 28/2024 (Upaya Kesehatan Kerja, Pasal 232 sampai 244). Dasar: bagian 2.3. Mohon cek ulang pasal-pasalnya langsung pada PDF PP 28/2024 sebelum ujian.</w:t>
            </w:r>
          </w:p>
        </w:tc>
      </w:tr>
    </w:tbl>
    <w:p>
      <w:pPr>
        <w:spacing w:after="40"/>
      </w:pPr>
    </w:p>
    <w:p>
      <w:pPr>
        <w:pStyle w:val="ListBullet"/>
        <w:spacing w:after="20"/>
      </w:pPr>
      <w:r>
        <w:rPr>
          <w:b/>
        </w:rPr>
        <w:t>Permenkes 7/2019 (kesehatan lingkungan rumah sakit)</w:t>
      </w:r>
      <w:r>
        <w:rPr/>
        <w:t xml:space="preserve"> dan </w:t>
      </w:r>
      <w:r>
        <w:rPr>
          <w:b/>
        </w:rPr>
        <w:t>regulasi BPJS Ketenagakerjaan untuk PAK</w:t>
      </w:r>
      <w:r>
        <w:rPr/>
        <w:t>: tidak ada di notebook toksikologi logam berat ini. Perlu diisi dari sumber lain atau notebook lain.</w:t>
      </w:r>
    </w:p>
    <w:p>
      <w:pPr>
        <w:pStyle w:val="ListBullet"/>
        <w:spacing w:after="20"/>
      </w:pPr>
      <w:r>
        <w:rPr>
          <w:b/>
        </w:rPr>
        <w:t>Pegangan cepat:</w:t>
      </w:r>
      <w:r>
        <w:rPr/>
        <w:t xml:space="preserve"> NAB/lingkungan kerja = Permenaker 5/2018 (mencabut Permenakertrans 13/2011); daftar PAK dan hak JKK sampai 3 tahun setelah hubungan kerja berakhir = Perpres 7/2019; pelayanan PAK dan 7 langkah diagnosis = Permenkes 11/2022; ARKL = Pedoman Ditjen PP&amp;PL Kemenkes 2012.</w:t>
      </w:r>
    </w:p>
    <w:p>
      <w:r>
        <w:br w:type="page"/>
      </w:r>
    </w:p>
    <w:p>
      <w:pPr>
        <w:pStyle w:val="Heading1"/>
      </w:pPr>
      <w:bookmarkStart w:id="119" w:name="toc_019"/>
      <w:r>
        <w:t>3. BAGIAN TENGAH: TEMPLATE PER ZAT (3A. LOGAM BERAT)</w:t>
      </w:r>
      <w:bookmarkEnd w:id="119"/>
    </w:p>
    <w:p>
      <w:pPr>
        <w:spacing w:after="80"/>
      </w:pPr>
      <w:r>
        <w:rPr>
          <w:sz w:val="20"/>
        </w:rPr>
        <w:t xml:space="preserve">Setiap zat disusun mengikuti 15 poin template. Poin 1 sampai 8 ada di </w:t>
      </w:r>
      <w:r>
        <w:rPr>
          <w:b/>
          <w:sz w:val="20"/>
        </w:rPr>
        <w:t>Bagian A</w:t>
      </w:r>
      <w:r>
        <w:rPr>
          <w:sz w:val="20"/>
        </w:rPr>
        <w:t xml:space="preserve"> tiap zat; poin 9 sampai 13 plus clinical pearl ada di </w:t>
      </w:r>
      <w:r>
        <w:rPr>
          <w:b/>
          <w:sz w:val="20"/>
        </w:rPr>
        <w:t>Bagian B</w:t>
      </w:r>
      <w:r>
        <w:rPr>
          <w:sz w:val="20"/>
        </w:rPr>
        <w:t>. Poin 15 (tabel singkat per poin) disajikan sebagai Quick Table di bagian 5.</w:t>
      </w:r>
    </w:p>
    <w:tbl>
      <w:tblPr>
        <w:tblStyle w:val="TableGrid"/>
        <w:tblW w:type="auto" w:w="0"/>
        <w:tblLook w:firstColumn="1" w:firstRow="1" w:lastColumn="0" w:lastRow="0" w:noHBand="0" w:noVBand="1" w:val="04A0"/>
      </w:tblPr>
      <w:tblGrid>
        <w:gridCol w:w="3175"/>
        <w:gridCol w:w="3175"/>
        <w:gridCol w:w="3175"/>
      </w:tblGrid>
      <w:tr>
        <w:tc>
          <w:tcPr>
            <w:tcW w:type="dxa" w:w="680"/>
            <w:shd w:val="clear" w:color="auto" w:fill="DCE6F1"/>
          </w:tcPr>
          <w:p>
            <w:pPr>
              <w:spacing w:after="0"/>
            </w:pPr>
            <w:r/>
            <w:r>
              <w:rPr>
                <w:b/>
                <w:sz w:val="18"/>
              </w:rPr>
              <w:t>No</w:t>
            </w:r>
          </w:p>
        </w:tc>
        <w:tc>
          <w:tcPr>
            <w:tcW w:type="dxa" w:w="6520"/>
            <w:shd w:val="clear" w:color="auto" w:fill="DCE6F1"/>
          </w:tcPr>
          <w:p>
            <w:pPr>
              <w:spacing w:after="0"/>
            </w:pPr>
            <w:r/>
            <w:r>
              <w:rPr>
                <w:b/>
                <w:sz w:val="18"/>
              </w:rPr>
              <w:t>Poin template</w:t>
            </w:r>
          </w:p>
        </w:tc>
        <w:tc>
          <w:tcPr>
            <w:tcW w:type="dxa" w:w="2381"/>
            <w:shd w:val="clear" w:color="auto" w:fill="DCE6F1"/>
          </w:tcPr>
          <w:p>
            <w:pPr>
              <w:spacing w:after="0"/>
            </w:pPr>
            <w:r/>
            <w:r>
              <w:rPr>
                <w:b/>
                <w:sz w:val="18"/>
              </w:rPr>
              <w:t>Letak</w:t>
            </w:r>
          </w:p>
        </w:tc>
      </w:tr>
      <w:tr>
        <w:tc>
          <w:tcPr>
            <w:tcW w:type="dxa" w:w="680"/>
          </w:tcPr>
          <w:p>
            <w:pPr>
              <w:spacing w:after="0"/>
            </w:pPr>
            <w:r/>
            <w:r>
              <w:rPr>
                <w:sz w:val="18"/>
              </w:rPr>
              <w:t>1</w:t>
            </w:r>
          </w:p>
        </w:tc>
        <w:tc>
          <w:tcPr>
            <w:tcW w:type="dxa" w:w="6520"/>
          </w:tcPr>
          <w:p>
            <w:pPr>
              <w:spacing w:after="0"/>
            </w:pPr>
            <w:r/>
            <w:r>
              <w:rPr>
                <w:sz w:val="18"/>
              </w:rPr>
              <w:t>Sifat fisik dan kimia / klasifikasi</w:t>
            </w:r>
          </w:p>
        </w:tc>
        <w:tc>
          <w:tcPr>
            <w:tcW w:type="dxa" w:w="2381"/>
          </w:tcPr>
          <w:p>
            <w:pPr>
              <w:spacing w:after="0"/>
            </w:pPr>
            <w:r/>
            <w:r>
              <w:rPr>
                <w:sz w:val="18"/>
              </w:rPr>
              <w:t>Bagian A</w:t>
            </w:r>
          </w:p>
        </w:tc>
      </w:tr>
      <w:tr>
        <w:tc>
          <w:tcPr>
            <w:tcW w:type="dxa" w:w="680"/>
          </w:tcPr>
          <w:p>
            <w:pPr>
              <w:spacing w:after="0"/>
            </w:pPr>
            <w:r/>
            <w:r>
              <w:rPr>
                <w:sz w:val="18"/>
              </w:rPr>
              <w:t>2</w:t>
            </w:r>
          </w:p>
        </w:tc>
        <w:tc>
          <w:tcPr>
            <w:tcW w:type="dxa" w:w="6520"/>
          </w:tcPr>
          <w:p>
            <w:pPr>
              <w:spacing w:after="0"/>
            </w:pPr>
            <w:r/>
            <w:r>
              <w:rPr>
                <w:sz w:val="18"/>
              </w:rPr>
              <w:t>Sumber (penggunaan industri)</w:t>
            </w:r>
          </w:p>
        </w:tc>
        <w:tc>
          <w:tcPr>
            <w:tcW w:type="dxa" w:w="2381"/>
          </w:tcPr>
          <w:p>
            <w:pPr>
              <w:spacing w:after="0"/>
            </w:pPr>
            <w:r/>
            <w:r>
              <w:rPr>
                <w:sz w:val="18"/>
              </w:rPr>
              <w:t>Bagian A</w:t>
            </w:r>
          </w:p>
        </w:tc>
      </w:tr>
      <w:tr>
        <w:tc>
          <w:tcPr>
            <w:tcW w:type="dxa" w:w="680"/>
          </w:tcPr>
          <w:p>
            <w:pPr>
              <w:spacing w:after="0"/>
            </w:pPr>
            <w:r/>
            <w:r>
              <w:rPr>
                <w:sz w:val="18"/>
              </w:rPr>
              <w:t>3</w:t>
            </w:r>
          </w:p>
        </w:tc>
        <w:tc>
          <w:tcPr>
            <w:tcW w:type="dxa" w:w="6520"/>
          </w:tcPr>
          <w:p>
            <w:pPr>
              <w:spacing w:after="0"/>
            </w:pPr>
            <w:r/>
            <w:r>
              <w:rPr>
                <w:sz w:val="18"/>
              </w:rPr>
              <w:t>Toksikokinetik (absorpsi, distribusi, metabolisme, ekskresi)</w:t>
            </w:r>
          </w:p>
        </w:tc>
        <w:tc>
          <w:tcPr>
            <w:tcW w:type="dxa" w:w="2381"/>
          </w:tcPr>
          <w:p>
            <w:pPr>
              <w:spacing w:after="0"/>
            </w:pPr>
            <w:r/>
            <w:r>
              <w:rPr>
                <w:sz w:val="18"/>
              </w:rPr>
              <w:t>Bagian A</w:t>
            </w:r>
          </w:p>
        </w:tc>
      </w:tr>
      <w:tr>
        <w:tc>
          <w:tcPr>
            <w:tcW w:type="dxa" w:w="680"/>
          </w:tcPr>
          <w:p>
            <w:pPr>
              <w:spacing w:after="0"/>
            </w:pPr>
            <w:r/>
            <w:r>
              <w:rPr>
                <w:sz w:val="18"/>
              </w:rPr>
              <w:t>4</w:t>
            </w:r>
          </w:p>
        </w:tc>
        <w:tc>
          <w:tcPr>
            <w:tcW w:type="dxa" w:w="6520"/>
          </w:tcPr>
          <w:p>
            <w:pPr>
              <w:spacing w:after="0"/>
            </w:pPr>
            <w:r/>
            <w:r>
              <w:rPr>
                <w:sz w:val="18"/>
              </w:rPr>
              <w:t>Toksikodinamik</w:t>
            </w:r>
          </w:p>
        </w:tc>
        <w:tc>
          <w:tcPr>
            <w:tcW w:type="dxa" w:w="2381"/>
          </w:tcPr>
          <w:p>
            <w:pPr>
              <w:spacing w:after="0"/>
            </w:pPr>
            <w:r/>
            <w:r>
              <w:rPr>
                <w:sz w:val="18"/>
              </w:rPr>
              <w:t>Bagian A</w:t>
            </w:r>
          </w:p>
        </w:tc>
      </w:tr>
      <w:tr>
        <w:tc>
          <w:tcPr>
            <w:tcW w:type="dxa" w:w="680"/>
          </w:tcPr>
          <w:p>
            <w:pPr>
              <w:spacing w:after="0"/>
            </w:pPr>
            <w:r/>
            <w:r>
              <w:rPr>
                <w:sz w:val="18"/>
              </w:rPr>
              <w:t>5</w:t>
            </w:r>
          </w:p>
        </w:tc>
        <w:tc>
          <w:tcPr>
            <w:tcW w:type="dxa" w:w="6520"/>
          </w:tcPr>
          <w:p>
            <w:pPr>
              <w:spacing w:after="0"/>
            </w:pPr>
            <w:r/>
            <w:r>
              <w:rPr>
                <w:sz w:val="18"/>
              </w:rPr>
              <w:t>Biomonitoring: biomarker darah/urin dan waktu sampling</w:t>
            </w:r>
          </w:p>
        </w:tc>
        <w:tc>
          <w:tcPr>
            <w:tcW w:type="dxa" w:w="2381"/>
          </w:tcPr>
          <w:p>
            <w:pPr>
              <w:spacing w:after="0"/>
            </w:pPr>
            <w:r/>
            <w:r>
              <w:rPr>
                <w:sz w:val="18"/>
              </w:rPr>
              <w:t>Bagian A</w:t>
            </w:r>
          </w:p>
        </w:tc>
      </w:tr>
      <w:tr>
        <w:tc>
          <w:tcPr>
            <w:tcW w:type="dxa" w:w="680"/>
          </w:tcPr>
          <w:p>
            <w:pPr>
              <w:spacing w:after="0"/>
            </w:pPr>
            <w:r/>
            <w:r>
              <w:rPr>
                <w:sz w:val="18"/>
              </w:rPr>
              <w:t>6</w:t>
            </w:r>
          </w:p>
        </w:tc>
        <w:tc>
          <w:tcPr>
            <w:tcW w:type="dxa" w:w="6520"/>
          </w:tcPr>
          <w:p>
            <w:pPr>
              <w:spacing w:after="0"/>
            </w:pPr>
            <w:r/>
            <w:r>
              <w:rPr>
                <w:sz w:val="18"/>
              </w:rPr>
              <w:t>Waktu paruh (T1/2)</w:t>
            </w:r>
          </w:p>
        </w:tc>
        <w:tc>
          <w:tcPr>
            <w:tcW w:type="dxa" w:w="2381"/>
          </w:tcPr>
          <w:p>
            <w:pPr>
              <w:spacing w:after="0"/>
            </w:pPr>
            <w:r/>
            <w:r>
              <w:rPr>
                <w:sz w:val="18"/>
              </w:rPr>
              <w:t>Bagian A</w:t>
            </w:r>
          </w:p>
        </w:tc>
      </w:tr>
      <w:tr>
        <w:tc>
          <w:tcPr>
            <w:tcW w:type="dxa" w:w="680"/>
          </w:tcPr>
          <w:p>
            <w:pPr>
              <w:spacing w:after="0"/>
            </w:pPr>
            <w:r/>
            <w:r>
              <w:rPr>
                <w:sz w:val="18"/>
              </w:rPr>
              <w:t>7</w:t>
            </w:r>
          </w:p>
        </w:tc>
        <w:tc>
          <w:tcPr>
            <w:tcW w:type="dxa" w:w="6520"/>
          </w:tcPr>
          <w:p>
            <w:pPr>
              <w:spacing w:after="0"/>
            </w:pPr>
            <w:r/>
            <w:r>
              <w:rPr>
                <w:sz w:val="18"/>
              </w:rPr>
              <w:t>Efek biologis akut</w:t>
            </w:r>
          </w:p>
        </w:tc>
        <w:tc>
          <w:tcPr>
            <w:tcW w:type="dxa" w:w="2381"/>
          </w:tcPr>
          <w:p>
            <w:pPr>
              <w:spacing w:after="0"/>
            </w:pPr>
            <w:r/>
            <w:r>
              <w:rPr>
                <w:sz w:val="18"/>
              </w:rPr>
              <w:t>Bagian A</w:t>
            </w:r>
          </w:p>
        </w:tc>
      </w:tr>
      <w:tr>
        <w:tc>
          <w:tcPr>
            <w:tcW w:type="dxa" w:w="680"/>
          </w:tcPr>
          <w:p>
            <w:pPr>
              <w:spacing w:after="0"/>
            </w:pPr>
            <w:r/>
            <w:r>
              <w:rPr>
                <w:sz w:val="18"/>
              </w:rPr>
              <w:t>8</w:t>
            </w:r>
          </w:p>
        </w:tc>
        <w:tc>
          <w:tcPr>
            <w:tcW w:type="dxa" w:w="6520"/>
          </w:tcPr>
          <w:p>
            <w:pPr>
              <w:spacing w:after="0"/>
            </w:pPr>
            <w:r/>
            <w:r>
              <w:rPr>
                <w:sz w:val="18"/>
              </w:rPr>
              <w:t>Efek biologis kronis</w:t>
            </w:r>
          </w:p>
        </w:tc>
        <w:tc>
          <w:tcPr>
            <w:tcW w:type="dxa" w:w="2381"/>
          </w:tcPr>
          <w:p>
            <w:pPr>
              <w:spacing w:after="0"/>
            </w:pPr>
            <w:r/>
            <w:r>
              <w:rPr>
                <w:sz w:val="18"/>
              </w:rPr>
              <w:t>Bagian A</w:t>
            </w:r>
          </w:p>
        </w:tc>
      </w:tr>
      <w:tr>
        <w:tc>
          <w:tcPr>
            <w:tcW w:type="dxa" w:w="680"/>
          </w:tcPr>
          <w:p>
            <w:pPr>
              <w:spacing w:after="0"/>
            </w:pPr>
            <w:r/>
            <w:r>
              <w:rPr>
                <w:sz w:val="18"/>
              </w:rPr>
              <w:t>9</w:t>
            </w:r>
          </w:p>
        </w:tc>
        <w:tc>
          <w:tcPr>
            <w:tcW w:type="dxa" w:w="6520"/>
          </w:tcPr>
          <w:p>
            <w:pPr>
              <w:spacing w:after="0"/>
            </w:pPr>
            <w:r/>
            <w:r>
              <w:rPr>
                <w:sz w:val="18"/>
              </w:rPr>
              <w:t>Standar exposure limit (TLV, NAB)</w:t>
            </w:r>
          </w:p>
        </w:tc>
        <w:tc>
          <w:tcPr>
            <w:tcW w:type="dxa" w:w="2381"/>
          </w:tcPr>
          <w:p>
            <w:pPr>
              <w:spacing w:after="0"/>
            </w:pPr>
            <w:r/>
            <w:r>
              <w:rPr>
                <w:sz w:val="18"/>
              </w:rPr>
              <w:t>Bagian B</w:t>
            </w:r>
          </w:p>
        </w:tc>
      </w:tr>
      <w:tr>
        <w:tc>
          <w:tcPr>
            <w:tcW w:type="dxa" w:w="680"/>
          </w:tcPr>
          <w:p>
            <w:pPr>
              <w:spacing w:after="0"/>
            </w:pPr>
            <w:r/>
            <w:r>
              <w:rPr>
                <w:sz w:val="18"/>
              </w:rPr>
              <w:t>10</w:t>
            </w:r>
          </w:p>
        </w:tc>
        <w:tc>
          <w:tcPr>
            <w:tcW w:type="dxa" w:w="6520"/>
          </w:tcPr>
          <w:p>
            <w:pPr>
              <w:spacing w:after="0"/>
            </w:pPr>
            <w:r/>
            <w:r>
              <w:rPr>
                <w:sz w:val="18"/>
              </w:rPr>
              <w:t>Standar BEI / IPB</w:t>
            </w:r>
          </w:p>
        </w:tc>
        <w:tc>
          <w:tcPr>
            <w:tcW w:type="dxa" w:w="2381"/>
          </w:tcPr>
          <w:p>
            <w:pPr>
              <w:spacing w:after="0"/>
            </w:pPr>
            <w:r/>
            <w:r>
              <w:rPr>
                <w:sz w:val="18"/>
              </w:rPr>
              <w:t>Bagian B</w:t>
            </w:r>
          </w:p>
        </w:tc>
      </w:tr>
      <w:tr>
        <w:tc>
          <w:tcPr>
            <w:tcW w:type="dxa" w:w="680"/>
          </w:tcPr>
          <w:p>
            <w:pPr>
              <w:spacing w:after="0"/>
            </w:pPr>
            <w:r/>
            <w:r>
              <w:rPr>
                <w:sz w:val="18"/>
              </w:rPr>
              <w:t>11</w:t>
            </w:r>
          </w:p>
        </w:tc>
        <w:tc>
          <w:tcPr>
            <w:tcW w:type="dxa" w:w="6520"/>
          </w:tcPr>
          <w:p>
            <w:pPr>
              <w:spacing w:after="0"/>
            </w:pPr>
            <w:r/>
            <w:r>
              <w:rPr>
                <w:sz w:val="18"/>
              </w:rPr>
              <w:t>Tatalaksana akut/keracunan (termasuk antidotum)</w:t>
            </w:r>
          </w:p>
        </w:tc>
        <w:tc>
          <w:tcPr>
            <w:tcW w:type="dxa" w:w="2381"/>
          </w:tcPr>
          <w:p>
            <w:pPr>
              <w:spacing w:after="0"/>
            </w:pPr>
            <w:r/>
            <w:r>
              <w:rPr>
                <w:sz w:val="18"/>
              </w:rPr>
              <w:t>Bagian B</w:t>
            </w:r>
          </w:p>
        </w:tc>
      </w:tr>
      <w:tr>
        <w:tc>
          <w:tcPr>
            <w:tcW w:type="dxa" w:w="680"/>
          </w:tcPr>
          <w:p>
            <w:pPr>
              <w:spacing w:after="0"/>
            </w:pPr>
            <w:r/>
            <w:r>
              <w:rPr>
                <w:sz w:val="18"/>
              </w:rPr>
              <w:t>12</w:t>
            </w:r>
          </w:p>
        </w:tc>
        <w:tc>
          <w:tcPr>
            <w:tcW w:type="dxa" w:w="6520"/>
          </w:tcPr>
          <w:p>
            <w:pPr>
              <w:spacing w:after="0"/>
            </w:pPr>
            <w:r/>
            <w:r>
              <w:rPr>
                <w:sz w:val="18"/>
              </w:rPr>
              <w:t>Tatalaksana individu dan komunitas (7 langkah PAK, kelaikan kerja, rekomendasi manajemen)</w:t>
            </w:r>
          </w:p>
        </w:tc>
        <w:tc>
          <w:tcPr>
            <w:tcW w:type="dxa" w:w="2381"/>
          </w:tcPr>
          <w:p>
            <w:pPr>
              <w:spacing w:after="0"/>
            </w:pPr>
            <w:r/>
            <w:r>
              <w:rPr>
                <w:sz w:val="18"/>
              </w:rPr>
              <w:t>Bagian B</w:t>
            </w:r>
          </w:p>
        </w:tc>
      </w:tr>
      <w:tr>
        <w:tc>
          <w:tcPr>
            <w:tcW w:type="dxa" w:w="680"/>
          </w:tcPr>
          <w:p>
            <w:pPr>
              <w:spacing w:after="0"/>
            </w:pPr>
            <w:r/>
            <w:r>
              <w:rPr>
                <w:sz w:val="18"/>
              </w:rPr>
              <w:t>13</w:t>
            </w:r>
          </w:p>
        </w:tc>
        <w:tc>
          <w:tcPr>
            <w:tcW w:type="dxa" w:w="6520"/>
          </w:tcPr>
          <w:p>
            <w:pPr>
              <w:spacing w:after="0"/>
            </w:pPr>
            <w:r/>
            <w:r>
              <w:rPr>
                <w:sz w:val="18"/>
              </w:rPr>
              <w:t>Keterangan lain (karsinogenitas, NAB udara, dst.)</w:t>
            </w:r>
          </w:p>
        </w:tc>
        <w:tc>
          <w:tcPr>
            <w:tcW w:type="dxa" w:w="2381"/>
          </w:tcPr>
          <w:p>
            <w:pPr>
              <w:spacing w:after="0"/>
            </w:pPr>
            <w:r/>
            <w:r>
              <w:rPr>
                <w:sz w:val="18"/>
              </w:rPr>
              <w:t>Bagian B</w:t>
            </w:r>
          </w:p>
        </w:tc>
      </w:tr>
      <w:tr>
        <w:tc>
          <w:tcPr>
            <w:tcW w:type="dxa" w:w="680"/>
          </w:tcPr>
          <w:p>
            <w:pPr>
              <w:spacing w:after="0"/>
            </w:pPr>
            <w:r/>
            <w:r>
              <w:rPr>
                <w:sz w:val="18"/>
              </w:rPr>
              <w:t>14</w:t>
            </w:r>
          </w:p>
        </w:tc>
        <w:tc>
          <w:tcPr>
            <w:tcW w:type="dxa" w:w="6520"/>
          </w:tcPr>
          <w:p>
            <w:pPr>
              <w:spacing w:after="0"/>
            </w:pPr>
            <w:r/>
            <w:r>
              <w:rPr>
                <w:sz w:val="18"/>
              </w:rPr>
              <w:t>Clinical pearl dan jebakan ujian</w:t>
            </w:r>
          </w:p>
        </w:tc>
        <w:tc>
          <w:tcPr>
            <w:tcW w:type="dxa" w:w="2381"/>
          </w:tcPr>
          <w:p>
            <w:pPr>
              <w:spacing w:after="0"/>
            </w:pPr>
            <w:r/>
            <w:r>
              <w:rPr>
                <w:sz w:val="18"/>
              </w:rPr>
              <w:t>Bagian B (akhir)</w:t>
            </w:r>
          </w:p>
        </w:tc>
      </w:tr>
      <w:tr>
        <w:tc>
          <w:tcPr>
            <w:tcW w:type="dxa" w:w="680"/>
          </w:tcPr>
          <w:p>
            <w:pPr>
              <w:spacing w:after="0"/>
            </w:pPr>
            <w:r/>
            <w:r>
              <w:rPr>
                <w:sz w:val="18"/>
              </w:rPr>
              <w:t>15</w:t>
            </w:r>
          </w:p>
        </w:tc>
        <w:tc>
          <w:tcPr>
            <w:tcW w:type="dxa" w:w="6520"/>
          </w:tcPr>
          <w:p>
            <w:pPr>
              <w:spacing w:after="0"/>
            </w:pPr>
            <w:r/>
            <w:r>
              <w:rPr>
                <w:sz w:val="18"/>
              </w:rPr>
              <w:t>Tabel singkat per poin</w:t>
            </w:r>
          </w:p>
        </w:tc>
        <w:tc>
          <w:tcPr>
            <w:tcW w:type="dxa" w:w="2381"/>
          </w:tcPr>
          <w:p>
            <w:pPr>
              <w:spacing w:after="0"/>
            </w:pPr>
            <w:r/>
            <w:r>
              <w:rPr>
                <w:sz w:val="18"/>
              </w:rPr>
              <w:t>Bagian 5 (Quick Table)</w:t>
            </w:r>
          </w:p>
        </w:tc>
      </w:tr>
    </w:tbl>
    <w:p>
      <w:pPr>
        <w:spacing w:after="40"/>
      </w:pPr>
    </w:p>
    <w:tbl>
      <w:tblPr>
        <w:tblStyle w:val="TableGrid"/>
        <w:tblW w:type="auto" w:w="0"/>
        <w:tblLook w:firstColumn="1" w:firstRow="1" w:lastColumn="0" w:lastRow="0" w:noHBand="0" w:noVBand="1" w:val="04A0"/>
      </w:tblPr>
      <w:tblGrid>
        <w:gridCol w:w="9524"/>
      </w:tblGrid>
      <w:tr>
        <w:tc>
          <w:tcPr>
            <w:tcW w:type="dxa" w:w="9524"/>
            <w:shd w:val="clear" w:color="auto" w:fill="FDE9D9"/>
          </w:tcPr>
          <w:p>
            <w:r/>
            <w:r>
              <w:rPr>
                <w:b/>
                <w:sz w:val="19"/>
              </w:rPr>
              <w:t>Jebakan lintas-zat yang perlu diingat.</w:t>
            </w:r>
            <w:r>
              <w:rPr>
                <w:sz w:val="19"/>
              </w:rPr>
              <w:t xml:space="preserve"> Angka NAB dan IPB Permenaker 5/2018 sering lebih tua daripada TLV/BEI ACGIH edisi terbaru (contoh: Cr VI larut air, NAB Permenaker 0,05 mg/m3 vs TLV-TWA ACGIH 0,0002 mg/m3). Saat ujian, sebutkan keduanya dan nyatakan mana yang menjadi acuan yuridis di Indonesia.</w:t>
            </w:r>
          </w:p>
        </w:tc>
      </w:tr>
    </w:tbl>
    <w:p>
      <w:pPr>
        <w:spacing w:after="40"/>
      </w:pPr>
    </w:p>
    <w:p>
      <w:r>
        <w:br w:type="page"/>
      </w:r>
    </w:p>
    <w:p>
      <w:pPr>
        <w:pStyle w:val="Heading2"/>
      </w:pPr>
      <w:bookmarkStart w:id="120" w:name="toc_020"/>
      <w:r>
        <w:t>3A.1 Kromium (Cr VI vs Cr III)</w:t>
      </w:r>
      <w:bookmarkEnd w:id="120"/>
    </w:p>
    <w:p>
      <w:pPr>
        <w:pStyle w:val="Heading3"/>
      </w:pPr>
      <w:r>
        <w:t>1. Sifat Fisik-Kimia dan Klasifikasi</w:t>
      </w:r>
    </w:p>
    <w:p>
      <w:pPr>
        <w:spacing w:after="80"/>
      </w:pPr>
      <w:r>
        <w:rPr/>
        <w:t xml:space="preserve">Kromium (Cr, nomor atom 24) adalah unsur logam transisi yang dapat berada dalam berbagai tingkat oksidasi mulai dari </w:t>
      </w:r>
      <w:r>
        <w:rPr>
          <w:b/>
        </w:rPr>
        <w:t>-2 hingga +6</w:t>
      </w:r>
      <w:r>
        <w:rPr/>
        <w:t xml:space="preserve">. Namun, dalam konteks kimiawi lingkungan dan toksikologi okupasi, hanya dua tingkat valensi yang memiliki signifikansi biologis utama: </w:t>
      </w:r>
      <w:r>
        <w:rPr>
          <w:b/>
        </w:rPr>
        <w:t>Kromium Trivalen [Cr(III)]</w:t>
      </w:r>
      <w:r>
        <w:rPr/>
        <w:t xml:space="preserve"> dan </w:t>
      </w:r>
      <w:r>
        <w:rPr>
          <w:b/>
        </w:rPr>
        <w:t>Kromium Heksavalen [Cr(VI)]</w:t>
      </w:r>
      <w:r>
        <w:rPr/>
        <w:t xml:space="preserve">, di samping bentuk unsur bebasnya </w:t>
      </w:r>
      <w:r>
        <w:rPr>
          <w:b/>
        </w:rPr>
        <w:t>Kromium Elemental [Cr(0)]</w:t>
      </w:r>
      <w:r>
        <w:rPr/>
        <w:t>.</w:t>
      </w:r>
    </w:p>
    <w:p>
      <w:pPr>
        <w:spacing w:after="120"/>
        <w:ind w:left="170"/>
      </w:pPr>
      <w:r>
        <w:rPr>
          <w:rFonts w:ascii="Consolas" w:hAnsi="Consolas" w:eastAsia="Consolas"/>
          <w:sz w:val="13"/>
        </w:rPr>
        <w:t xml:space="preserve">                                [ SPECTRUM VALENSI KROMIUM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KROMIUM ELEMENTAL / Cr(0) ]       [ KROMIUM TRIVALEN / Cr(III) ]       [ KROMIUM HEKSAVALEN / Cr(VI) ]</w:t>
      </w:r>
      <w:r>
        <w:br/>
      </w:r>
      <w:r>
        <w:rPr>
          <w:rFonts w:ascii="Consolas" w:hAnsi="Consolas" w:eastAsia="Consolas"/>
          <w:sz w:val="13"/>
        </w:rPr>
        <w:t>• Bilangan Oksidasi: 0               • Bilangan Oksidasi: +3              • Bilangan Oksidasi: +6</w:t>
      </w:r>
      <w:r>
        <w:br/>
      </w:r>
      <w:r>
        <w:rPr>
          <w:rFonts w:ascii="Consolas" w:hAnsi="Consolas" w:eastAsia="Consolas"/>
          <w:sz w:val="13"/>
        </w:rPr>
        <w:t>• Padatan abu-abu baja keras         • Bentuk paling stabil di alam       • Sangat jarang di alam; produk industri</w:t>
      </w:r>
      <w:r>
        <w:br/>
      </w:r>
      <w:r>
        <w:rPr>
          <w:rFonts w:ascii="Consolas" w:hAnsi="Consolas" w:eastAsia="Consolas"/>
          <w:sz w:val="13"/>
        </w:rPr>
        <w:t>• Titik lebur tinggi (~1900°C)       • Nutrien esensial (jejak)           • Oksidator kuat, toksik &amp; karsinogenik</w:t>
      </w:r>
      <w:r>
        <w:br/>
      </w:r>
      <w:r>
        <w:rPr>
          <w:rFonts w:ascii="Consolas" w:hAnsi="Consolas" w:eastAsia="Consolas"/>
          <w:sz w:val="13"/>
        </w:rPr>
        <w:t>• Logam murni &amp; paduan alloy         • Muatan kation terhidrasi besar     • Bentuk anion oksi: CrO4^2- &amp; HCrO4^-</w:t>
      </w:r>
      <w:r>
        <w:br/>
      </w:r>
      <w:r>
        <w:rPr>
          <w:rFonts w:ascii="Consolas" w:hAnsi="Consolas" w:eastAsia="Consolas"/>
          <w:sz w:val="13"/>
        </w:rPr>
        <w:t>• Permeabilitas membran: NIHIL       • Permeabilitas membran: SANGAT RENDAH• Permeabilitas membran: SANGAT TINGGI</w:t>
      </w:r>
    </w:p>
    <w:p>
      <w:pPr>
        <w:pStyle w:val="Heading4"/>
      </w:pPr>
      <w:r>
        <w:t>a. Karakteristik Tiga Bentuk Valensi Utama</w:t>
      </w:r>
    </w:p>
    <w:p>
      <w:pPr>
        <w:spacing w:after="40"/>
        <w:ind w:left="340" w:hanging="283"/>
      </w:pPr>
      <w:r>
        <w:rPr/>
        <w:t xml:space="preserve">1. </w:t>
      </w:r>
      <w:r>
        <w:rPr>
          <w:b/>
        </w:rPr>
        <w:t>Kromium Elemental [Cr(0)] (CAS 7440-47-3):</w:t>
      </w:r>
    </w:p>
    <w:p>
      <w:pPr>
        <w:spacing w:after="80"/>
      </w:pPr>
      <w:r>
        <w:rPr/>
        <w:t>Berupa padatan logam berwarna abu-abu baja berkilau, keras, dan tahan korosi. Digunakan dalam pembuatan paduan logam baja tahan karat (</w:t>
      </w:r>
      <w:r>
        <w:rPr>
          <w:i/>
        </w:rPr>
        <w:t>stainless steel</w:t>
      </w:r>
      <w:r>
        <w:rPr/>
        <w:t>). Logam murni ini secara biologis bersifat lembam (</w:t>
      </w:r>
      <w:r>
        <w:rPr>
          <w:i/>
        </w:rPr>
        <w:t>inert</w:t>
      </w:r>
      <w:r>
        <w:rPr/>
        <w:t>) dan tidak mampu menembus membran sel tanpa proses pelarutan atau ionisasi.</w:t>
      </w:r>
    </w:p>
    <w:p>
      <w:pPr>
        <w:spacing w:after="40"/>
        <w:ind w:left="340" w:hanging="283"/>
      </w:pPr>
      <w:r>
        <w:rPr/>
        <w:t xml:space="preserve">2. </w:t>
      </w:r>
      <w:r>
        <w:rPr>
          <w:b/>
        </w:rPr>
        <w:t>Kromium Trivalen [Cr(III)]:</w:t>
      </w:r>
    </w:p>
    <w:p>
      <w:pPr>
        <w:spacing w:after="80"/>
      </w:pPr>
      <w:r>
        <w:rPr/>
        <w:t xml:space="preserve">Merupakan bentuk oksidasi yang paling melimpah dan stabil secara termodinamika di alam. Pada tingkat fisiologis rendah, Cr(III) berperan sebagai mikronutrien esensial dalam metabolisme glukosa dan lipid. Dalam larutan berair, Cr(III) berada sebagai kation berkoordinasi heksahedral (oktahedral) dengan molekul air atau ligan hidroksil yang bermuatan positif. Muatan dan radius hidrasi yang besar ini menyebabkan </w:t>
      </w:r>
      <w:r>
        <w:rPr>
          <w:b/>
        </w:rPr>
        <w:t>Cr(III) tidak dapat melintasi membran sel biologis secara difusi pasif</w:t>
      </w:r>
      <w:r>
        <w:rPr/>
        <w:t>.</w:t>
      </w:r>
    </w:p>
    <w:p>
      <w:pPr>
        <w:spacing w:after="40"/>
        <w:ind w:left="340" w:hanging="283"/>
      </w:pPr>
      <w:r>
        <w:rPr/>
        <w:t xml:space="preserve">3. </w:t>
      </w:r>
      <w:r>
        <w:rPr>
          <w:b/>
        </w:rPr>
        <w:t>Kromium Heksavalen [Cr(VI)]:</w:t>
      </w:r>
    </w:p>
    <w:p>
      <w:pPr>
        <w:spacing w:after="80"/>
      </w:pPr>
      <w:r>
        <w:rPr/>
        <w:t xml:space="preserve">Merupakan tingkat oksidasi kedua paling stabil, namun </w:t>
      </w:r>
      <w:r>
        <w:rPr>
          <w:b/>
        </w:rPr>
        <w:t>hampir tidak pernah ditemukan secara alami</w:t>
      </w:r>
      <w:r>
        <w:rPr/>
        <w:t xml:space="preserve"> dan merupakan hasil antropogenik proses industri. Cr(VI) memiliki daya oksidasi yang sangat tinggi (</w:t>
      </w:r>
      <w:r>
        <w:rPr>
          <w:i/>
        </w:rPr>
        <w:t>strong oxidizing agent</w:t>
      </w:r>
      <w:r>
        <w:rPr/>
        <w:t xml:space="preserve">). Dalam larutan berair fisiologis (pH 6–8), Cr(VI) tidak berada sebagai kation bebas, melainkan membentuk oksi-anion terionisasi: </w:t>
      </w:r>
      <w:r>
        <w:rPr>
          <w:b/>
        </w:rPr>
        <w:t>kromat (CrO₄²⁻)</w:t>
      </w:r>
      <w:r>
        <w:rPr/>
        <w:t xml:space="preserve"> dan </w:t>
      </w:r>
      <w:r>
        <w:rPr>
          <w:b/>
        </w:rPr>
        <w:t>hidrokromat/bikromat (HCrO₄⁻)</w:t>
      </w:r>
      <w:r>
        <w:rPr/>
        <w:t>.</w:t>
      </w:r>
    </w:p>
    <w:p>
      <w:pPr>
        <w:pStyle w:val="Heading4"/>
      </w:pPr>
      <w:r>
        <w:t>b. Klasifikasi Kelarutan Senyawa Cr(VI) (OSHA dan IARC)</w:t>
      </w:r>
    </w:p>
    <w:p>
      <w:pPr>
        <w:spacing w:after="80"/>
      </w:pPr>
      <w:r>
        <w:rPr/>
        <w:t xml:space="preserve">Kelarutan senyawa Cr(VI) dalam air menentukan sifat toksikokinetik, retensi jaringan, dan potensi karsinogenisitasnya. Berdasarkan klasifikasi </w:t>
      </w:r>
      <w:r>
        <w:rPr>
          <w:i/>
        </w:rPr>
        <w:t>Occupational Safety and Health Administration</w:t>
      </w:r>
      <w:r>
        <w:rPr/>
        <w:t xml:space="preserve"> (OSHA) dan IARC, senyawa Cr(VI) dibagi menjadi tiga kelompok:</w:t>
      </w:r>
    </w:p>
    <w:tbl>
      <w:tblPr>
        <w:tblStyle w:val="TableGrid"/>
        <w:tblW w:type="auto" w:w="0"/>
        <w:tblLook w:firstColumn="1" w:firstRow="1" w:lastColumn="0" w:lastRow="0" w:noHBand="0" w:noVBand="1" w:val="04A0"/>
      </w:tblPr>
      <w:tblGrid>
        <w:gridCol w:w="1905"/>
        <w:gridCol w:w="1905"/>
        <w:gridCol w:w="1905"/>
        <w:gridCol w:w="1905"/>
        <w:gridCol w:w="1905"/>
      </w:tblGrid>
      <w:tr>
        <w:tc>
          <w:tcPr>
            <w:tcW w:type="dxa" w:w="1905"/>
            <w:shd w:val="clear" w:color="auto" w:fill="DCE6F1"/>
          </w:tcPr>
          <w:p>
            <w:pPr>
              <w:spacing w:after="0"/>
            </w:pPr>
            <w:r/>
            <w:r>
              <w:rPr>
                <w:b/>
                <w:sz w:val="16"/>
              </w:rPr>
              <w:t>Kategori Kelarutan</w:t>
            </w:r>
          </w:p>
        </w:tc>
        <w:tc>
          <w:tcPr>
            <w:tcW w:type="dxa" w:w="1905"/>
            <w:shd w:val="clear" w:color="auto" w:fill="DCE6F1"/>
          </w:tcPr>
          <w:p>
            <w:pPr>
              <w:spacing w:after="0"/>
            </w:pPr>
            <w:r/>
            <w:r>
              <w:rPr>
                <w:b/>
                <w:sz w:val="16"/>
              </w:rPr>
              <w:t>Rentang Kelarutan Air</w:t>
            </w:r>
          </w:p>
        </w:tc>
        <w:tc>
          <w:tcPr>
            <w:tcW w:type="dxa" w:w="1905"/>
            <w:shd w:val="clear" w:color="auto" w:fill="DCE6F1"/>
          </w:tcPr>
          <w:p>
            <w:pPr>
              <w:spacing w:after="0"/>
            </w:pPr>
            <w:r/>
            <w:r>
              <w:rPr>
                <w:b/>
                <w:sz w:val="16"/>
              </w:rPr>
              <w:t>Contoh Senyawa Industri Kunci</w:t>
            </w:r>
          </w:p>
        </w:tc>
        <w:tc>
          <w:tcPr>
            <w:tcW w:type="dxa" w:w="1905"/>
            <w:shd w:val="clear" w:color="auto" w:fill="DCE6F1"/>
          </w:tcPr>
          <w:p>
            <w:pPr>
              <w:spacing w:after="0"/>
            </w:pPr>
            <w:r/>
            <w:r>
              <w:rPr>
                <w:b/>
                <w:sz w:val="16"/>
              </w:rPr>
              <w:t>Sifat Fisik &amp; Karakteristik Toksikologi</w:t>
            </w:r>
          </w:p>
        </w:tc>
        <w:tc>
          <w:tcPr>
            <w:tcW w:type="dxa" w:w="1905"/>
            <w:shd w:val="clear" w:color="auto" w:fill="DCE6F1"/>
          </w:tcPr>
          <w:p>
            <w:pPr>
              <w:spacing w:after="0"/>
            </w:pPr>
            <w:r/>
            <w:r>
              <w:rPr>
                <w:b/>
                <w:sz w:val="16"/>
              </w:rPr>
              <w:t>Sumber Rujukan</w:t>
            </w:r>
          </w:p>
        </w:tc>
      </w:tr>
      <w:tr>
        <w:tc>
          <w:tcPr>
            <w:tcW w:type="dxa" w:w="1905"/>
          </w:tcPr>
          <w:p>
            <w:pPr>
              <w:spacing w:after="0"/>
            </w:pPr>
            <w:r/>
            <w:r>
              <w:rPr>
                <w:b/>
                <w:sz w:val="16"/>
              </w:rPr>
              <w:t>Sangat Larut Air (</w:t>
            </w:r>
            <w:r>
              <w:rPr>
                <w:b/>
                <w:i/>
                <w:sz w:val="16"/>
              </w:rPr>
              <w:t>Highly Soluble</w:t>
            </w:r>
            <w:r>
              <w:rPr>
                <w:b/>
                <w:sz w:val="16"/>
              </w:rPr>
              <w:t>)</w:t>
            </w:r>
          </w:p>
        </w:tc>
        <w:tc>
          <w:tcPr>
            <w:tcW w:type="dxa" w:w="1905"/>
          </w:tcPr>
          <w:p>
            <w:pPr>
              <w:spacing w:after="0"/>
            </w:pPr>
            <w:r/>
            <w:r>
              <w:rPr>
                <w:b/>
                <w:sz w:val="16"/>
              </w:rPr>
              <w:t>≥ 500 g/L</w:t>
            </w:r>
          </w:p>
        </w:tc>
        <w:tc>
          <w:tcPr>
            <w:tcW w:type="dxa" w:w="1905"/>
          </w:tcPr>
          <w:p>
            <w:pPr>
              <w:spacing w:after="0"/>
            </w:pPr>
            <w:r/>
            <w:r>
              <w:rPr>
                <w:sz w:val="16"/>
              </w:rPr>
              <w:t xml:space="preserve">• </w:t>
            </w:r>
            <w:r>
              <w:rPr>
                <w:b/>
                <w:sz w:val="16"/>
              </w:rPr>
              <w:t>Natrium kromat (Na₂CrO₄)</w:t>
            </w:r>
            <w:r>
              <w:rPr>
                <w:sz w:val="16"/>
              </w:rPr>
              <w:t xml:space="preserve"> [873 g/L]</w:t>
            </w:r>
            <w:r>
              <w:br/>
            </w:r>
            <w:r>
              <w:rPr>
                <w:sz w:val="16"/>
              </w:rPr>
              <w:t xml:space="preserve">• </w:t>
            </w:r>
            <w:r>
              <w:rPr>
                <w:b/>
                <w:sz w:val="16"/>
              </w:rPr>
              <w:t>Kalium kromat (K₂CrO₄)</w:t>
            </w:r>
            <w:r>
              <w:rPr>
                <w:sz w:val="16"/>
              </w:rPr>
              <w:t xml:space="preserve"> [629 g/L]</w:t>
            </w:r>
            <w:r>
              <w:br/>
            </w:r>
            <w:r>
              <w:rPr>
                <w:sz w:val="16"/>
              </w:rPr>
              <w:t xml:space="preserve">• </w:t>
            </w:r>
            <w:r>
              <w:rPr>
                <w:b/>
                <w:sz w:val="16"/>
              </w:rPr>
              <w:t>Kromium trioksida / Asam kromat (CrO₃)</w:t>
            </w:r>
            <w:r>
              <w:br/>
            </w:r>
            <w:r>
              <w:rPr>
                <w:sz w:val="16"/>
              </w:rPr>
              <w:t xml:space="preserve">• </w:t>
            </w:r>
            <w:r>
              <w:rPr>
                <w:b/>
                <w:sz w:val="16"/>
              </w:rPr>
              <w:t>Amonium dikromat ((NH₄)₂Cr₂O₇)</w:t>
            </w:r>
          </w:p>
        </w:tc>
        <w:tc>
          <w:tcPr>
            <w:tcW w:type="dxa" w:w="1905"/>
          </w:tcPr>
          <w:p>
            <w:pPr>
              <w:spacing w:after="0"/>
            </w:pPr>
            <w:r/>
            <w:r>
              <w:rPr>
                <w:sz w:val="16"/>
              </w:rPr>
              <w:t>Berwarna kuning terang hingga merah tua; cepat diabsorpsi ke sirkulasi darah; memicu efek korosif akut masif, nekrosis jaringan, dan ekskresi urin cepat.</w:t>
            </w:r>
          </w:p>
        </w:tc>
        <w:tc>
          <w:tcPr>
            <w:tcW w:type="dxa" w:w="1905"/>
          </w:tcPr>
          <w:p>
            <w:pPr>
              <w:spacing w:after="0"/>
            </w:pPr>
            <w:r/>
          </w:p>
        </w:tc>
      </w:tr>
      <w:tr>
        <w:tc>
          <w:tcPr>
            <w:tcW w:type="dxa" w:w="1905"/>
          </w:tcPr>
          <w:p>
            <w:pPr>
              <w:spacing w:after="0"/>
            </w:pPr>
            <w:r/>
            <w:r>
              <w:rPr>
                <w:b/>
                <w:sz w:val="16"/>
              </w:rPr>
              <w:t>Kelarutan Sedang / Sedikit Larut (</w:t>
            </w:r>
            <w:r>
              <w:rPr>
                <w:b/>
                <w:i/>
                <w:sz w:val="16"/>
              </w:rPr>
              <w:t>Slightly Soluble</w:t>
            </w:r>
            <w:r>
              <w:rPr>
                <w:b/>
                <w:sz w:val="16"/>
              </w:rPr>
              <w:t>)</w:t>
            </w:r>
          </w:p>
        </w:tc>
        <w:tc>
          <w:tcPr>
            <w:tcW w:type="dxa" w:w="1905"/>
          </w:tcPr>
          <w:p>
            <w:pPr>
              <w:spacing w:after="0"/>
            </w:pPr>
            <w:r/>
            <w:r>
              <w:rPr>
                <w:b/>
                <w:sz w:val="16"/>
              </w:rPr>
              <w:t>0,01 s.d. 500 g/L</w:t>
            </w:r>
          </w:p>
        </w:tc>
        <w:tc>
          <w:tcPr>
            <w:tcW w:type="dxa" w:w="1905"/>
          </w:tcPr>
          <w:p>
            <w:pPr>
              <w:spacing w:after="0"/>
            </w:pPr>
            <w:r/>
            <w:r>
              <w:rPr>
                <w:sz w:val="16"/>
              </w:rPr>
              <w:t xml:space="preserve">• </w:t>
            </w:r>
            <w:r>
              <w:rPr>
                <w:b/>
                <w:sz w:val="16"/>
              </w:rPr>
              <w:t>Kalsium kromat (CaCrO₄)</w:t>
            </w:r>
            <w:r>
              <w:br/>
            </w:r>
            <w:r>
              <w:rPr>
                <w:sz w:val="16"/>
              </w:rPr>
              <w:t xml:space="preserve">• </w:t>
            </w:r>
            <w:r>
              <w:rPr>
                <w:b/>
                <w:sz w:val="16"/>
              </w:rPr>
              <w:t>Stronsium kromat (SrCrO₄)</w:t>
            </w:r>
            <w:r>
              <w:br/>
            </w:r>
            <w:r>
              <w:rPr>
                <w:sz w:val="16"/>
              </w:rPr>
              <w:t xml:space="preserve">• </w:t>
            </w:r>
            <w:r>
              <w:rPr>
                <w:b/>
                <w:sz w:val="16"/>
              </w:rPr>
              <w:t>Seng kromat (</w:t>
            </w:r>
            <w:r>
              <w:rPr>
                <w:b/>
                <w:i/>
                <w:sz w:val="16"/>
              </w:rPr>
              <w:t>Zinc chromates</w:t>
            </w:r>
            <w:r>
              <w:rPr>
                <w:b/>
                <w:sz w:val="16"/>
              </w:rPr>
              <w:t>)</w:t>
            </w:r>
          </w:p>
        </w:tc>
        <w:tc>
          <w:tcPr>
            <w:tcW w:type="dxa" w:w="1905"/>
          </w:tcPr>
          <w:p>
            <w:pPr>
              <w:spacing w:after="0"/>
            </w:pPr>
            <w:r/>
            <w:r>
              <w:rPr>
                <w:sz w:val="16"/>
              </w:rPr>
              <w:t>Berwarna kuning; memiliki retensi lebih lama di epitel bronkus paru; karsinogen paru yang sangat kuat pada model hewan coba dan pekerja pabrik pigmen.</w:t>
            </w:r>
          </w:p>
        </w:tc>
        <w:tc>
          <w:tcPr>
            <w:tcW w:type="dxa" w:w="1905"/>
          </w:tcPr>
          <w:p>
            <w:pPr>
              <w:spacing w:after="0"/>
            </w:pPr>
            <w:r/>
          </w:p>
        </w:tc>
      </w:tr>
      <w:tr>
        <w:tc>
          <w:tcPr>
            <w:tcW w:type="dxa" w:w="1905"/>
          </w:tcPr>
          <w:p>
            <w:pPr>
              <w:spacing w:after="0"/>
            </w:pPr>
            <w:r/>
            <w:r>
              <w:rPr>
                <w:b/>
                <w:sz w:val="16"/>
              </w:rPr>
              <w:t>Tidak Larut Air (</w:t>
            </w:r>
            <w:r>
              <w:rPr>
                <w:b/>
                <w:i/>
                <w:sz w:val="16"/>
              </w:rPr>
              <w:t>Water-Insoluble</w:t>
            </w:r>
            <w:r>
              <w:rPr>
                <w:b/>
                <w:sz w:val="16"/>
              </w:rPr>
              <w:t>)</w:t>
            </w:r>
          </w:p>
        </w:tc>
        <w:tc>
          <w:tcPr>
            <w:tcW w:type="dxa" w:w="1905"/>
          </w:tcPr>
          <w:p>
            <w:pPr>
              <w:spacing w:after="0"/>
            </w:pPr>
            <w:r/>
            <w:r>
              <w:rPr>
                <w:b/>
                <w:sz w:val="16"/>
              </w:rPr>
              <w:t>&lt; 0,01 g/L</w:t>
            </w:r>
          </w:p>
        </w:tc>
        <w:tc>
          <w:tcPr>
            <w:tcW w:type="dxa" w:w="1905"/>
          </w:tcPr>
          <w:p>
            <w:pPr>
              <w:spacing w:after="0"/>
            </w:pPr>
            <w:r/>
            <w:r>
              <w:rPr>
                <w:sz w:val="16"/>
              </w:rPr>
              <w:t xml:space="preserve">• </w:t>
            </w:r>
            <w:r>
              <w:rPr>
                <w:b/>
                <w:sz w:val="16"/>
              </w:rPr>
              <w:t>Timbal kromat (PbCrO₄)</w:t>
            </w:r>
            <w:r>
              <w:rPr>
                <w:sz w:val="16"/>
              </w:rPr>
              <w:t xml:space="preserve"> [0,17 mg/L]</w:t>
            </w:r>
            <w:r>
              <w:br/>
            </w:r>
            <w:r>
              <w:rPr>
                <w:sz w:val="16"/>
              </w:rPr>
              <w:t xml:space="preserve">• </w:t>
            </w:r>
            <w:r>
              <w:rPr>
                <w:b/>
                <w:sz w:val="16"/>
              </w:rPr>
              <w:t>Barium kromat (BaCrO₄)</w:t>
            </w:r>
            <w:r>
              <w:rPr>
                <w:sz w:val="16"/>
              </w:rPr>
              <w:t xml:space="preserve"> [2,6 mg/L]</w:t>
            </w:r>
          </w:p>
        </w:tc>
        <w:tc>
          <w:tcPr>
            <w:tcW w:type="dxa" w:w="1905"/>
          </w:tcPr>
          <w:p>
            <w:pPr>
              <w:spacing w:after="0"/>
            </w:pPr>
            <w:r/>
            <w:r>
              <w:rPr>
                <w:sz w:val="16"/>
              </w:rPr>
              <w:t>Padatan kristal kuning/jingga pigmen; tertahan bertahun-tahun di parenkim paru dan makrofag alveolar; memicu transformasi neoplastik lambat.</w:t>
            </w:r>
          </w:p>
        </w:tc>
        <w:tc>
          <w:tcPr>
            <w:tcW w:type="dxa" w:w="1905"/>
          </w:tcPr>
          <w:p>
            <w:pPr>
              <w:spacing w:after="0"/>
            </w:pPr>
            <w:r/>
          </w:p>
        </w:tc>
      </w:tr>
      <w:tr>
        <w:tc>
          <w:tcPr>
            <w:tcW w:type="dxa" w:w="1905"/>
          </w:tcPr>
          <w:p>
            <w:pPr>
              <w:spacing w:after="0"/>
            </w:pPr>
            <w:r/>
            <w:r>
              <w:rPr>
                <w:i/>
                <w:sz w:val="16"/>
              </w:rPr>
              <w:t>Bentuk Khusus Cairan</w:t>
            </w:r>
          </w:p>
        </w:tc>
        <w:tc>
          <w:tcPr>
            <w:tcW w:type="dxa" w:w="1905"/>
          </w:tcPr>
          <w:p>
            <w:pPr>
              <w:spacing w:after="0"/>
            </w:pPr>
            <w:r/>
            <w:r>
              <w:rPr>
                <w:i/>
                <w:sz w:val="16"/>
              </w:rPr>
              <w:t>Terurai dalam air</w:t>
            </w:r>
          </w:p>
        </w:tc>
        <w:tc>
          <w:tcPr>
            <w:tcW w:type="dxa" w:w="1905"/>
          </w:tcPr>
          <w:p>
            <w:pPr>
              <w:spacing w:after="0"/>
            </w:pPr>
            <w:r/>
            <w:r>
              <w:rPr>
                <w:sz w:val="16"/>
              </w:rPr>
              <w:t xml:space="preserve">• </w:t>
            </w:r>
            <w:r>
              <w:rPr>
                <w:b/>
                <w:sz w:val="16"/>
              </w:rPr>
              <w:t>Kromil klorida (CrO₂Cl₂)</w:t>
            </w:r>
          </w:p>
        </w:tc>
        <w:tc>
          <w:tcPr>
            <w:tcW w:type="dxa" w:w="1905"/>
          </w:tcPr>
          <w:p>
            <w:pPr>
              <w:spacing w:after="0"/>
            </w:pPr>
            <w:r/>
            <w:r>
              <w:rPr>
                <w:sz w:val="16"/>
              </w:rPr>
              <w:t>Cairan berasap merah tua pekat; menguap cepat; terhidrolisis instan di udara lembap menjadi ion kromat dan asam klorida (HCl).</w:t>
            </w:r>
          </w:p>
        </w:tc>
        <w:tc>
          <w:tcPr>
            <w:tcW w:type="dxa" w:w="1905"/>
          </w:tcPr>
          <w:p>
            <w:pPr>
              <w:spacing w:after="0"/>
            </w:pPr>
            <w:r/>
          </w:p>
        </w:tc>
      </w:tr>
    </w:tbl>
    <w:p>
      <w:pPr>
        <w:spacing w:after="40"/>
      </w:pPr>
    </w:p>
    <w:p>
      <w:pPr>
        <w:pStyle w:val="Heading3"/>
      </w:pPr>
      <w:r>
        <w:t>9. Standar Batas Pajanan di Udara (Occupational Exposure Limits)</w:t>
      </w:r>
    </w:p>
    <w:p>
      <w:pPr>
        <w:spacing w:after="80"/>
      </w:pPr>
      <w:r>
        <w:rPr/>
        <w:t>Penguji sering menguji kejelian residen dalam membedakan angka OEL internasional mutakhir dengan baku mutu yuridis nasional Indonesia.</w:t>
      </w:r>
    </w:p>
    <w:p>
      <w:pPr>
        <w:spacing w:after="120"/>
        <w:ind w:left="170"/>
      </w:pPr>
      <w:r>
        <w:rPr>
          <w:rFonts w:ascii="Consolas" w:hAnsi="Consolas" w:eastAsia="Consolas"/>
          <w:sz w:val="13"/>
        </w:rPr>
        <w:t xml:space="preserve">                [ HIERARKI NILAI AMBANG BATAS UDARA KROMIUM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ACGIH TLV (2026) ]                                  [ PERMENAKER NO. 5 TAHUN 2018 ]</w:t>
      </w:r>
      <w:r>
        <w:br/>
      </w:r>
      <w:r>
        <w:rPr>
          <w:rFonts w:ascii="Consolas" w:hAnsi="Consolas" w:eastAsia="Consolas"/>
          <w:sz w:val="13"/>
        </w:rPr>
        <w:t>• Cr(VI) Senyawa: 0,0002 mg/m³ (I)                      • Cr(VI) Larut Air: 0,05 mg/m³ (A1, BEI)</w:t>
      </w:r>
      <w:r>
        <w:br/>
      </w:r>
      <w:r>
        <w:rPr>
          <w:rFonts w:ascii="Consolas" w:hAnsi="Consolas" w:eastAsia="Consolas"/>
          <w:sz w:val="13"/>
        </w:rPr>
        <w:t xml:space="preserve">  STEL: 0,0005 mg/m³ (I)                                • Cr(VI) Tidak Larut: 0,01 mg/m³ (A1)</w:t>
      </w:r>
      <w:r>
        <w:br/>
      </w:r>
      <w:r>
        <w:rPr>
          <w:rFonts w:ascii="Consolas" w:hAnsi="Consolas" w:eastAsia="Consolas"/>
          <w:sz w:val="13"/>
        </w:rPr>
        <w:t xml:space="preserve">  Notasi: A1, DSEN, RSEN, BEI (Skin utk larut)          • Cr(III) Senyawa: 0,5 mg/m³ (A4)</w:t>
      </w:r>
      <w:r>
        <w:br/>
      </w:r>
      <w:r>
        <w:rPr>
          <w:rFonts w:ascii="Consolas" w:hAnsi="Consolas" w:eastAsia="Consolas"/>
          <w:sz w:val="13"/>
        </w:rPr>
        <w:t>• Cr(III) Senyawa: 0,003 mg/m³ (I), A4                  • Logam Cr(0): 0,5 mg/m³ (A4)</w:t>
      </w:r>
      <w:r>
        <w:br/>
      </w:r>
      <w:r>
        <w:rPr>
          <w:rFonts w:ascii="Consolas" w:hAnsi="Consolas" w:eastAsia="Consolas"/>
          <w:sz w:val="13"/>
        </w:rPr>
        <w:t>• Logam Cr(0): 0,5 mg/m³ (I)                            • Kromil Klorida: 0,025 bds (0,16 mg/m³)</w:t>
      </w:r>
    </w:p>
    <w:p>
      <w:pPr>
        <w:pStyle w:val="Heading4"/>
      </w:pPr>
      <w:r>
        <w:t>a. ACGIH TLVs® (Edisi 2026 Adopted Values)</w:t>
      </w:r>
    </w:p>
    <w:p>
      <w:pPr>
        <w:spacing w:after="80"/>
      </w:pPr>
      <w:r>
        <w:rPr/>
        <w:t>ACGIH telah memperbarui nilai ambang batas kromium secara signifikan untuk melindungi pekerja dari risiko kanker paru dan hiperresponsivitas saluran napas:</w:t>
      </w:r>
    </w:p>
    <w:p>
      <w:pPr>
        <w:spacing w:after="40"/>
        <w:ind w:left="340" w:hanging="283"/>
      </w:pPr>
      <w:r>
        <w:rPr/>
        <w:t xml:space="preserve">1. </w:t>
      </w:r>
      <w:r>
        <w:rPr>
          <w:b/>
        </w:rPr>
        <w:t>Hexavalent Chromium Compounds [Cr(VI)] (sebagai Cr):</w:t>
      </w:r>
    </w:p>
    <w:p>
      <w:pPr>
        <w:pStyle w:val="ListBullet2"/>
        <w:spacing w:after="20"/>
      </w:pPr>
      <w:r>
        <w:rPr>
          <w:b/>
        </w:rPr>
        <w:t>TLV-TWA:</w:t>
      </w:r>
      <w:r>
        <w:rPr/>
        <w:t xml:space="preserve"> </w:t>
      </w:r>
      <w:r>
        <w:rPr>
          <w:b/>
        </w:rPr>
        <w:t>0,0002 mg/m³ (0,2 µg/m³)</w:t>
      </w:r>
      <w:r>
        <w:rPr/>
        <w:t xml:space="preserve"> — diukur sebagai fraksi inhalabel (</w:t>
      </w:r>
      <w:r>
        <w:rPr>
          <w:i/>
        </w:rPr>
        <w:t>Inhalable fraction</w:t>
      </w:r>
      <w:r>
        <w:rPr/>
        <w:t xml:space="preserve"> / I).</w:t>
      </w:r>
    </w:p>
    <w:p>
      <w:pPr>
        <w:pStyle w:val="ListBullet2"/>
        <w:spacing w:after="20"/>
      </w:pPr>
      <w:r>
        <w:rPr>
          <w:b/>
        </w:rPr>
        <w:t>TLV-STEL:</w:t>
      </w:r>
      <w:r>
        <w:rPr/>
        <w:t xml:space="preserve"> </w:t>
      </w:r>
      <w:r>
        <w:rPr>
          <w:b/>
        </w:rPr>
        <w:t>0,0005 mg/m³ (0,5 µg/m³)</w:t>
      </w:r>
      <w:r>
        <w:rPr/>
        <w:t xml:space="preserve"> — fraksi inhalabel (15 menit).</w:t>
      </w:r>
    </w:p>
    <w:p>
      <w:pPr>
        <w:pStyle w:val="ListBullet2"/>
        <w:spacing w:after="20"/>
      </w:pPr>
      <w:r>
        <w:rPr>
          <w:b/>
        </w:rPr>
        <w:t>Notasi Kritis:</w:t>
      </w:r>
    </w:p>
    <w:p>
      <w:pPr>
        <w:pStyle w:val="ListBullet3"/>
        <w:spacing w:after="20"/>
      </w:pPr>
      <w:r>
        <w:rPr>
          <w:b/>
        </w:rPr>
        <w:t>A1:</w:t>
      </w:r>
      <w:r>
        <w:rPr/>
        <w:t xml:space="preserve"> </w:t>
      </w:r>
      <w:r>
        <w:rPr>
          <w:i/>
        </w:rPr>
        <w:t>Confirmed Human Carcinogen</w:t>
      </w:r>
      <w:r>
        <w:rPr/>
        <w:t xml:space="preserve"> (Terbukti Karsinogen Manusia).</w:t>
      </w:r>
    </w:p>
    <w:p>
      <w:pPr>
        <w:pStyle w:val="ListBullet3"/>
        <w:spacing w:after="20"/>
      </w:pPr>
      <w:r>
        <w:rPr>
          <w:b/>
        </w:rPr>
        <w:t>DSEN:</w:t>
      </w:r>
      <w:r>
        <w:rPr/>
        <w:t xml:space="preserve"> </w:t>
      </w:r>
      <w:r>
        <w:rPr>
          <w:i/>
        </w:rPr>
        <w:t>Dermal Sensitization</w:t>
      </w:r>
      <w:r>
        <w:rPr/>
        <w:t xml:space="preserve"> (Sensitisasi Kulit).</w:t>
      </w:r>
    </w:p>
    <w:p>
      <w:pPr>
        <w:pStyle w:val="ListBullet3"/>
        <w:spacing w:after="20"/>
      </w:pPr>
      <w:r>
        <w:rPr>
          <w:b/>
        </w:rPr>
        <w:t>RSEN:</w:t>
      </w:r>
      <w:r>
        <w:rPr/>
        <w:t xml:space="preserve"> </w:t>
      </w:r>
      <w:r>
        <w:rPr>
          <w:i/>
        </w:rPr>
        <w:t>Respiratory Sensitization</w:t>
      </w:r>
      <w:r>
        <w:rPr/>
        <w:t xml:space="preserve"> (Sensitisasi Pernapasan / Asma Kerja).</w:t>
      </w:r>
    </w:p>
    <w:p>
      <w:pPr>
        <w:pStyle w:val="ListBullet3"/>
        <w:spacing w:after="20"/>
      </w:pPr>
      <w:r>
        <w:rPr>
          <w:b/>
        </w:rPr>
        <w:t>BEI:</w:t>
      </w:r>
      <w:r>
        <w:rPr/>
        <w:t xml:space="preserve"> Memiliki rujukan Indeks Pajanan Biologi urin.</w:t>
      </w:r>
    </w:p>
    <w:p>
      <w:pPr>
        <w:pStyle w:val="ListBullet3"/>
        <w:spacing w:after="20"/>
      </w:pPr>
      <w:r>
        <w:rPr>
          <w:b/>
        </w:rPr>
        <w:t>Skin:</w:t>
      </w:r>
      <w:r>
        <w:rPr/>
        <w:t xml:space="preserve"> Khusus untuk </w:t>
      </w:r>
      <w:r>
        <w:rPr>
          <w:b/>
        </w:rPr>
        <w:t>senyawa kromat yang larut air (</w:t>
      </w:r>
      <w:r>
        <w:rPr>
          <w:b/>
          <w:i/>
        </w:rPr>
        <w:t>water-soluble compounds only</w:t>
      </w:r>
      <w:r>
        <w:rPr>
          <w:b/>
        </w:rPr>
        <w:t>)</w:t>
      </w:r>
      <w:r>
        <w:rPr/>
        <w:t xml:space="preserve">, dicantumkan notasi </w:t>
      </w:r>
      <w:r>
        <w:rPr>
          <w:i/>
        </w:rPr>
        <w:t>Skin</w:t>
      </w:r>
      <w:r>
        <w:rPr/>
        <w:t xml:space="preserve"> karena potensi penyerapan perkutan yang signifikan.</w:t>
      </w:r>
    </w:p>
    <w:p>
      <w:pPr>
        <w:spacing w:after="40"/>
        <w:ind w:left="340" w:hanging="283"/>
      </w:pPr>
      <w:r>
        <w:rPr/>
        <w:t xml:space="preserve">2. </w:t>
      </w:r>
      <w:r>
        <w:rPr>
          <w:b/>
        </w:rPr>
        <w:t>Trivalent Chromium Compounds [Cr(III)] (sebagai Cr):</w:t>
      </w:r>
    </w:p>
    <w:p>
      <w:pPr>
        <w:pStyle w:val="ListBullet2"/>
        <w:spacing w:after="20"/>
      </w:pPr>
      <w:r>
        <w:rPr>
          <w:b/>
        </w:rPr>
        <w:t>TLV-TWA:</w:t>
      </w:r>
      <w:r>
        <w:rPr/>
        <w:t xml:space="preserve"> </w:t>
      </w:r>
      <w:r>
        <w:rPr>
          <w:b/>
        </w:rPr>
        <w:t>0,003 mg/m³ (3 µg/m³)</w:t>
      </w:r>
      <w:r>
        <w:rPr/>
        <w:t xml:space="preserve"> — fraksi inhalabel (I).</w:t>
      </w:r>
    </w:p>
    <w:p>
      <w:pPr>
        <w:pStyle w:val="ListBullet2"/>
        <w:spacing w:after="20"/>
      </w:pPr>
      <w:r>
        <w:rPr>
          <w:b/>
        </w:rPr>
        <w:t>Notasi:</w:t>
      </w:r>
      <w:r>
        <w:rPr/>
        <w:t xml:space="preserve"> </w:t>
      </w:r>
      <w:r>
        <w:rPr>
          <w:b/>
        </w:rPr>
        <w:t>A4</w:t>
      </w:r>
      <w:r>
        <w:rPr/>
        <w:t xml:space="preserve"> (</w:t>
      </w:r>
      <w:r>
        <w:rPr>
          <w:i/>
        </w:rPr>
        <w:t>Not Classifiable as a Human Carcinogen</w:t>
      </w:r>
      <w:r>
        <w:rPr/>
        <w:t xml:space="preserve">); khusus senyawa larut air memiliki notasi </w:t>
      </w:r>
      <w:r>
        <w:rPr>
          <w:b/>
        </w:rPr>
        <w:t>DSEN</w:t>
      </w:r>
      <w:r>
        <w:rPr/>
        <w:t xml:space="preserve"> dan </w:t>
      </w:r>
      <w:r>
        <w:rPr>
          <w:b/>
        </w:rPr>
        <w:t>RSEN</w:t>
      </w:r>
      <w:r>
        <w:rPr/>
        <w:t>.</w:t>
      </w:r>
    </w:p>
    <w:p>
      <w:pPr>
        <w:spacing w:after="40"/>
        <w:ind w:left="340" w:hanging="283"/>
      </w:pPr>
      <w:r>
        <w:rPr/>
        <w:t xml:space="preserve">3. </w:t>
      </w:r>
      <w:r>
        <w:rPr>
          <w:b/>
        </w:rPr>
        <w:t>Metallic Chromium [Cr(0)] (sebagai Cr):</w:t>
      </w:r>
    </w:p>
    <w:p>
      <w:pPr>
        <w:pStyle w:val="ListBullet2"/>
        <w:spacing w:after="20"/>
      </w:pPr>
      <w:r>
        <w:rPr>
          <w:b/>
        </w:rPr>
        <w:t>TLV-TWA:</w:t>
      </w:r>
      <w:r>
        <w:rPr/>
        <w:t xml:space="preserve"> </w:t>
      </w:r>
      <w:r>
        <w:rPr>
          <w:b/>
        </w:rPr>
        <w:t>0,5 mg/m³</w:t>
      </w:r>
      <w:r>
        <w:rPr/>
        <w:t xml:space="preserve"> — fraksi inhalabel (I).</w:t>
      </w:r>
    </w:p>
    <w:p>
      <w:pPr>
        <w:pStyle w:val="ListBullet2"/>
        <w:spacing w:after="20"/>
      </w:pPr>
      <w:r>
        <w:rPr>
          <w:b/>
        </w:rPr>
        <w:t>Notasi:</w:t>
      </w:r>
      <w:r>
        <w:rPr/>
        <w:t xml:space="preserve"> Tidak ada notasi karsinogen/sensitisasi (efek kritis: iritasi saluran pernapasan).</w:t>
      </w:r>
    </w:p>
    <w:p>
      <w:pPr>
        <w:spacing w:after="40"/>
        <w:ind w:left="340" w:hanging="283"/>
      </w:pPr>
      <w:r>
        <w:rPr/>
        <w:t xml:space="preserve">4. </w:t>
      </w:r>
      <w:r>
        <w:rPr>
          <w:b/>
        </w:rPr>
        <w:t>Kromil Klorida (</w:t>
      </w:r>
      <w:r>
        <w:rPr>
          <w:b/>
          <w:i/>
        </w:rPr>
        <w:t>Chromyl Chloride</w:t>
      </w:r>
      <w:r>
        <w:rPr>
          <w:b/>
        </w:rPr>
        <w:t xml:space="preserve"> / CrO₂Cl₂, sebagai Cr VI):</w:t>
      </w:r>
    </w:p>
    <w:p>
      <w:pPr>
        <w:pStyle w:val="ListBullet2"/>
        <w:spacing w:after="20"/>
      </w:pPr>
      <w:r>
        <w:rPr>
          <w:b/>
        </w:rPr>
        <w:t>TLV-TWA:</w:t>
      </w:r>
      <w:r>
        <w:rPr/>
        <w:t xml:space="preserve"> </w:t>
      </w:r>
      <w:r>
        <w:rPr>
          <w:b/>
        </w:rPr>
        <w:t>0,0001 ppm</w:t>
      </w:r>
      <w:r>
        <w:rPr/>
        <w:t xml:space="preserve"> (IFV); </w:t>
      </w:r>
      <w:r>
        <w:rPr>
          <w:b/>
        </w:rPr>
        <w:t>TLV-STEL:</w:t>
      </w:r>
      <w:r>
        <w:rPr/>
        <w:t xml:space="preserve"> </w:t>
      </w:r>
      <w:r>
        <w:rPr>
          <w:b/>
        </w:rPr>
        <w:t>0,00025 ppm</w:t>
      </w:r>
      <w:r>
        <w:rPr/>
        <w:t xml:space="preserve"> (IFV); Notasi: </w:t>
      </w:r>
      <w:r>
        <w:rPr>
          <w:b/>
        </w:rPr>
        <w:t>Skin, DSEN, RSEN, A1</w:t>
      </w:r>
      <w:r>
        <w:rPr/>
        <w:t>.</w:t>
      </w:r>
    </w:p>
    <w:p>
      <w:pPr>
        <w:pStyle w:val="Heading4"/>
      </w:pPr>
      <w:r>
        <w:t>b. Nilai Ambang Batas Nasional (Permenaker No. 5 Tahun 2018, Lampiran 3)</w:t>
      </w:r>
    </w:p>
    <w:p>
      <w:pPr>
        <w:spacing w:after="80"/>
      </w:pPr>
      <w:r>
        <w:rPr/>
        <w:t>Secara hukum di Indonesia, pengusaha dan dokter perusahaan wajib patuh pada angka berikut:</w:t>
      </w:r>
    </w:p>
    <w:p>
      <w:pPr>
        <w:pStyle w:val="ListBullet"/>
        <w:spacing w:after="20"/>
      </w:pPr>
      <w:r>
        <w:rPr>
          <w:b/>
        </w:rPr>
        <w:t>Persenyawaan Krom VI Larut di Air (NOC):</w:t>
      </w:r>
      <w:r>
        <w:rPr/>
        <w:t xml:space="preserve"> NAB = </w:t>
      </w:r>
      <w:r>
        <w:rPr>
          <w:b/>
        </w:rPr>
        <w:t>0,05 mg/m³</w:t>
      </w:r>
      <w:r>
        <w:rPr/>
        <w:t xml:space="preserve">; Notasi: </w:t>
      </w:r>
      <w:r>
        <w:rPr>
          <w:b/>
        </w:rPr>
        <w:t>A1, BEI (simbol segitiga)</w:t>
      </w:r>
      <w:r>
        <w:rPr/>
        <w:t>.</w:t>
      </w:r>
    </w:p>
    <w:p>
      <w:pPr>
        <w:pStyle w:val="ListBullet"/>
        <w:spacing w:after="20"/>
      </w:pPr>
      <w:r>
        <w:rPr>
          <w:b/>
        </w:rPr>
        <w:t>Persenyawaan Krom VI Tidak Larut dalam Air (NOC):</w:t>
      </w:r>
      <w:r>
        <w:rPr/>
        <w:t xml:space="preserve"> NAB = </w:t>
      </w:r>
      <w:r>
        <w:rPr>
          <w:b/>
        </w:rPr>
        <w:t>0,01 mg/m³</w:t>
      </w:r>
      <w:r>
        <w:rPr/>
        <w:t xml:space="preserve">; Notasi: </w:t>
      </w:r>
      <w:r>
        <w:rPr>
          <w:b/>
        </w:rPr>
        <w:t>A1</w:t>
      </w:r>
      <w:r>
        <w:rPr/>
        <w:t>.</w:t>
      </w:r>
    </w:p>
    <w:p>
      <w:pPr>
        <w:pStyle w:val="ListBullet"/>
        <w:spacing w:after="20"/>
      </w:pPr>
      <w:r>
        <w:rPr>
          <w:b/>
        </w:rPr>
        <w:t>Kromit, Proses Tambang (Kromat) sebagai Cr:</w:t>
      </w:r>
      <w:r>
        <w:rPr/>
        <w:t xml:space="preserve"> NAB = </w:t>
      </w:r>
      <w:r>
        <w:rPr>
          <w:b/>
        </w:rPr>
        <w:t>0,05 mg/m³</w:t>
      </w:r>
      <w:r>
        <w:rPr/>
        <w:t xml:space="preserve">; Notasi: </w:t>
      </w:r>
      <w:r>
        <w:rPr>
          <w:b/>
        </w:rPr>
        <w:t>A1</w:t>
      </w:r>
      <w:r>
        <w:rPr/>
        <w:t>.</w:t>
      </w:r>
    </w:p>
    <w:p>
      <w:pPr>
        <w:pStyle w:val="ListBullet"/>
        <w:spacing w:after="20"/>
      </w:pPr>
      <w:r>
        <w:rPr>
          <w:b/>
        </w:rPr>
        <w:t>Logam Kromium dan Persenyawaan Anorganik Cr(III):</w:t>
      </w:r>
      <w:r>
        <w:rPr/>
        <w:t xml:space="preserve"> NAB = </w:t>
      </w:r>
      <w:r>
        <w:rPr>
          <w:b/>
        </w:rPr>
        <w:t>0,5 mg/m³</w:t>
      </w:r>
      <w:r>
        <w:rPr/>
        <w:t xml:space="preserve">; Notasi: </w:t>
      </w:r>
      <w:r>
        <w:rPr>
          <w:b/>
        </w:rPr>
        <w:t>A4</w:t>
      </w:r>
      <w:r>
        <w:rPr/>
        <w:t>.</w:t>
      </w:r>
    </w:p>
    <w:p>
      <w:pPr>
        <w:pStyle w:val="ListBullet"/>
        <w:spacing w:after="20"/>
      </w:pPr>
      <w:r>
        <w:rPr>
          <w:b/>
        </w:rPr>
        <w:t>Kromil Klorida:</w:t>
      </w:r>
      <w:r>
        <w:rPr/>
        <w:t xml:space="preserve"> NAB = </w:t>
      </w:r>
      <w:r>
        <w:rPr>
          <w:b/>
        </w:rPr>
        <w:t>0,025 bds (0,16 mg/m³)</w:t>
      </w:r>
      <w:r>
        <w:rPr/>
        <w:t>; Notasi: Iritasi membran mukosa dan kulit.</w:t>
      </w:r>
    </w:p>
    <w:p>
      <w:pPr>
        <w:pStyle w:val="Heading3"/>
      </w:pPr>
      <w:r>
        <w:t>10. Standar Pemantauan Biologis (BEI / IPB) dan Waktu Sampling</w:t>
      </w:r>
    </w:p>
    <w:p>
      <w:pPr>
        <w:spacing w:after="80"/>
      </w:pPr>
      <w:r>
        <w:rPr/>
        <w:t>Pemantauan biologis (</w:t>
      </w:r>
      <w:r>
        <w:rPr>
          <w:i/>
        </w:rPr>
        <w:t>biomonitoring</w:t>
      </w:r>
      <w:r>
        <w:rPr/>
        <w:t>) kromium dilakukan melalui pengukuran kadar kromium total dalam spesimen urin:</w:t>
      </w:r>
    </w:p>
    <w:p>
      <w:pPr>
        <w:spacing w:after="120"/>
        <w:ind w:left="170"/>
      </w:pPr>
      <w:r>
        <w:rPr>
          <w:rFonts w:ascii="Consolas" w:hAnsi="Consolas" w:eastAsia="Consolas"/>
          <w:sz w:val="13"/>
        </w:rPr>
        <w:t xml:space="preserve">                     [ EVOLUSI PARAMETER BIOMONITORING ACGIH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BEI ACGIH HISTORIS / TRADISIONAL ]                             [ BEI ACGIH 2026 / POPULATION ]</w:t>
      </w:r>
      <w:r>
        <w:br/>
      </w:r>
      <w:r>
        <w:rPr>
          <w:rFonts w:ascii="Consolas" w:hAnsi="Consolas" w:eastAsia="Consolas"/>
          <w:sz w:val="13"/>
        </w:rPr>
        <w:t>• Peningkatan Selama Shift: 10 µg/L                              • Total Kromium Urin: 0,7 µg/L</w:t>
      </w:r>
      <w:r>
        <w:br/>
      </w:r>
      <w:r>
        <w:rPr>
          <w:rFonts w:ascii="Consolas" w:hAnsi="Consolas" w:eastAsia="Consolas"/>
          <w:sz w:val="13"/>
        </w:rPr>
        <w:t>• Akhir Shift Akhir Minggu Kerja: 25 µg/L                        • Waktu: Akhir Shift Akhir Minggu Kerja</w:t>
      </w:r>
      <w:r>
        <w:br/>
      </w:r>
      <w:r>
        <w:rPr>
          <w:rFonts w:ascii="Consolas" w:hAnsi="Consolas" w:eastAsia="Consolas"/>
          <w:sz w:val="13"/>
        </w:rPr>
        <w:t>• Korelasi TLV udara lama: 0,05 mg/m³                            • Notasi: Pop (Population-based background)</w:t>
      </w:r>
    </w:p>
    <w:p>
      <w:pPr>
        <w:spacing w:after="40"/>
        <w:ind w:left="340" w:hanging="283"/>
      </w:pPr>
      <w:r>
        <w:rPr/>
        <w:t xml:space="preserve">1. </w:t>
      </w:r>
      <w:r>
        <w:rPr>
          <w:b/>
        </w:rPr>
        <w:t>Standar ACGIH BEI® Tradisional (Adopsi Permenaker 5/2018 Lampiran 4 IPB):</w:t>
      </w:r>
    </w:p>
    <w:p>
      <w:pPr>
        <w:pStyle w:val="ListBullet2"/>
        <w:spacing w:after="20"/>
      </w:pPr>
      <w:r>
        <w:rPr>
          <w:b/>
        </w:rPr>
        <w:t>Pilihan 1 (Kinetika Akut Harian):</w:t>
      </w:r>
      <w:r>
        <w:rPr/>
        <w:t xml:space="preserve"> Total kromium urin meningkat selama shift kerja (</w:t>
      </w:r>
      <w:r>
        <w:rPr>
          <w:b/>
        </w:rPr>
        <w:t>Increase during shift</w:t>
      </w:r>
      <w:r>
        <w:rPr/>
        <w:t xml:space="preserve"> = selisih urin post-shift dikurangi pre-shift) sebesar </w:t>
      </w:r>
      <w:r>
        <w:rPr>
          <w:b/>
        </w:rPr>
        <w:t>10 µg/L</w:t>
      </w:r>
      <w:r>
        <w:rPr/>
        <w:t>.</w:t>
      </w:r>
    </w:p>
    <w:p>
      <w:pPr>
        <w:pStyle w:val="ListBullet2"/>
        <w:spacing w:after="20"/>
      </w:pPr>
      <w:r>
        <w:rPr>
          <w:b/>
        </w:rPr>
        <w:t>Pilihan 2 (Akumulasi Mingguan):</w:t>
      </w:r>
      <w:r>
        <w:rPr/>
        <w:t xml:space="preserve"> Total kromium urin diambil pada </w:t>
      </w:r>
      <w:r>
        <w:rPr>
          <w:b/>
        </w:rPr>
        <w:t>akhir shift kerja di akhir minggu kerja (</w:t>
      </w:r>
      <w:r>
        <w:rPr>
          <w:b/>
          <w:i/>
        </w:rPr>
        <w:t>End of shift at end of workweek</w:t>
      </w:r>
      <w:r>
        <w:rPr>
          <w:b/>
        </w:rPr>
        <w:t>)</w:t>
      </w:r>
      <w:r>
        <w:rPr/>
        <w:t xml:space="preserve"> sebesar </w:t>
      </w:r>
      <w:r>
        <w:rPr>
          <w:b/>
        </w:rPr>
        <w:t>25 µg/L</w:t>
      </w:r>
      <w:r>
        <w:rPr/>
        <w:t>.</w:t>
      </w:r>
    </w:p>
    <w:p>
      <w:pPr>
        <w:pStyle w:val="ListBullet2"/>
        <w:spacing w:after="20"/>
      </w:pPr>
      <w:r>
        <w:rPr>
          <w:i/>
        </w:rPr>
        <w:t>Konteks Penurunan:</w:t>
      </w:r>
      <w:r>
        <w:rPr/>
        <w:t xml:space="preserve"> Nilai 25 µg/L ini diturunkan saat TLV-TWA Cr(VI) udara masih berada pada angka 0,05 mg/m³.</w:t>
      </w:r>
    </w:p>
    <w:p>
      <w:pPr>
        <w:spacing w:after="40"/>
        <w:ind w:left="340" w:hanging="283"/>
      </w:pPr>
      <w:r>
        <w:rPr/>
        <w:t xml:space="preserve">2. </w:t>
      </w:r>
      <w:r>
        <w:rPr>
          <w:b/>
        </w:rPr>
        <w:t>Standar ACGIH BEI® Terbaru (Buku Referensi TLV/BEI 2026):</w:t>
      </w:r>
    </w:p>
    <w:p>
      <w:pPr>
        <w:pStyle w:val="ListBullet2"/>
        <w:spacing w:after="20"/>
      </w:pPr>
      <w:r>
        <w:rPr/>
        <w:t>Seiring pemotongan TLV udara Cr(VI) menjadi 0,0002 mg/m³, ACGIH mengadopsi nilai panduan berbasis populasi (</w:t>
      </w:r>
      <w:r>
        <w:rPr>
          <w:i/>
        </w:rPr>
        <w:t>Population-based biomarker</w:t>
      </w:r>
      <w:r>
        <w:rPr/>
        <w:t xml:space="preserve"> / </w:t>
      </w:r>
      <w:r>
        <w:rPr>
          <w:b/>
        </w:rPr>
        <w:t>Pop</w:t>
      </w:r>
      <w:r>
        <w:rPr/>
        <w:t>):</w:t>
      </w:r>
    </w:p>
    <w:p>
      <w:pPr>
        <w:pStyle w:val="ListBullet2"/>
        <w:spacing w:after="20"/>
      </w:pPr>
      <w:r>
        <w:rPr>
          <w:b/>
        </w:rPr>
        <w:t>Determinan:</w:t>
      </w:r>
      <w:r>
        <w:rPr/>
        <w:t xml:space="preserve"> Total kromium dalam urin (</w:t>
      </w:r>
      <w:r>
        <w:rPr>
          <w:i/>
        </w:rPr>
        <w:t>Total chromium in urine</w:t>
      </w:r>
      <w:r>
        <w:rPr/>
        <w:t>).</w:t>
      </w:r>
    </w:p>
    <w:p>
      <w:pPr>
        <w:pStyle w:val="ListBullet2"/>
        <w:spacing w:after="20"/>
      </w:pPr>
      <w:r>
        <w:rPr>
          <w:b/>
        </w:rPr>
        <w:t>Waktu Sampling:</w:t>
      </w:r>
      <w:r>
        <w:rPr/>
        <w:t xml:space="preserve"> </w:t>
      </w:r>
      <w:r>
        <w:rPr>
          <w:b/>
        </w:rPr>
        <w:t>Akhir shift di akhir minggu kerja (</w:t>
      </w:r>
      <w:r>
        <w:rPr>
          <w:b/>
          <w:i/>
        </w:rPr>
        <w:t>End of shift at end of workweek</w:t>
      </w:r>
      <w:r>
        <w:rPr>
          <w:b/>
        </w:rPr>
        <w:t>)</w:t>
      </w:r>
      <w:r>
        <w:rPr/>
        <w:t>.</w:t>
      </w:r>
    </w:p>
    <w:p>
      <w:pPr>
        <w:pStyle w:val="ListBullet2"/>
        <w:spacing w:after="20"/>
      </w:pPr>
      <w:r>
        <w:rPr>
          <w:b/>
        </w:rPr>
        <w:t>Nilai BEI:</w:t>
      </w:r>
      <w:r>
        <w:rPr/>
        <w:t xml:space="preserve"> </w:t>
      </w:r>
      <w:r>
        <w:rPr>
          <w:b/>
        </w:rPr>
        <w:t>0,7 µg/L</w:t>
      </w:r>
      <w:r>
        <w:rPr/>
        <w:t xml:space="preserve"> (Notasi: </w:t>
      </w:r>
      <w:r>
        <w:rPr>
          <w:b/>
        </w:rPr>
        <w:t>Pop</w:t>
      </w:r>
      <w:r>
        <w:rPr/>
        <w:t>).</w:t>
      </w:r>
    </w:p>
    <w:p>
      <w:pPr>
        <w:spacing w:after="40"/>
        <w:ind w:left="340" w:hanging="283"/>
      </w:pPr>
      <w:r>
        <w:rPr/>
        <w:t xml:space="preserve">3. </w:t>
      </w:r>
      <w:r>
        <w:rPr>
          <w:b/>
        </w:rPr>
        <w:t>Standar Komparasi Internasional Eropa:</w:t>
      </w:r>
    </w:p>
    <w:p>
      <w:pPr>
        <w:pStyle w:val="ListBullet2"/>
        <w:spacing w:after="20"/>
      </w:pPr>
      <w:r>
        <w:rPr>
          <w:b/>
        </w:rPr>
        <w:t>Prancis (ANSES BLV):</w:t>
      </w:r>
      <w:r>
        <w:rPr/>
        <w:t xml:space="preserve"> </w:t>
      </w:r>
      <w:r>
        <w:rPr>
          <w:b/>
        </w:rPr>
        <w:t>2,5 µg/L</w:t>
      </w:r>
      <w:r>
        <w:rPr/>
        <w:t xml:space="preserve"> (1,8 µg/g kreatinin) pada akhir minggu kerja.</w:t>
      </w:r>
    </w:p>
    <w:p>
      <w:pPr>
        <w:pStyle w:val="ListBullet2"/>
        <w:spacing w:after="20"/>
      </w:pPr>
      <w:r>
        <w:rPr>
          <w:b/>
        </w:rPr>
        <w:t>Inggris (HSE BMGV):</w:t>
      </w:r>
      <w:r>
        <w:rPr/>
        <w:t xml:space="preserve"> </w:t>
      </w:r>
      <w:r>
        <w:rPr>
          <w:b/>
        </w:rPr>
        <w:t>10 µmol/mol kreatinin</w:t>
      </w:r>
      <w:r>
        <w:rPr/>
        <w:t xml:space="preserve"> (setara </w:t>
      </w:r>
      <w:r>
        <w:rPr>
          <w:b/>
        </w:rPr>
        <w:t>≈ 6,3 µg/L</w:t>
      </w:r>
      <w:r>
        <w:rPr/>
        <w:t>) pada akhir shift.</w:t>
      </w:r>
    </w:p>
    <w:p>
      <w:pPr>
        <w:pStyle w:val="ListBullet2"/>
        <w:spacing w:after="20"/>
      </w:pPr>
      <w:r>
        <w:rPr>
          <w:b/>
        </w:rPr>
        <w:t>Jerman (DFG BAR):</w:t>
      </w:r>
      <w:r>
        <w:rPr/>
        <w:t xml:space="preserve"> </w:t>
      </w:r>
      <w:r>
        <w:rPr>
          <w:b/>
        </w:rPr>
        <w:t>0,6 µg/L</w:t>
      </w:r>
      <w:r>
        <w:rPr/>
        <w:t xml:space="preserve"> untuk populasi umum non-terpajan.</w:t>
      </w:r>
    </w:p>
    <w:p>
      <w:pPr>
        <w:spacing w:after="40"/>
        <w:ind w:left="340" w:hanging="283"/>
      </w:pPr>
      <w:r>
        <w:rPr/>
        <w:t xml:space="preserve">4. </w:t>
      </w:r>
      <w:r>
        <w:rPr>
          <w:b/>
        </w:rPr>
        <w:t>Waktu Sampling Khusus Eritrosit (Cr-RBC):</w:t>
      </w:r>
    </w:p>
    <w:p>
      <w:pPr>
        <w:spacing w:after="80"/>
      </w:pPr>
      <w:r>
        <w:rPr/>
        <w:t xml:space="preserve">Kromium dalam sel darah merah mencerminkan dosis kumulatif Cr(VI) murni selama 120 hari; waktu pengambilan sampel darah heparin bersifat </w:t>
      </w:r>
      <w:r>
        <w:rPr>
          <w:b/>
        </w:rPr>
        <w:t>bebas / tidak kritis (</w:t>
      </w:r>
      <w:r>
        <w:rPr>
          <w:b/>
          <w:i/>
        </w:rPr>
        <w:t>not critical / discretionary</w:t>
      </w:r>
      <w:r>
        <w:rPr>
          <w:b/>
        </w:rPr>
        <w:t>)</w:t>
      </w:r>
      <w:r>
        <w:rPr/>
        <w:t>.</w:t>
      </w:r>
    </w:p>
    <w:p>
      <w:pPr>
        <w:pStyle w:val="Heading3"/>
      </w:pPr>
      <w:r>
        <w:t>11. Tata Laksana Klinis dan Toksikologi Darurat Keracunan Akut</w:t>
      </w:r>
    </w:p>
    <w:p>
      <w:pPr>
        <w:spacing w:after="80"/>
      </w:pPr>
      <w:r>
        <w:rPr/>
        <w:t>Keracunan akut senyawa Cr(VI) (seperti asam kromat atau kalium dikromat) adalah kegawatdaruratan toksikologi yang mengancam jiwa.</w:t>
      </w:r>
    </w:p>
    <w:p>
      <w:pPr>
        <w:spacing w:after="120"/>
        <w:ind w:left="170"/>
      </w:pPr>
      <w:r>
        <w:rPr>
          <w:rFonts w:ascii="Consolas" w:hAnsi="Consolas" w:eastAsia="Consolas"/>
          <w:sz w:val="13"/>
        </w:rPr>
        <w:t xml:space="preserve">                              [ ALGORITMA GAWAT DARURAT INTOKSIKASI Cr(VI)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PAJANAN INGESTI ]                     [ KONTAK DERMAL / MATA ]                   [ INHALASI AKUT ]</w:t>
      </w:r>
      <w:r>
        <w:br/>
      </w:r>
      <w:r>
        <w:rPr>
          <w:rFonts w:ascii="Consolas" w:hAnsi="Consolas" w:eastAsia="Consolas"/>
          <w:sz w:val="13"/>
        </w:rPr>
        <w:t>• KONTRAINDIKASI EMESIS!                 • Dekontaminasi air mengalir 15–20 mnt     • Evakuasi ke udara bersih</w:t>
      </w:r>
      <w:r>
        <w:br/>
      </w:r>
      <w:r>
        <w:rPr>
          <w:rFonts w:ascii="Consolas" w:hAnsi="Consolas" w:eastAsia="Consolas"/>
          <w:sz w:val="13"/>
        </w:rPr>
        <w:t xml:space="preserve">  (Risiko perforasi kaustik)             • Asam Askorbat (Vit C) Topikal 10%        • O2 lembap + Bronkodilator</w:t>
      </w:r>
      <w:r>
        <w:br/>
      </w:r>
      <w:r>
        <w:rPr>
          <w:rFonts w:ascii="Consolas" w:hAnsi="Consolas" w:eastAsia="Consolas"/>
          <w:sz w:val="13"/>
        </w:rPr>
        <w:t>• Asam Askorbat Oral 2–10 g segera         reduksi Cr(VI) jadi Cr(III) non-toksik   • Waspada Edema Paru Lambat</w:t>
      </w:r>
      <w:r>
        <w:br/>
      </w:r>
      <w:r>
        <w:rPr>
          <w:rFonts w:ascii="Consolas" w:hAnsi="Consolas" w:eastAsia="Consolas"/>
          <w:sz w:val="13"/>
        </w:rPr>
        <w:t>• Resusitasi IV agresif cegah ATN        • Debridement luka bakar kimiawi             (Observasi ICU 24–48 jam)</w:t>
      </w:r>
      <w:r>
        <w:br/>
      </w:r>
      <w:r>
        <w:rPr>
          <w:rFonts w:ascii="Consolas" w:hAnsi="Consolas" w:eastAsia="Consolas"/>
          <w:sz w:val="13"/>
        </w:rPr>
        <w:t>• Hemodialisis bila anuria/uremia        • Irigasi mata salin normal 15–30 mnt</w:t>
      </w:r>
    </w:p>
    <w:p>
      <w:pPr>
        <w:pStyle w:val="Heading4"/>
      </w:pPr>
      <w:r>
        <w:t>a. Ingesti Akut Cr(VI) (Tertelan Garam Kromat / Cairan Asam Kromat)</w:t>
      </w:r>
    </w:p>
    <w:p>
      <w:pPr>
        <w:spacing w:after="40"/>
        <w:ind w:left="340" w:hanging="283"/>
      </w:pPr>
      <w:r>
        <w:rPr/>
        <w:t xml:space="preserve">1. </w:t>
      </w:r>
      <w:r>
        <w:rPr>
          <w:b/>
        </w:rPr>
        <w:t>Kontraindikasi Mutlak:</w:t>
      </w:r>
      <w:r>
        <w:rPr/>
        <w:t xml:space="preserve"> </w:t>
      </w:r>
      <w:r>
        <w:rPr>
          <w:b/>
        </w:rPr>
        <w:t>DILARANG melakukan induksi muntah (</w:t>
      </w:r>
      <w:r>
        <w:rPr>
          <w:b/>
          <w:i/>
        </w:rPr>
        <w:t>emesis induction</w:t>
      </w:r>
      <w:r>
        <w:rPr>
          <w:b/>
        </w:rPr>
        <w:t>)</w:t>
      </w:r>
      <w:r>
        <w:rPr/>
        <w:t xml:space="preserve"> dan bilas lambung (</w:t>
      </w:r>
      <w:r>
        <w:rPr>
          <w:i/>
        </w:rPr>
        <w:t>gastric lavage</w:t>
      </w:r>
      <w:r>
        <w:rPr/>
        <w:t>) dengan selang kaku tanpa visualisasi, karena asam kromat bersifat korosif kuat sehingga memicu risiko ruptur esofagus atau aspirasi asam. Pemberian arang aktif (</w:t>
      </w:r>
      <w:r>
        <w:rPr>
          <w:i/>
        </w:rPr>
        <w:t>activated charcoal</w:t>
      </w:r>
      <w:r>
        <w:rPr/>
        <w:t>) tidak efektif karena daya adsorpsi arang terhadap ion logam berat sangat buruk.</w:t>
      </w:r>
    </w:p>
    <w:p>
      <w:pPr>
        <w:spacing w:after="40"/>
        <w:ind w:left="340" w:hanging="283"/>
      </w:pPr>
      <w:r>
        <w:rPr/>
        <w:t xml:space="preserve">2. </w:t>
      </w:r>
      <w:r>
        <w:rPr>
          <w:b/>
        </w:rPr>
        <w:t>Antidotum Kimiawi Lambung (Asam Askorbat / Vitamin C):</w:t>
      </w:r>
    </w:p>
    <w:p>
      <w:pPr>
        <w:pStyle w:val="ListBullet2"/>
        <w:spacing w:after="20"/>
      </w:pPr>
      <w:r>
        <w:rPr>
          <w:i/>
        </w:rPr>
        <w:t>Mekanisme:</w:t>
      </w:r>
      <w:r>
        <w:rPr/>
        <w:t xml:space="preserve"> Asam askorbat bertindak sebagai reduktor kuat yang mentransfer elektron ke Cr(VI) di dalam lumen lambung, mengubahnya secara instan menjadi kation </w:t>
      </w:r>
      <w:r>
        <w:rPr>
          <w:b/>
        </w:rPr>
        <w:t>Cr(III) yang praktis tidak diserap oleh mukosa gastrointestinal</w:t>
      </w:r>
      <w:r>
        <w:rPr/>
        <w:t>, lalu diekskresikan aman lewat feses.</w:t>
      </w:r>
    </w:p>
    <w:p>
      <w:pPr>
        <w:pStyle w:val="ListBullet2"/>
        <w:spacing w:after="20"/>
      </w:pPr>
      <w:r>
        <w:rPr>
          <w:i/>
        </w:rPr>
        <w:t>Dosis:</w:t>
      </w:r>
      <w:r>
        <w:rPr/>
        <w:t xml:space="preserve"> Segera berikan larutan </w:t>
      </w:r>
      <w:r>
        <w:rPr>
          <w:b/>
        </w:rPr>
        <w:t>asam askorbat oral dosis 2 sampai 10 gram</w:t>
      </w:r>
      <w:r>
        <w:rPr/>
        <w:t xml:space="preserve"> dilarutkan dalam air (atau via selang nasogastrik lunak jika jalan napas terlindungi).</w:t>
      </w:r>
    </w:p>
    <w:p>
      <w:pPr>
        <w:spacing w:after="40"/>
        <w:ind w:left="340" w:hanging="283"/>
      </w:pPr>
      <w:r>
        <w:rPr/>
        <w:t xml:space="preserve">3. </w:t>
      </w:r>
      <w:r>
        <w:rPr>
          <w:b/>
        </w:rPr>
        <w:t>Resusitasi Cairan dan Proteksi Ginjal:</w:t>
      </w:r>
    </w:p>
    <w:p>
      <w:pPr>
        <w:spacing w:after="80"/>
      </w:pPr>
      <w:r>
        <w:rPr/>
        <w:t xml:space="preserve">Penyebab kematian utama dalam 24–72 jam pertama adalah </w:t>
      </w:r>
      <w:r>
        <w:rPr>
          <w:b/>
        </w:rPr>
        <w:t>gagal ginjal akut (</w:t>
      </w:r>
      <w:r>
        <w:rPr>
          <w:b/>
          <w:i/>
        </w:rPr>
        <w:t>Acute Tubular Necrosis</w:t>
      </w:r>
      <w:r>
        <w:rPr>
          <w:b/>
        </w:rPr>
        <w:t xml:space="preserve"> / ATN)</w:t>
      </w:r>
      <w:r>
        <w:rPr/>
        <w:t xml:space="preserve"> akibat toksisitas sitotoksik langsung kromium pada tubulus proksimal dan syok hipovolemik. Berikan hidrasi intravena agresif (kristaloid NaCl 0,9%) untuk memelihara </w:t>
      </w:r>
      <w:r>
        <w:rPr>
          <w:i/>
        </w:rPr>
        <w:t>urine output</w:t>
      </w:r>
      <w:r>
        <w:rPr/>
        <w:t xml:space="preserve"> tinggi (&gt;100–200 mL/jam) disertai pemantauan keseimbangan cairan ketat.</w:t>
      </w:r>
    </w:p>
    <w:p>
      <w:pPr>
        <w:spacing w:after="40"/>
        <w:ind w:left="340" w:hanging="283"/>
      </w:pPr>
      <w:r>
        <w:rPr/>
        <w:t xml:space="preserve">4. </w:t>
      </w:r>
      <w:r>
        <w:rPr>
          <w:b/>
        </w:rPr>
        <w:t>Peran Kelasi dan Hemodialisis:</w:t>
      </w:r>
    </w:p>
    <w:p>
      <w:pPr>
        <w:pStyle w:val="ListBullet2"/>
        <w:spacing w:after="20"/>
      </w:pPr>
      <w:r>
        <w:rPr>
          <w:i/>
        </w:rPr>
        <w:t>Kelasi Sistemik:</w:t>
      </w:r>
      <w:r>
        <w:rPr/>
        <w:t xml:space="preserve"> Agen kelasi sulfhidril konvensional (BAL / Dimercaprol) memiliki efikasi terbatas dan toksisitas tinggi; </w:t>
      </w:r>
      <w:r>
        <w:rPr>
          <w:b/>
        </w:rPr>
        <w:t>DMSA (Succimer) atau Kalsium Disodium EDTA (CaNa₂EDTA)</w:t>
      </w:r>
      <w:r>
        <w:rPr/>
        <w:t xml:space="preserve"> dapat dipertimbangkan pada fase awal untuk meningkatkan eliminasi Cr(III) bebas di urin, namun harus digunakan dengan pemantauan fungsi ginjal ekstra hati-hati karena EDTA sendiri berpotensi nefrotoksik.</w:t>
      </w:r>
    </w:p>
    <w:p>
      <w:pPr>
        <w:pStyle w:val="ListBullet2"/>
        <w:spacing w:after="20"/>
      </w:pPr>
      <w:r>
        <w:rPr>
          <w:i/>
        </w:rPr>
        <w:t>Hemodialisis:</w:t>
      </w:r>
      <w:r>
        <w:rPr/>
        <w:t xml:space="preserve"> Diindikasikan segera bila pasien jatuh ke dalam oliguria/anuria, hiperkalemia, asidosis refrakter, dan uremia. Meskipun hemodialisis tidak efektif membersihkan kromium yang telah terperangkap di dalam eritrosit, tindakan ini mutlak menyelamatkan nyawa dari gagal ginjal akut.</w:t>
      </w:r>
    </w:p>
    <w:p>
      <w:pPr>
        <w:pStyle w:val="Heading4"/>
      </w:pPr>
      <w:r>
        <w:t>b. Kontak Kulit dan Mata (Dermal &amp; Ocular Decontamination)</w:t>
      </w:r>
    </w:p>
    <w:p>
      <w:pPr>
        <w:spacing w:after="40"/>
        <w:ind w:left="340" w:hanging="283"/>
      </w:pPr>
      <w:r>
        <w:rPr/>
        <w:t xml:space="preserve">1. </w:t>
      </w:r>
      <w:r>
        <w:rPr>
          <w:i/>
        </w:rPr>
        <w:t>Kulit:</w:t>
      </w:r>
      <w:r>
        <w:rPr/>
        <w:t xml:space="preserve"> Buka seluruh pakaian yang terkontaminasi dan masukkan ke kantong ganda (</w:t>
      </w:r>
      <w:r>
        <w:rPr>
          <w:i/>
        </w:rPr>
        <w:t>double-bagging</w:t>
      </w:r>
      <w:r>
        <w:rPr/>
        <w:t>). Basuh kulit dengan air mengalir dalam jumlah masif selama minimal 15–20 menit.</w:t>
      </w:r>
    </w:p>
    <w:p>
      <w:pPr>
        <w:spacing w:after="40"/>
        <w:ind w:left="340" w:hanging="283"/>
      </w:pPr>
      <w:r>
        <w:rPr/>
        <w:t xml:space="preserve">2. </w:t>
      </w:r>
      <w:r>
        <w:rPr>
          <w:i/>
        </w:rPr>
        <w:t>Aplikasi Asam Askorbat Topikal:</w:t>
      </w:r>
      <w:r>
        <w:rPr/>
        <w:t xml:space="preserve"> Oleskan kasa yang dibasahi </w:t>
      </w:r>
      <w:r>
        <w:rPr>
          <w:b/>
        </w:rPr>
        <w:t>larutan asam askorbat 10% atau salep asam askorbat</w:t>
      </w:r>
      <w:r>
        <w:rPr/>
        <w:t xml:space="preserve"> langsung ke area luka bakar kimiawi; reduksi Cr(VI) menjadi Cr(III) pada permukaan dermis terbukti mencegah timbulnya ulkus bergaung (</w:t>
      </w:r>
      <w:r>
        <w:rPr>
          <w:i/>
        </w:rPr>
        <w:t>chrome holes</w:t>
      </w:r>
      <w:r>
        <w:rPr/>
        <w:t>) dan menekan absorpsi perkutan sistemik.</w:t>
      </w:r>
    </w:p>
    <w:p>
      <w:pPr>
        <w:spacing w:after="40"/>
        <w:ind w:left="340" w:hanging="283"/>
      </w:pPr>
      <w:r>
        <w:rPr/>
        <w:t xml:space="preserve">3. </w:t>
      </w:r>
      <w:r>
        <w:rPr>
          <w:i/>
        </w:rPr>
        <w:t>Mata:</w:t>
      </w:r>
      <w:r>
        <w:rPr/>
        <w:t xml:space="preserve"> Irigasi segera dengan salin normal steril atau air steril secara kontinu selama minimal 15–30 menit, eversi kelopak mata, evaluasi pH konjungtiva, dan rujuk darurat ke dokter spesialis mata.</w:t>
      </w:r>
    </w:p>
    <w:p>
      <w:pPr>
        <w:pStyle w:val="Heading4"/>
      </w:pPr>
      <w:r>
        <w:t>c. Inhalasi Akut (Uap Asam Kromat / Aerosol Cr VI Pekat)</w:t>
      </w:r>
    </w:p>
    <w:p>
      <w:pPr>
        <w:spacing w:after="40"/>
        <w:ind w:left="340" w:hanging="283"/>
      </w:pPr>
      <w:r>
        <w:rPr/>
        <w:t>1. Pindahkan korban segera dari zona bahaya (</w:t>
      </w:r>
      <w:r>
        <w:rPr>
          <w:i/>
        </w:rPr>
        <w:t>Hot Zone</w:t>
      </w:r>
      <w:r>
        <w:rPr/>
        <w:t>) ke udara bersih.</w:t>
      </w:r>
    </w:p>
    <w:p>
      <w:pPr>
        <w:spacing w:after="40"/>
        <w:ind w:left="340" w:hanging="283"/>
      </w:pPr>
      <w:r>
        <w:rPr/>
        <w:t>2. Berikan suplementasi oksigen lembap 100%.</w:t>
      </w:r>
    </w:p>
    <w:p>
      <w:pPr>
        <w:spacing w:after="40"/>
        <w:ind w:left="340" w:hanging="283"/>
      </w:pPr>
      <w:r>
        <w:rPr/>
        <w:t>3. Bila terjadi bronkospasme, berikan terapi aerosol bronkodilator agonis beta-2 (salbutamol).</w:t>
      </w:r>
    </w:p>
    <w:p>
      <w:pPr>
        <w:spacing w:after="40"/>
        <w:ind w:left="340" w:hanging="283"/>
      </w:pPr>
      <w:r>
        <w:rPr/>
        <w:t xml:space="preserve">4. </w:t>
      </w:r>
      <w:r>
        <w:rPr>
          <w:i/>
        </w:rPr>
        <w:t>Waspada Edema Paru Kimiawi Lambat:</w:t>
      </w:r>
      <w:r>
        <w:rPr/>
        <w:t xml:space="preserve"> Karena senyawa kromat dapat memicu kerusakan membran alveolar-kapiler yang tertunda (</w:t>
      </w:r>
      <w:r>
        <w:rPr>
          <w:i/>
        </w:rPr>
        <w:t>delayed chemical pneumonitis/pulmonary edema</w:t>
      </w:r>
      <w:r>
        <w:rPr/>
        <w:t xml:space="preserve">), </w:t>
      </w:r>
      <w:r>
        <w:rPr>
          <w:b/>
        </w:rPr>
        <w:t>pasien wajib diobservasi ketat di ruang rawat intensif (ICU) selama 24 hingga 48 jam</w:t>
      </w:r>
      <w:r>
        <w:rPr/>
        <w:t xml:space="preserve"> dengan pemantauan serial foto toraks dan analisis gas darah arterial.</w:t>
      </w:r>
    </w:p>
    <w:p>
      <w:pPr>
        <w:pStyle w:val="Heading3"/>
      </w:pPr>
      <w:r>
        <w:t>12. Tata Laksana Individu dan Komunitas Okupasi</w:t>
      </w:r>
    </w:p>
    <w:p>
      <w:pPr>
        <w:spacing w:after="80"/>
      </w:pPr>
      <w:r>
        <w:rPr/>
        <w:t xml:space="preserve">Penerapan menyeluruh standar pelayanan Kedokteran Okupasi di faskes dan manajemen perusahaan mengacu pada </w:t>
      </w:r>
      <w:r>
        <w:rPr>
          <w:b/>
        </w:rPr>
        <w:t>Permenkes No. 11 Tahun 2022</w:t>
      </w:r>
      <w:r>
        <w:rPr/>
        <w:t xml:space="preserve"> dan regulasi K3 nasional:</w:t>
      </w:r>
    </w:p>
    <w:p>
      <w:pPr>
        <w:spacing w:after="120"/>
        <w:ind w:left="170"/>
      </w:pPr>
      <w:r>
        <w:rPr>
          <w:rFonts w:ascii="Consolas" w:hAnsi="Consolas" w:eastAsia="Consolas"/>
          <w:sz w:val="13"/>
        </w:rPr>
        <w:t xml:space="preserve">                     [ PENERAPAN 7 LANGKAH DIAGNOSIS OKUPASI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KANKER PARU BRONKOGENIK ]     [ ULKUS SEPTUM NASI ]        [ DERMATITIS KONTAK (DKA) ]</w:t>
      </w:r>
      <w:r>
        <w:br/>
      </w:r>
      <w:r>
        <w:rPr>
          <w:rFonts w:ascii="Consolas" w:hAnsi="Consolas" w:eastAsia="Consolas"/>
          <w:sz w:val="13"/>
        </w:rPr>
        <w:t xml:space="preserve">  • Riwayat: Plating/welder       • Riwayat: Aerosol asam      • Riwayat: Kontak semen/larutan</w:t>
      </w:r>
      <w:r>
        <w:br/>
      </w:r>
      <w:r>
        <w:rPr>
          <w:rFonts w:ascii="Consolas" w:hAnsi="Consolas" w:eastAsia="Consolas"/>
          <w:sz w:val="13"/>
        </w:rPr>
        <w:t xml:space="preserve">  • Masa laten: &gt; 10–20 tahun       kromat tanpa LEV             kromat pada tangan</w:t>
      </w:r>
      <w:r>
        <w:br/>
      </w:r>
      <w:r>
        <w:rPr>
          <w:rFonts w:ascii="Consolas" w:hAnsi="Consolas" w:eastAsia="Consolas"/>
          <w:sz w:val="13"/>
        </w:rPr>
        <w:t xml:space="preserve">  • Bukti: Sitologi / Histologi   • Klinis: Ulkus bergaung /   • Bukti: Patch Test Positif</w:t>
      </w:r>
      <w:r>
        <w:br/>
      </w:r>
      <w:r>
        <w:rPr>
          <w:rFonts w:ascii="Consolas" w:hAnsi="Consolas" w:eastAsia="Consolas"/>
          <w:sz w:val="13"/>
        </w:rPr>
        <w:t xml:space="preserve">  • Hubungan kausal Cr(VI) A1       perforasi septum nasi        terhadap Kalium Dikromat</w:t>
      </w:r>
      <w:r>
        <w:br/>
      </w:r>
      <w:r>
        <w:rPr>
          <w:rFonts w:ascii="Consolas" w:hAnsi="Consolas" w:eastAsia="Consolas"/>
          <w:sz w:val="13"/>
        </w:rPr>
        <w:t xml:space="preserve">  • Evaluasi rokok (sinergisme)   • Dosis internal: Cr-U naik  • Resolusi saat libur kerja</w:t>
      </w:r>
    </w:p>
    <w:p>
      <w:pPr>
        <w:pStyle w:val="Heading4"/>
      </w:pPr>
      <w:r>
        <w:t>a. Aplikasi 7 Langkah Diagnosis PAK (Permenkes No. 11 Tahun 2022)</w:t>
      </w:r>
    </w:p>
    <w:p>
      <w:pPr>
        <w:spacing w:after="80"/>
      </w:pPr>
      <w:r>
        <w:rPr/>
        <w:t>##### Kasus A: Karsinoma Paru Bronkogenik pada Pekerja Pengelasan Stainless Steel / Hard Chrome</w:t>
      </w:r>
    </w:p>
    <w:p>
      <w:pPr>
        <w:pStyle w:val="ListBullet"/>
        <w:spacing w:after="20"/>
      </w:pPr>
      <w:r>
        <w:rPr>
          <w:b/>
        </w:rPr>
        <w:t>Langkah 1 (Diagnosis Klinis):</w:t>
      </w:r>
      <w:r>
        <w:rPr/>
        <w:t xml:space="preserve"> Karsinoma Sel Skuamosa Paru Lobus Superior Dextra stadium IIIA (ICD-10: C34.1) ditegakkan via CT-Scan toraks, bronkoskopi, dan biopsi histopatologi.</w:t>
      </w:r>
    </w:p>
    <w:p>
      <w:pPr>
        <w:pStyle w:val="ListBullet"/>
        <w:spacing w:after="20"/>
      </w:pPr>
      <w:r>
        <w:rPr>
          <w:b/>
        </w:rPr>
        <w:t>Langkah 2 (Pajanan di Tempat Kerja):</w:t>
      </w:r>
      <w:r>
        <w:rPr/>
        <w:t xml:space="preserve"> Bekerja selama 18 tahun sebagai </w:t>
      </w:r>
      <w:r>
        <w:rPr>
          <w:i/>
        </w:rPr>
        <w:t>welder</w:t>
      </w:r>
      <w:r>
        <w:rPr/>
        <w:t xml:space="preserve"> baja tahan karat (</w:t>
      </w:r>
      <w:r>
        <w:rPr>
          <w:i/>
        </w:rPr>
        <w:t>stainless steel</w:t>
      </w:r>
      <w:r>
        <w:rPr/>
        <w:t>) menggunakan teknik FCAW dan SMAW di ruang tertutup (</w:t>
      </w:r>
      <w:r>
        <w:rPr>
          <w:i/>
        </w:rPr>
        <w:t>confined space</w:t>
      </w:r>
      <w:r>
        <w:rPr/>
        <w:t xml:space="preserve"> tangki industri). Terpajan </w:t>
      </w:r>
      <w:r>
        <w:rPr>
          <w:i/>
        </w:rPr>
        <w:t>fume</w:t>
      </w:r>
      <w:r>
        <w:rPr/>
        <w:t xml:space="preserve"> mengandung senyawa Cr(VI) dan nikel.</w:t>
      </w:r>
    </w:p>
    <w:p>
      <w:pPr>
        <w:pStyle w:val="ListBullet"/>
        <w:spacing w:after="20"/>
      </w:pPr>
      <w:r>
        <w:rPr>
          <w:b/>
        </w:rPr>
        <w:t>Langkah 3 (Hubungan Kausal Berdasarkan Bukti Ilmiah):</w:t>
      </w:r>
      <w:r>
        <w:rPr/>
        <w:t xml:space="preserve"> IARC Monograph 100C dan dokumen ACGIH menetapkan senyawa Cr(VI) sebagai karsinogen paru manusia terbukti (Grup 1 / A1) dengan masa laten rata-rata 10–30 tahun.</w:t>
      </w:r>
    </w:p>
    <w:p>
      <w:pPr>
        <w:pStyle w:val="ListBullet"/>
        <w:spacing w:after="20"/>
      </w:pPr>
      <w:r>
        <w:rPr>
          <w:b/>
        </w:rPr>
        <w:t>Langkah 4 (Besaran Pajanan):</w:t>
      </w:r>
      <w:r>
        <w:rPr/>
        <w:t xml:space="preserve"> Hasil pemantauan higiene industri masa lalu menunjukkan konsentrasi Cr(VI) di udara kerja mencapai 0,015 mg/m³ (melampaui TLV 0,0002 mg/m³ dan NAB 0,01 mg/m³); respirasi tanpa respirator standar particulate filter P100.</w:t>
      </w:r>
    </w:p>
    <w:p>
      <w:pPr>
        <w:pStyle w:val="ListBullet"/>
        <w:spacing w:after="20"/>
      </w:pPr>
      <w:r>
        <w:rPr>
          <w:b/>
        </w:rPr>
        <w:t>Langkah 5 (Faktor Individu):</w:t>
      </w:r>
      <w:r>
        <w:rPr/>
        <w:t xml:space="preserve"> Laki-laki, usia 52 tahun, tidak ada riwayat defisiensi imun atau radiasi toraks sebelumnya.</w:t>
      </w:r>
    </w:p>
    <w:p>
      <w:pPr>
        <w:pStyle w:val="ListBullet"/>
        <w:spacing w:after="20"/>
      </w:pPr>
      <w:r>
        <w:rPr>
          <w:b/>
        </w:rPr>
        <w:t>Langkah 6 (Faktor Luar Tempat Kerja):</w:t>
      </w:r>
      <w:r>
        <w:rPr/>
        <w:t xml:space="preserve"> Riwayat merokok 10 batang per hari selama 15 tahun (Indeks Brinkman sedang: 150). </w:t>
      </w:r>
      <w:r>
        <w:rPr>
          <w:i/>
        </w:rPr>
        <w:t>Catatan Toksikologi:</w:t>
      </w:r>
      <w:r>
        <w:rPr/>
        <w:t xml:space="preserve"> Merokok dan pajanan kromium memiliki efek multiplikatif/sinergis terhadap karsinogenesis paru, namun keberadaan faktor merokok tidak menggugurkan kontribusi pajanan karsinogen industri Cr(VI) yang substansial.</w:t>
      </w:r>
    </w:p>
    <w:p>
      <w:pPr>
        <w:pStyle w:val="ListBullet"/>
        <w:spacing w:after="20"/>
      </w:pPr>
      <w:r>
        <w:rPr>
          <w:b/>
        </w:rPr>
        <w:t>Langkah 7 (Kesimpulan Diagnosis):</w:t>
      </w:r>
      <w:r>
        <w:rPr/>
        <w:t xml:space="preserve"> </w:t>
      </w:r>
      <w:r>
        <w:rPr>
          <w:b/>
        </w:rPr>
        <w:t>Penyakit Akibat Kerja (PAK)</w:t>
      </w:r>
      <w:r>
        <w:rPr/>
        <w:t xml:space="preserve"> — Kanker Paru Akibat Kerja Persenyawaan Kromium VI (Perpres 7/2019 Lampiran III Butir 4).</w:t>
      </w:r>
    </w:p>
    <w:p>
      <w:pPr>
        <w:spacing w:after="80"/>
      </w:pPr>
      <w:r>
        <w:rPr/>
        <w:t>##### Kasus B: Ulkus dan Perforasi Septum Nasi pada Pekerja Electroplating</w:t>
      </w:r>
    </w:p>
    <w:p>
      <w:pPr>
        <w:pStyle w:val="ListBullet"/>
        <w:spacing w:after="20"/>
      </w:pPr>
      <w:r>
        <w:rPr>
          <w:b/>
        </w:rPr>
        <w:t>Langkah 1 (Diagnosis Klinis):</w:t>
      </w:r>
      <w:r>
        <w:rPr/>
        <w:t xml:space="preserve"> Perforasi Septum Nasi Kartilago Anterior (ICD-10: J34.8) via pemeriksaan rhinoskopi anterior dan endoskopi nasal.</w:t>
      </w:r>
    </w:p>
    <w:p>
      <w:pPr>
        <w:pStyle w:val="ListBullet"/>
        <w:spacing w:after="20"/>
      </w:pPr>
      <w:r>
        <w:rPr>
          <w:b/>
        </w:rPr>
        <w:t>Langkah 2 (Pajanan Kerja):</w:t>
      </w:r>
      <w:r>
        <w:rPr/>
        <w:t xml:space="preserve"> Bekerja 6 tahun di area bak pelapisan krom (</w:t>
      </w:r>
      <w:r>
        <w:rPr>
          <w:i/>
        </w:rPr>
        <w:t>electroplating bath</w:t>
      </w:r>
      <w:r>
        <w:rPr/>
        <w:t>) yang menggunakan larutan CrO₃.</w:t>
      </w:r>
    </w:p>
    <w:p>
      <w:pPr>
        <w:pStyle w:val="ListBullet"/>
        <w:spacing w:after="20"/>
      </w:pPr>
      <w:r>
        <w:rPr>
          <w:b/>
        </w:rPr>
        <w:t>Langkah 3 (Hubungan Kausal):</w:t>
      </w:r>
      <w:r>
        <w:rPr/>
        <w:t xml:space="preserve"> Asam kromat adalah agen kaustik korosif spesifik yang memicu iskemia dan nekrosis avaskular kartilago septum quadrangularis.</w:t>
      </w:r>
    </w:p>
    <w:p>
      <w:pPr>
        <w:pStyle w:val="ListBullet"/>
        <w:spacing w:after="20"/>
      </w:pPr>
      <w:r>
        <w:rPr>
          <w:b/>
        </w:rPr>
        <w:t>Langkah 4 (Besaran Pajanan):</w:t>
      </w:r>
      <w:r>
        <w:rPr/>
        <w:t xml:space="preserve"> Kadar Cr(VI) udara bak 0,08 mg/m³ (melebihi NAB 0,05 mg/m³); total kromium urin akhir shift = </w:t>
      </w:r>
      <w:r>
        <w:rPr>
          <w:b/>
        </w:rPr>
        <w:t>38 µg/L</w:t>
      </w:r>
      <w:r>
        <w:rPr/>
        <w:t xml:space="preserve"> (melebihi BEI 25 µg/L).</w:t>
      </w:r>
    </w:p>
    <w:p>
      <w:pPr>
        <w:pStyle w:val="ListBullet"/>
        <w:spacing w:after="20"/>
      </w:pPr>
      <w:r>
        <w:rPr>
          <w:b/>
        </w:rPr>
        <w:t>Langkah 5 (Faktor Individu):</w:t>
      </w:r>
      <w:r>
        <w:rPr/>
        <w:t xml:space="preserve"> Higiene perorangan buruk; kebiasaan mengucek hidung dengan tangan kerja yang terkontaminasi.</w:t>
      </w:r>
    </w:p>
    <w:p>
      <w:pPr>
        <w:pStyle w:val="ListBullet"/>
        <w:spacing w:after="20"/>
      </w:pPr>
      <w:r>
        <w:rPr>
          <w:b/>
        </w:rPr>
        <w:t>Langkah 6 (Faktor di Luar Kerja):</w:t>
      </w:r>
      <w:r>
        <w:rPr/>
        <w:t xml:space="preserve"> Tidak ada riwayat trauma wajah, penyalahgunaan kokain intranasal, infeksi tuberkulosis, sifilis, atau penyakit autoimun (granulomatosis Wegener negatif).</w:t>
      </w:r>
    </w:p>
    <w:p>
      <w:pPr>
        <w:pStyle w:val="ListBullet"/>
        <w:spacing w:after="20"/>
      </w:pPr>
      <w:r>
        <w:rPr>
          <w:b/>
        </w:rPr>
        <w:t>Langkah 7 (Kesimpulan):</w:t>
      </w:r>
      <w:r>
        <w:rPr/>
        <w:t xml:space="preserve"> </w:t>
      </w:r>
      <w:r>
        <w:rPr>
          <w:b/>
        </w:rPr>
        <w:t>Penyakit Akibat Kerja (PAK)</w:t>
      </w:r>
      <w:r>
        <w:rPr/>
        <w:t xml:space="preserve"> — Penyakit Saluran Pernapasan Akibat Senyawa Kromium (Perpres 7/2019 Lampiran I.a Butir 4).</w:t>
      </w:r>
    </w:p>
    <w:p>
      <w:pPr>
        <w:spacing w:after="80"/>
      </w:pPr>
      <w:r>
        <w:rPr/>
        <w:t>##### Kasus C: Dermatitis Kontak Alergi pada Pekerja Konstruksi / Semen</w:t>
      </w:r>
    </w:p>
    <w:p>
      <w:pPr>
        <w:pStyle w:val="ListBullet"/>
        <w:spacing w:after="20"/>
      </w:pPr>
      <w:r>
        <w:rPr>
          <w:b/>
        </w:rPr>
        <w:t>Langkah 1 (Diagnosis Klinis):</w:t>
      </w:r>
      <w:r>
        <w:rPr/>
        <w:t xml:space="preserve"> Dermatitis Kontak Alergi (ICD-10: L23.0 akibat logam).</w:t>
      </w:r>
    </w:p>
    <w:p>
      <w:pPr>
        <w:pStyle w:val="ListBullet"/>
        <w:spacing w:after="20"/>
      </w:pPr>
      <w:r>
        <w:rPr>
          <w:b/>
        </w:rPr>
        <w:t>Langkah 2 (Pajanan Kerja):</w:t>
      </w:r>
      <w:r>
        <w:rPr/>
        <w:t xml:space="preserve"> Pekerja plesteran semen basah selama 4 tahun; kontak kutaneus harian dengan semen Portland.</w:t>
      </w:r>
    </w:p>
    <w:p>
      <w:pPr>
        <w:pStyle w:val="ListBullet"/>
        <w:spacing w:after="20"/>
      </w:pPr>
      <w:r>
        <w:rPr>
          <w:b/>
        </w:rPr>
        <w:t>Langkah 3 (Hubungan Kausal):</w:t>
      </w:r>
      <w:r>
        <w:rPr/>
        <w:t xml:space="preserve"> Semen Portland mengandung Cr(VI) larut air yang bertindak sebagai hapten kuat penginduksi hipersensitivitas tipe IV.</w:t>
      </w:r>
    </w:p>
    <w:p>
      <w:pPr>
        <w:pStyle w:val="ListBullet"/>
        <w:spacing w:after="20"/>
      </w:pPr>
      <w:r>
        <w:rPr>
          <w:b/>
        </w:rPr>
        <w:t>Langkah 4 (Besaran Pajanan):</w:t>
      </w:r>
      <w:r>
        <w:rPr/>
        <w:t xml:space="preserve"> Sarung tangan kain rembes; uji tempel (</w:t>
      </w:r>
      <w:r>
        <w:rPr>
          <w:i/>
        </w:rPr>
        <w:t>Patch Test</w:t>
      </w:r>
      <w:r>
        <w:rPr/>
        <w:t xml:space="preserve">) positif kuat (++) terhadap </w:t>
      </w:r>
      <w:r>
        <w:rPr>
          <w:b/>
        </w:rPr>
        <w:t>Kalium Dikromat 0,5% dalam petrolatum</w:t>
      </w:r>
      <w:r>
        <w:rPr/>
        <w:t>.</w:t>
      </w:r>
    </w:p>
    <w:p>
      <w:pPr>
        <w:pStyle w:val="ListBullet"/>
        <w:spacing w:after="20"/>
      </w:pPr>
      <w:r>
        <w:rPr>
          <w:b/>
        </w:rPr>
        <w:t>Langkah 5 (Faktor Individu):</w:t>
      </w:r>
      <w:r>
        <w:rPr/>
        <w:t xml:space="preserve"> Riwayat atopi kulit sebelumnya negatif.</w:t>
      </w:r>
    </w:p>
    <w:p>
      <w:pPr>
        <w:pStyle w:val="ListBullet"/>
        <w:spacing w:after="20"/>
      </w:pPr>
      <w:r>
        <w:rPr>
          <w:b/>
        </w:rPr>
        <w:t>Langkah 6 (Faktor di Luar Kerja):</w:t>
      </w:r>
      <w:r>
        <w:rPr/>
        <w:t xml:space="preserve"> Tidak menggunakan produk kulit rumah tangga yang mengandung garam kromium.</w:t>
      </w:r>
    </w:p>
    <w:p>
      <w:pPr>
        <w:pStyle w:val="ListBullet"/>
        <w:spacing w:after="20"/>
      </w:pPr>
      <w:r>
        <w:rPr>
          <w:b/>
        </w:rPr>
        <w:t>Langkah 7 (Kesimpulan):</w:t>
      </w:r>
      <w:r>
        <w:rPr/>
        <w:t xml:space="preserve"> </w:t>
      </w:r>
      <w:r>
        <w:rPr>
          <w:b/>
        </w:rPr>
        <w:t>Penyakit Akibat Kerja (PAK)</w:t>
      </w:r>
      <w:r>
        <w:rPr/>
        <w:t xml:space="preserve"> — Dermatosis Kontak Alergika Akibat Kerja (Perpres 7/2019 Lampiran II.b Butir 1).</w:t>
      </w:r>
    </w:p>
    <w:p>
      <w:pPr>
        <w:pStyle w:val="Heading4"/>
      </w:pPr>
      <w:r>
        <w:t>b. Penilaian Kelaikan Kerja (Fitness for Work)</w:t>
      </w:r>
    </w:p>
    <w:p>
      <w:pPr>
        <w:spacing w:after="80"/>
      </w:pPr>
      <w:r>
        <w:rPr/>
        <w:t>Status kelaikan kerja pekerja ditentukan secara kasuistik dan dinamis:</w:t>
      </w:r>
    </w:p>
    <w:tbl>
      <w:tblPr>
        <w:tblStyle w:val="TableGrid"/>
        <w:tblW w:type="auto" w:w="0"/>
        <w:tblLook w:firstColumn="1" w:firstRow="1" w:lastColumn="0" w:lastRow="0" w:noHBand="0" w:noVBand="1" w:val="04A0"/>
      </w:tblPr>
      <w:tblGrid>
        <w:gridCol w:w="3175"/>
        <w:gridCol w:w="3175"/>
        <w:gridCol w:w="3175"/>
      </w:tblGrid>
      <w:tr>
        <w:tc>
          <w:tcPr>
            <w:tcW w:type="dxa" w:w="3175"/>
            <w:shd w:val="clear" w:color="auto" w:fill="DCE6F1"/>
          </w:tcPr>
          <w:p>
            <w:pPr>
              <w:spacing w:after="0"/>
            </w:pPr>
            <w:r/>
            <w:r>
              <w:rPr>
                <w:b/>
                <w:sz w:val="18"/>
              </w:rPr>
              <w:t>Kondisi Klinis Pekerja</w:t>
            </w:r>
          </w:p>
        </w:tc>
        <w:tc>
          <w:tcPr>
            <w:tcW w:type="dxa" w:w="3175"/>
            <w:shd w:val="clear" w:color="auto" w:fill="DCE6F1"/>
          </w:tcPr>
          <w:p>
            <w:pPr>
              <w:spacing w:after="0"/>
            </w:pPr>
            <w:r/>
            <w:r>
              <w:rPr>
                <w:b/>
                <w:sz w:val="18"/>
              </w:rPr>
              <w:t>Status Kelaikan Kerja</w:t>
            </w:r>
          </w:p>
        </w:tc>
        <w:tc>
          <w:tcPr>
            <w:tcW w:type="dxa" w:w="3175"/>
            <w:shd w:val="clear" w:color="auto" w:fill="DCE6F1"/>
          </w:tcPr>
          <w:p>
            <w:pPr>
              <w:spacing w:after="0"/>
            </w:pPr>
            <w:r/>
            <w:r>
              <w:rPr>
                <w:b/>
                <w:sz w:val="18"/>
              </w:rPr>
              <w:t>Rekomendasi Medis Okupasi &amp; Batasan Kerja (</w:t>
            </w:r>
            <w:r>
              <w:rPr>
                <w:b/>
                <w:i/>
                <w:sz w:val="18"/>
              </w:rPr>
              <w:t>Restrictions</w:t>
            </w:r>
            <w:r>
              <w:rPr>
                <w:b/>
                <w:sz w:val="18"/>
              </w:rPr>
              <w:t>)</w:t>
            </w:r>
          </w:p>
        </w:tc>
      </w:tr>
      <w:tr>
        <w:tc>
          <w:tcPr>
            <w:tcW w:type="dxa" w:w="3175"/>
          </w:tcPr>
          <w:p>
            <w:pPr>
              <w:spacing w:after="0"/>
            </w:pPr>
            <w:r/>
            <w:r>
              <w:rPr>
                <w:b/>
                <w:sz w:val="18"/>
              </w:rPr>
              <w:t>Kanker Paru Karsinoma Bronkogenik</w:t>
            </w:r>
          </w:p>
        </w:tc>
        <w:tc>
          <w:tcPr>
            <w:tcW w:type="dxa" w:w="3175"/>
          </w:tcPr>
          <w:p>
            <w:pPr>
              <w:spacing w:after="0"/>
            </w:pPr>
            <w:r/>
            <w:r>
              <w:rPr>
                <w:b/>
                <w:sz w:val="18"/>
              </w:rPr>
              <w:t>Tidak Laik Kerja Permanen (</w:t>
            </w:r>
            <w:r>
              <w:rPr>
                <w:b/>
                <w:i/>
                <w:sz w:val="18"/>
              </w:rPr>
              <w:t>Permanently Unfit for Work</w:t>
            </w:r>
            <w:r>
              <w:rPr>
                <w:b/>
                <w:sz w:val="18"/>
              </w:rPr>
              <w:t>)</w:t>
            </w:r>
          </w:p>
        </w:tc>
        <w:tc>
          <w:tcPr>
            <w:tcW w:type="dxa" w:w="3175"/>
          </w:tcPr>
          <w:p>
            <w:pPr>
              <w:spacing w:after="0"/>
            </w:pPr>
            <w:r/>
            <w:r>
              <w:rPr>
                <w:sz w:val="18"/>
              </w:rPr>
              <w:t>• Pembebasan mutlak dari seluruh pajanan karsinogen industri.</w:t>
            </w:r>
            <w:r>
              <w:br/>
            </w:r>
            <w:r>
              <w:rPr>
                <w:sz w:val="18"/>
              </w:rPr>
              <w:t>• Rujuk ke tim onkologi untuk tata laksana kuratif/paliatif (PP 28/2024 Pasal 233 ayat 10).</w:t>
            </w:r>
            <w:r>
              <w:br/>
            </w:r>
            <w:r>
              <w:rPr>
                <w:sz w:val="18"/>
              </w:rPr>
              <w:t xml:space="preserve">• Proses </w:t>
            </w:r>
            <w:r>
              <w:rPr>
                <w:b/>
                <w:sz w:val="18"/>
              </w:rPr>
              <w:t>klaim kompensasi kecacatan JKK BPJS Ketenagakerjaan</w:t>
            </w:r>
            <w:r>
              <w:rPr>
                <w:sz w:val="18"/>
              </w:rPr>
              <w:t>.</w:t>
            </w:r>
          </w:p>
        </w:tc>
      </w:tr>
      <w:tr>
        <w:tc>
          <w:tcPr>
            <w:tcW w:type="dxa" w:w="3175"/>
          </w:tcPr>
          <w:p>
            <w:pPr>
              <w:spacing w:after="0"/>
            </w:pPr>
            <w:r/>
            <w:r>
              <w:rPr>
                <w:b/>
                <w:sz w:val="18"/>
              </w:rPr>
              <w:t>Perforasi Septum Nasi Stabil (Asimtomatik)</w:t>
            </w:r>
          </w:p>
        </w:tc>
        <w:tc>
          <w:tcPr>
            <w:tcW w:type="dxa" w:w="3175"/>
          </w:tcPr>
          <w:p>
            <w:pPr>
              <w:spacing w:after="0"/>
            </w:pPr>
            <w:r/>
            <w:r>
              <w:rPr>
                <w:b/>
                <w:sz w:val="18"/>
              </w:rPr>
              <w:t>Laik Kerja dengan Catatan / Batasan (</w:t>
            </w:r>
            <w:r>
              <w:rPr>
                <w:b/>
                <w:i/>
                <w:sz w:val="18"/>
              </w:rPr>
              <w:t>Fit with Restriction</w:t>
            </w:r>
            <w:r>
              <w:rPr>
                <w:b/>
                <w:sz w:val="18"/>
              </w:rPr>
              <w:t>)</w:t>
            </w:r>
          </w:p>
        </w:tc>
        <w:tc>
          <w:tcPr>
            <w:tcW w:type="dxa" w:w="3175"/>
          </w:tcPr>
          <w:p>
            <w:pPr>
              <w:spacing w:after="0"/>
            </w:pPr>
            <w:r/>
            <w:r>
              <w:rPr>
                <w:sz w:val="18"/>
              </w:rPr>
              <w:t xml:space="preserve">• </w:t>
            </w:r>
            <w:r>
              <w:rPr>
                <w:b/>
                <w:sz w:val="18"/>
              </w:rPr>
              <w:t>DILARANG terpajan uap/kabut asam kromat dan gas iritan napas</w:t>
            </w:r>
            <w:r>
              <w:rPr>
                <w:sz w:val="18"/>
              </w:rPr>
              <w:t>.</w:t>
            </w:r>
            <w:r>
              <w:br/>
            </w:r>
            <w:r>
              <w:rPr>
                <w:sz w:val="18"/>
              </w:rPr>
              <w:t>• Relokasi ke divisi kering/bersih non-pajanan.</w:t>
            </w:r>
            <w:r>
              <w:br/>
            </w:r>
            <w:r>
              <w:rPr>
                <w:sz w:val="18"/>
              </w:rPr>
              <w:t>• Perawatan mukosa hidung berkala (irigasi salin nasal, salep pelumas mukosa).</w:t>
            </w:r>
          </w:p>
        </w:tc>
      </w:tr>
      <w:tr>
        <w:tc>
          <w:tcPr>
            <w:tcW w:type="dxa" w:w="3175"/>
          </w:tcPr>
          <w:p>
            <w:pPr>
              <w:spacing w:after="0"/>
            </w:pPr>
            <w:r/>
            <w:r>
              <w:rPr>
                <w:b/>
                <w:sz w:val="18"/>
              </w:rPr>
              <w:t>Ulkus Septum Nasi Aktif / Chrome Holes Kulit</w:t>
            </w:r>
          </w:p>
        </w:tc>
        <w:tc>
          <w:tcPr>
            <w:tcW w:type="dxa" w:w="3175"/>
          </w:tcPr>
          <w:p>
            <w:pPr>
              <w:spacing w:after="0"/>
            </w:pPr>
            <w:r/>
            <w:r>
              <w:rPr>
                <w:b/>
                <w:sz w:val="18"/>
              </w:rPr>
              <w:t>Tidak Laik Kerja Sementara (</w:t>
            </w:r>
            <w:r>
              <w:rPr>
                <w:b/>
                <w:i/>
                <w:sz w:val="18"/>
              </w:rPr>
              <w:t>Temporarily Unfit for Work</w:t>
            </w:r>
            <w:r>
              <w:rPr>
                <w:b/>
                <w:sz w:val="18"/>
              </w:rPr>
              <w:t>)</w:t>
            </w:r>
          </w:p>
        </w:tc>
        <w:tc>
          <w:tcPr>
            <w:tcW w:type="dxa" w:w="3175"/>
          </w:tcPr>
          <w:p>
            <w:pPr>
              <w:spacing w:after="0"/>
            </w:pPr>
            <w:r/>
            <w:r>
              <w:rPr>
                <w:sz w:val="18"/>
              </w:rPr>
              <w:t>• Lepas kerja sementara dari area basah hingga ulkus mengalami epitelisasi tuntas.</w:t>
            </w:r>
            <w:r>
              <w:br/>
            </w:r>
            <w:r>
              <w:rPr>
                <w:sz w:val="18"/>
              </w:rPr>
              <w:t>• Perawatan lokal luka bakar kromium dengan asam askorbat topikal.</w:t>
            </w:r>
            <w:r>
              <w:br/>
            </w:r>
            <w:r>
              <w:rPr>
                <w:sz w:val="18"/>
              </w:rPr>
              <w:t>• Evaluasi ulang setelah 2–4 minggu.</w:t>
            </w:r>
          </w:p>
        </w:tc>
      </w:tr>
      <w:tr>
        <w:tc>
          <w:tcPr>
            <w:tcW w:type="dxa" w:w="3175"/>
          </w:tcPr>
          <w:p>
            <w:pPr>
              <w:spacing w:after="0"/>
            </w:pPr>
            <w:r/>
            <w:r>
              <w:rPr>
                <w:b/>
                <w:sz w:val="18"/>
              </w:rPr>
              <w:t>Dermatitis Kontak Alergi Sensitisasi Cr(VI)</w:t>
            </w:r>
          </w:p>
        </w:tc>
        <w:tc>
          <w:tcPr>
            <w:tcW w:type="dxa" w:w="3175"/>
          </w:tcPr>
          <w:p>
            <w:pPr>
              <w:spacing w:after="0"/>
            </w:pPr>
            <w:r/>
            <w:r>
              <w:rPr>
                <w:b/>
                <w:sz w:val="18"/>
              </w:rPr>
              <w:t>Tidak Laik Kerja untuk Unit Terpajan (</w:t>
            </w:r>
            <w:r>
              <w:rPr>
                <w:b/>
                <w:i/>
                <w:sz w:val="18"/>
              </w:rPr>
              <w:t>Unfit for Specific Job</w:t>
            </w:r>
            <w:r>
              <w:rPr>
                <w:b/>
                <w:sz w:val="18"/>
              </w:rPr>
              <w:t>)</w:t>
            </w:r>
          </w:p>
        </w:tc>
        <w:tc>
          <w:tcPr>
            <w:tcW w:type="dxa" w:w="3175"/>
          </w:tcPr>
          <w:p>
            <w:pPr>
              <w:spacing w:after="0"/>
            </w:pPr>
            <w:r/>
            <w:r>
              <w:rPr>
                <w:sz w:val="18"/>
              </w:rPr>
              <w:t xml:space="preserve">• </w:t>
            </w:r>
            <w:r>
              <w:rPr>
                <w:b/>
                <w:sz w:val="18"/>
              </w:rPr>
              <w:t>REMOVAL PERMANEN</w:t>
            </w:r>
            <w:r>
              <w:rPr>
                <w:sz w:val="18"/>
              </w:rPr>
              <w:t xml:space="preserve"> dari unit kerja yang berkontak dengan larutan kromat atau debu semen basah (sensitisasi sel T bersifat permanen sepanjang hidup).</w:t>
            </w:r>
            <w:r>
              <w:br/>
            </w:r>
            <w:r>
              <w:rPr>
                <w:sz w:val="18"/>
              </w:rPr>
              <w:t>• Rekomendasi mutasi pekerjaan ke bagian administrasi/logistik non-kimiawi (</w:t>
            </w:r>
            <w:r>
              <w:rPr>
                <w:i/>
                <w:sz w:val="18"/>
              </w:rPr>
              <w:t>Job Transfer</w:t>
            </w:r>
            <w:r>
              <w:rPr>
                <w:sz w:val="18"/>
              </w:rPr>
              <w:t>).</w:t>
            </w:r>
          </w:p>
        </w:tc>
      </w:tr>
    </w:tbl>
    <w:p>
      <w:pPr>
        <w:spacing w:after="40"/>
      </w:pPr>
    </w:p>
    <w:p>
      <w:pPr>
        <w:pStyle w:val="Heading4"/>
      </w:pPr>
      <w:r>
        <w:t>c. Rekomendasi Intervensi Manajemen: Hierarki Pengendalian dan Program Surveilans</w:t>
      </w:r>
    </w:p>
    <w:p>
      <w:pPr>
        <w:spacing w:after="80"/>
      </w:pPr>
      <w:r>
        <w:rPr/>
        <w:t xml:space="preserve">Sebagai dokter spesialis, Anda wajib menyerahkan laporan audit lingkungan dan rekomendasi teknis kepada </w:t>
      </w:r>
      <w:r>
        <w:rPr>
          <w:i/>
        </w:rPr>
        <w:t>Top Management</w:t>
      </w:r>
      <w:r>
        <w:rPr/>
        <w:t>:</w:t>
      </w:r>
    </w:p>
    <w:p>
      <w:pPr>
        <w:spacing w:after="120"/>
        <w:ind w:left="170"/>
      </w:pPr>
      <w:r>
        <w:rPr>
          <w:rFonts w:ascii="Consolas" w:hAnsi="Consolas" w:eastAsia="Consolas"/>
          <w:sz w:val="13"/>
        </w:rPr>
        <w:t xml:space="preserve">                           [ HIERARKI PENGENDALIAN Cr(VI) DI INDUSTRI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ELIMINASI / SUBSTITUSI ]            [ REKAYASA TEKNIK (LEV) ]            [ ALAT PELINDUNG DIRI ]</w:t>
      </w:r>
      <w:r>
        <w:br/>
      </w:r>
      <w:r>
        <w:rPr>
          <w:rFonts w:ascii="Consolas" w:hAnsi="Consolas" w:eastAsia="Consolas"/>
          <w:sz w:val="13"/>
        </w:rPr>
        <w:t>• Ganti pelapisan Cr(VI) dengan         • Local Exhaust Ventilation (LEV)      • Respirator Partikulat N95/P100</w:t>
      </w:r>
      <w:r>
        <w:br/>
      </w:r>
      <w:r>
        <w:rPr>
          <w:rFonts w:ascii="Consolas" w:hAnsi="Consolas" w:eastAsia="Consolas"/>
          <w:sz w:val="13"/>
        </w:rPr>
        <w:t xml:space="preserve">  teknologi Krom Trivalen [Cr(III)]       tipe slot pada bibir bak plating       atau PAPR HEPA (Las Stainless)</w:t>
      </w:r>
      <w:r>
        <w:br/>
      </w:r>
      <w:r>
        <w:rPr>
          <w:rFonts w:ascii="Consolas" w:hAnsi="Consolas" w:eastAsia="Consolas"/>
          <w:sz w:val="13"/>
        </w:rPr>
        <w:t>• Reduksi Cr(VI) semen dengan           • Penambahan chemical mist             • Sarung tangan panjang Butil/Nitril</w:t>
      </w:r>
      <w:r>
        <w:br/>
      </w:r>
      <w:r>
        <w:rPr>
          <w:rFonts w:ascii="Consolas" w:hAnsi="Consolas" w:eastAsia="Consolas"/>
          <w:sz w:val="13"/>
        </w:rPr>
        <w:t xml:space="preserve">  Ferrous Sulfate (FeSO4)                 suppressant (busa pencegah aerosol)  • Apron kimia &amp; pelindung mata</w:t>
      </w:r>
    </w:p>
    <w:p>
      <w:pPr>
        <w:spacing w:after="40"/>
        <w:ind w:left="340" w:hanging="283"/>
      </w:pPr>
      <w:r>
        <w:rPr/>
        <w:t xml:space="preserve">1. </w:t>
      </w:r>
      <w:r>
        <w:rPr>
          <w:b/>
        </w:rPr>
        <w:t>Hierarki Pengendalian Teknis (Pasal 21 Permenaker 5/2018):</w:t>
      </w:r>
    </w:p>
    <w:p>
      <w:pPr>
        <w:pStyle w:val="ListBullet2"/>
        <w:spacing w:after="20"/>
      </w:pPr>
      <w:r>
        <w:rPr>
          <w:i/>
        </w:rPr>
        <w:t>Substitusi:</w:t>
      </w:r>
      <w:r>
        <w:rPr/>
        <w:t xml:space="preserve"> Mengganti proses </w:t>
      </w:r>
      <w:r>
        <w:rPr>
          <w:i/>
        </w:rPr>
        <w:t>electroplating</w:t>
      </w:r>
      <w:r>
        <w:rPr/>
        <w:t xml:space="preserve"> asam kromat Cr(VI) dengan sistem </w:t>
      </w:r>
      <w:r>
        <w:rPr>
          <w:b/>
        </w:rPr>
        <w:t>pelapisan krom trivalen Cr(III)</w:t>
      </w:r>
      <w:r>
        <w:rPr/>
        <w:t xml:space="preserve"> yang jauh lebih aman dan non-karsinogenik; menambahkan </w:t>
      </w:r>
      <w:r>
        <w:rPr>
          <w:b/>
        </w:rPr>
        <w:t>besi sulfat (FeSO₄)</w:t>
      </w:r>
      <w:r>
        <w:rPr/>
        <w:t xml:space="preserve"> pada adonan semen Portland untuk mereduksi Cr(VI) terlarut menjadi Cr(III) yang tidak larut air.</w:t>
      </w:r>
    </w:p>
    <w:p>
      <w:pPr>
        <w:pStyle w:val="ListBullet2"/>
        <w:spacing w:after="20"/>
      </w:pPr>
      <w:r>
        <w:rPr>
          <w:i/>
        </w:rPr>
        <w:t>Rekayasa Teknik (*Engineering Controls</w:t>
      </w:r>
      <w:r>
        <w:rPr/>
        <w:t>):* Memasang sistem ventilasi pembuangan lokal (</w:t>
      </w:r>
      <w:r>
        <w:rPr>
          <w:i/>
        </w:rPr>
        <w:t>Local Exhaust Ventilation</w:t>
      </w:r>
      <w:r>
        <w:rPr/>
        <w:t xml:space="preserve"> / LEV) lateral atau tipe </w:t>
      </w:r>
      <w:r>
        <w:rPr>
          <w:i/>
        </w:rPr>
        <w:t>push-pull</w:t>
      </w:r>
      <w:r>
        <w:rPr/>
        <w:t xml:space="preserve"> pada bibir bak pelapisan asam kromat dengan kecepatan hisap minimal </w:t>
      </w:r>
      <w:r>
        <w:rPr>
          <w:b/>
        </w:rPr>
        <w:t>0,5 m/detik</w:t>
      </w:r>
      <w:r>
        <w:rPr/>
        <w:t>; menggunakan bola-bola plastik penutup permukaan cairan bak (</w:t>
      </w:r>
      <w:r>
        <w:rPr>
          <w:i/>
        </w:rPr>
        <w:t>polypropylene balls</w:t>
      </w:r>
      <w:r>
        <w:rPr/>
        <w:t>) dan zat penekan kabut (</w:t>
      </w:r>
      <w:r>
        <w:rPr>
          <w:i/>
        </w:rPr>
        <w:t>chemical mist suppressants</w:t>
      </w:r>
      <w:r>
        <w:rPr/>
        <w:t>) untuk mencegah loncatan gelembung aerosol Cr(VI).</w:t>
      </w:r>
    </w:p>
    <w:p>
      <w:pPr>
        <w:pStyle w:val="ListBullet2"/>
        <w:spacing w:after="20"/>
      </w:pPr>
      <w:r>
        <w:rPr>
          <w:i/>
        </w:rPr>
        <w:t>Pengendalian Administratif:</w:t>
      </w:r>
      <w:r>
        <w:rPr/>
        <w:t xml:space="preserve"> Rotasi waktu kerja harian; pembersihan area ceceran dengan metode vakum basah (HEPA </w:t>
      </w:r>
      <w:r>
        <w:rPr>
          <w:i/>
        </w:rPr>
        <w:t>vacuum</w:t>
      </w:r>
      <w:r>
        <w:rPr/>
        <w:t>); penyediaan fasilitas mandi bilas dan wastafel terpisah (</w:t>
      </w:r>
      <w:r>
        <w:rPr>
          <w:i/>
        </w:rPr>
        <w:t>double-locker system</w:t>
      </w:r>
      <w:r>
        <w:rPr/>
        <w:t>) guna mencegah kontaminasi silang ke rumah (</w:t>
      </w:r>
      <w:r>
        <w:rPr>
          <w:i/>
        </w:rPr>
        <w:t>take-home exposure</w:t>
      </w:r>
      <w:r>
        <w:rPr/>
        <w:t>).</w:t>
      </w:r>
    </w:p>
    <w:p>
      <w:pPr>
        <w:pStyle w:val="ListBullet2"/>
        <w:spacing w:after="20"/>
      </w:pPr>
      <w:r>
        <w:rPr>
          <w:i/>
        </w:rPr>
        <w:t>Alat Pelindung Diri (APD):</w:t>
      </w:r>
      <w:r>
        <w:rPr/>
        <w:t xml:space="preserve"> Respirator pemurni udara dengan filter partikulat efisiensi tinggi (N100/P100) atau respirator udara bertenaga (</w:t>
      </w:r>
      <w:r>
        <w:rPr>
          <w:i/>
        </w:rPr>
        <w:t>Powered Air-Purifying Respirator</w:t>
      </w:r>
      <w:r>
        <w:rPr/>
        <w:t xml:space="preserve"> / PAPR) saat mengelas </w:t>
      </w:r>
      <w:r>
        <w:rPr>
          <w:i/>
        </w:rPr>
        <w:t>stainless steel</w:t>
      </w:r>
      <w:r>
        <w:rPr/>
        <w:t>; sarung tangan karet butil/nitril tebal; serta pelindung wajah (</w:t>
      </w:r>
      <w:r>
        <w:rPr>
          <w:i/>
        </w:rPr>
        <w:t>face shield</w:t>
      </w:r>
      <w:r>
        <w:rPr/>
        <w:t>).</w:t>
      </w:r>
    </w:p>
    <w:p>
      <w:pPr>
        <w:spacing w:after="40"/>
        <w:ind w:left="340" w:hanging="283"/>
      </w:pPr>
      <w:r>
        <w:rPr/>
        <w:t xml:space="preserve">2. </w:t>
      </w:r>
      <w:r>
        <w:rPr>
          <w:b/>
        </w:rPr>
        <w:t>Protokol Surveilans Kesehatan Kerja Berkala (Medical Surveillance):</w:t>
      </w:r>
    </w:p>
    <w:p>
      <w:pPr>
        <w:pStyle w:val="ListBullet2"/>
        <w:spacing w:after="20"/>
      </w:pPr>
      <w:r>
        <w:rPr>
          <w:i/>
        </w:rPr>
        <w:t>Pemeriksaan Pra-Kerja (*Pre-employment</w:t>
      </w:r>
      <w:r>
        <w:rPr/>
        <w:t>):* Anamnesis riwayat asma/atopi kulit, pemeriksaan fisik kulit dan membran mukosa hidung dasar, rontgen toraks PA, dan spirometri dasar (FVC dan FEV1).</w:t>
      </w:r>
    </w:p>
    <w:p>
      <w:pPr>
        <w:pStyle w:val="ListBullet2"/>
        <w:spacing w:after="20"/>
      </w:pPr>
      <w:r>
        <w:rPr>
          <w:i/>
        </w:rPr>
        <w:t>Pemeriksaan Berkala (*Periodic Surveillance</w:t>
      </w:r>
      <w:r>
        <w:rPr/>
        <w:t>):*</w:t>
      </w:r>
    </w:p>
    <w:p>
      <w:pPr>
        <w:pStyle w:val="ListBullet3"/>
        <w:spacing w:after="20"/>
      </w:pPr>
      <w:r>
        <w:rPr>
          <w:b/>
        </w:rPr>
        <w:t>Inspeksi Rhinoskopi Anterior:</w:t>
      </w:r>
      <w:r>
        <w:rPr/>
        <w:t xml:space="preserve"> Wajib dilakukan </w:t>
      </w:r>
      <w:r>
        <w:rPr>
          <w:b/>
        </w:rPr>
        <w:t>setiap 6 bulan sekali</w:t>
      </w:r>
      <w:r>
        <w:rPr/>
        <w:t xml:space="preserve"> pada seluruh pekerja </w:t>
      </w:r>
      <w:r>
        <w:rPr>
          <w:i/>
        </w:rPr>
        <w:t>electroplating</w:t>
      </w:r>
      <w:r>
        <w:rPr/>
        <w:t xml:space="preserve"> untuk mendeteksi dini eritema, krusta, atau erosi septum nasi sebelum terjadi perforasi kartilago.</w:t>
      </w:r>
    </w:p>
    <w:p>
      <w:pPr>
        <w:pStyle w:val="ListBullet3"/>
        <w:spacing w:after="20"/>
      </w:pPr>
      <w:r>
        <w:rPr>
          <w:b/>
        </w:rPr>
        <w:t>Pemeriksaan Kulit Tangan dan Lengan:</w:t>
      </w:r>
      <w:r>
        <w:rPr/>
        <w:t xml:space="preserve"> Skrining lesi ulkus bergaung (</w:t>
      </w:r>
      <w:r>
        <w:rPr>
          <w:i/>
        </w:rPr>
        <w:t>chrome holes</w:t>
      </w:r>
      <w:r>
        <w:rPr/>
        <w:t>) dan eksema.</w:t>
      </w:r>
    </w:p>
    <w:p>
      <w:pPr>
        <w:pStyle w:val="ListBullet3"/>
        <w:spacing w:after="20"/>
      </w:pPr>
      <w:r>
        <w:rPr>
          <w:b/>
        </w:rPr>
        <w:t>Uji Fungsi Paru (Spirometri):</w:t>
      </w:r>
      <w:r>
        <w:rPr/>
        <w:t xml:space="preserve"> Minimal </w:t>
      </w:r>
      <w:r>
        <w:rPr>
          <w:b/>
        </w:rPr>
        <w:t>1 tahun sekali</w:t>
      </w:r>
      <w:r>
        <w:rPr/>
        <w:t xml:space="preserve"> untuk mendeteksi dini penurunan laju FEV1 akibat asma kerja atau bronkitis kronis.</w:t>
      </w:r>
    </w:p>
    <w:p>
      <w:pPr>
        <w:pStyle w:val="ListBullet3"/>
        <w:spacing w:after="20"/>
      </w:pPr>
      <w:r>
        <w:rPr>
          <w:b/>
        </w:rPr>
        <w:t>Biomonitoring Rutin:</w:t>
      </w:r>
      <w:r>
        <w:rPr/>
        <w:t xml:space="preserve"> Pengukuran Total Kromium Urin (Cr-U) post-shift pada akhir minggu kerja secara berkala.</w:t>
      </w:r>
    </w:p>
    <w:p>
      <w:pPr>
        <w:pStyle w:val="Heading3"/>
      </w:pPr>
      <w:r>
        <w:t>13. Keterangan Regulasi, Status Karsinogenisitas, dan Nilai Pembanding</w:t>
      </w:r>
    </w:p>
    <w:p>
      <w:pPr>
        <w:spacing w:after="80"/>
      </w:pPr>
      <w:r>
        <w:rPr/>
        <w:t>Untuk menjawab pertanyaan perbandingan antar-lembaga regulasi global:</w:t>
      </w:r>
    </w:p>
    <w:tbl>
      <w:tblPr>
        <w:tblStyle w:val="TableGrid"/>
        <w:tblW w:type="auto" w:w="0"/>
        <w:tblLook w:firstColumn="1" w:firstRow="1" w:lastColumn="0" w:lastRow="0" w:noHBand="0" w:noVBand="1" w:val="04A0"/>
      </w:tblPr>
      <w:tblGrid>
        <w:gridCol w:w="2381"/>
        <w:gridCol w:w="2381"/>
        <w:gridCol w:w="2381"/>
        <w:gridCol w:w="2381"/>
      </w:tblGrid>
      <w:tr>
        <w:tc>
          <w:tcPr>
            <w:tcW w:type="dxa" w:w="2381"/>
            <w:shd w:val="clear" w:color="auto" w:fill="DCE6F1"/>
          </w:tcPr>
          <w:p>
            <w:pPr>
              <w:spacing w:after="0"/>
            </w:pPr>
            <w:r/>
            <w:r>
              <w:rPr>
                <w:b/>
                <w:sz w:val="16"/>
              </w:rPr>
              <w:t>Lembaga / Badan Regulasi</w:t>
            </w:r>
          </w:p>
        </w:tc>
        <w:tc>
          <w:tcPr>
            <w:tcW w:type="dxa" w:w="2381"/>
            <w:shd w:val="clear" w:color="auto" w:fill="DCE6F1"/>
          </w:tcPr>
          <w:p>
            <w:pPr>
              <w:spacing w:after="0"/>
            </w:pPr>
            <w:r/>
            <w:r>
              <w:rPr>
                <w:b/>
                <w:sz w:val="16"/>
              </w:rPr>
              <w:t>Status / Angka Regulasi Cr(VI)</w:t>
            </w:r>
          </w:p>
        </w:tc>
        <w:tc>
          <w:tcPr>
            <w:tcW w:type="dxa" w:w="2381"/>
            <w:shd w:val="clear" w:color="auto" w:fill="DCE6F1"/>
          </w:tcPr>
          <w:p>
            <w:pPr>
              <w:spacing w:after="0"/>
            </w:pPr>
            <w:r/>
            <w:r>
              <w:rPr>
                <w:b/>
                <w:sz w:val="16"/>
              </w:rPr>
              <w:t>Nilai Pembanding Cr(III) / Logam</w:t>
            </w:r>
          </w:p>
        </w:tc>
        <w:tc>
          <w:tcPr>
            <w:tcW w:type="dxa" w:w="2381"/>
            <w:shd w:val="clear" w:color="auto" w:fill="DCE6F1"/>
          </w:tcPr>
          <w:p>
            <w:pPr>
              <w:spacing w:after="0"/>
            </w:pPr>
            <w:r/>
            <w:r>
              <w:rPr>
                <w:b/>
                <w:sz w:val="16"/>
              </w:rPr>
              <w:t>Makna Regulasi &amp; Catatan Khusus</w:t>
            </w:r>
          </w:p>
        </w:tc>
      </w:tr>
      <w:tr>
        <w:tc>
          <w:tcPr>
            <w:tcW w:type="dxa" w:w="2381"/>
          </w:tcPr>
          <w:p>
            <w:pPr>
              <w:spacing w:after="0"/>
            </w:pPr>
            <w:r/>
            <w:r>
              <w:rPr>
                <w:b/>
                <w:sz w:val="16"/>
              </w:rPr>
              <w:t>IARC (WHO)</w:t>
            </w:r>
          </w:p>
        </w:tc>
        <w:tc>
          <w:tcPr>
            <w:tcW w:type="dxa" w:w="2381"/>
          </w:tcPr>
          <w:p>
            <w:pPr>
              <w:spacing w:after="0"/>
            </w:pPr>
            <w:r/>
            <w:r>
              <w:rPr>
                <w:b/>
                <w:sz w:val="16"/>
              </w:rPr>
              <w:t>Grup 1</w:t>
            </w:r>
            <w:r>
              <w:rPr>
                <w:sz w:val="16"/>
              </w:rPr>
              <w:t xml:space="preserve"> (</w:t>
            </w:r>
            <w:r>
              <w:rPr>
                <w:i/>
                <w:sz w:val="16"/>
              </w:rPr>
              <w:t>Carcinogenic to humans</w:t>
            </w:r>
            <w:r>
              <w:rPr>
                <w:sz w:val="16"/>
              </w:rPr>
              <w:t>)</w:t>
            </w:r>
          </w:p>
        </w:tc>
        <w:tc>
          <w:tcPr>
            <w:tcW w:type="dxa" w:w="2381"/>
          </w:tcPr>
          <w:p>
            <w:pPr>
              <w:spacing w:after="0"/>
            </w:pPr>
            <w:r/>
            <w:r>
              <w:rPr>
                <w:b/>
                <w:sz w:val="16"/>
              </w:rPr>
              <w:t>Grup 3</w:t>
            </w:r>
            <w:r>
              <w:rPr>
                <w:sz w:val="16"/>
              </w:rPr>
              <w:t xml:space="preserve"> (</w:t>
            </w:r>
            <w:r>
              <w:rPr>
                <w:i/>
                <w:sz w:val="16"/>
              </w:rPr>
              <w:t>Not classifiable</w:t>
            </w:r>
            <w:r>
              <w:rPr>
                <w:sz w:val="16"/>
              </w:rPr>
              <w:t>)</w:t>
            </w:r>
          </w:p>
        </w:tc>
        <w:tc>
          <w:tcPr>
            <w:tcW w:type="dxa" w:w="2381"/>
          </w:tcPr>
          <w:p>
            <w:pPr>
              <w:spacing w:after="0"/>
            </w:pPr>
            <w:r/>
            <w:r>
              <w:rPr>
                <w:sz w:val="16"/>
              </w:rPr>
              <w:t>Seluruh persenyawaan Cr(VI) terbukti karsinogen paru dan sinonasal pada manusia. Cr(III) dan Cr(0) masuk Grup 3.</w:t>
            </w:r>
          </w:p>
        </w:tc>
      </w:tr>
      <w:tr>
        <w:tc>
          <w:tcPr>
            <w:tcW w:type="dxa" w:w="2381"/>
          </w:tcPr>
          <w:p>
            <w:pPr>
              <w:spacing w:after="0"/>
            </w:pPr>
            <w:r/>
            <w:r>
              <w:rPr>
                <w:b/>
                <w:sz w:val="16"/>
              </w:rPr>
              <w:t>ACGIH (2026)</w:t>
            </w:r>
          </w:p>
        </w:tc>
        <w:tc>
          <w:tcPr>
            <w:tcW w:type="dxa" w:w="2381"/>
          </w:tcPr>
          <w:p>
            <w:pPr>
              <w:spacing w:after="0"/>
            </w:pPr>
            <w:r/>
            <w:r>
              <w:rPr>
                <w:b/>
                <w:sz w:val="16"/>
              </w:rPr>
              <w:t>TLV-TWA 0,0002 mg/m³ (I)</w:t>
            </w:r>
            <w:r>
              <w:br/>
            </w:r>
            <w:r>
              <w:rPr>
                <w:b/>
                <w:sz w:val="16"/>
              </w:rPr>
              <w:t>TLV-STEL 0,0005 mg/m³ (I)</w:t>
            </w:r>
          </w:p>
        </w:tc>
        <w:tc>
          <w:tcPr>
            <w:tcW w:type="dxa" w:w="2381"/>
          </w:tcPr>
          <w:p>
            <w:pPr>
              <w:spacing w:after="0"/>
            </w:pPr>
            <w:r/>
            <w:r>
              <w:rPr>
                <w:sz w:val="16"/>
              </w:rPr>
              <w:t xml:space="preserve">Cr(III): </w:t>
            </w:r>
            <w:r>
              <w:rPr>
                <w:b/>
                <w:sz w:val="16"/>
              </w:rPr>
              <w:t>0,003 mg/m³</w:t>
            </w:r>
            <w:r>
              <w:br/>
            </w:r>
            <w:r>
              <w:rPr>
                <w:sz w:val="16"/>
              </w:rPr>
              <w:t xml:space="preserve">Cr(0): </w:t>
            </w:r>
            <w:r>
              <w:rPr>
                <w:b/>
                <w:sz w:val="16"/>
              </w:rPr>
              <w:t>0,5 mg/m³</w:t>
            </w:r>
          </w:p>
        </w:tc>
        <w:tc>
          <w:tcPr>
            <w:tcW w:type="dxa" w:w="2381"/>
          </w:tcPr>
          <w:p>
            <w:pPr>
              <w:spacing w:after="0"/>
            </w:pPr>
            <w:r/>
            <w:r>
              <w:rPr>
                <w:sz w:val="16"/>
              </w:rPr>
              <w:t>Menggunakan fraksi inhalabel; Notasi A1, Skin (larut air), DSEN, RSEN, BEI.</w:t>
            </w:r>
          </w:p>
        </w:tc>
      </w:tr>
      <w:tr>
        <w:tc>
          <w:tcPr>
            <w:tcW w:type="dxa" w:w="2381"/>
          </w:tcPr>
          <w:p>
            <w:pPr>
              <w:spacing w:after="0"/>
            </w:pPr>
            <w:r/>
            <w:r>
              <w:rPr>
                <w:b/>
                <w:sz w:val="16"/>
              </w:rPr>
              <w:t>Permenaker 5/2018</w:t>
            </w:r>
          </w:p>
        </w:tc>
        <w:tc>
          <w:tcPr>
            <w:tcW w:type="dxa" w:w="2381"/>
          </w:tcPr>
          <w:p>
            <w:pPr>
              <w:spacing w:after="0"/>
            </w:pPr>
            <w:r/>
            <w:r>
              <w:rPr>
                <w:b/>
                <w:sz w:val="16"/>
              </w:rPr>
              <w:t>NAB 0,05 mg/m³</w:t>
            </w:r>
            <w:r>
              <w:rPr>
                <w:sz w:val="16"/>
              </w:rPr>
              <w:t xml:space="preserve"> (Larut Air)</w:t>
            </w:r>
            <w:r>
              <w:br/>
            </w:r>
            <w:r>
              <w:rPr>
                <w:b/>
                <w:sz w:val="16"/>
              </w:rPr>
              <w:t>NAB 0,01 mg/m³</w:t>
            </w:r>
            <w:r>
              <w:rPr>
                <w:sz w:val="16"/>
              </w:rPr>
              <w:t xml:space="preserve"> (Tak Larut)</w:t>
            </w:r>
          </w:p>
        </w:tc>
        <w:tc>
          <w:tcPr>
            <w:tcW w:type="dxa" w:w="2381"/>
          </w:tcPr>
          <w:p>
            <w:pPr>
              <w:spacing w:after="0"/>
            </w:pPr>
            <w:r/>
            <w:r>
              <w:rPr>
                <w:sz w:val="16"/>
              </w:rPr>
              <w:t xml:space="preserve">Cr(III): </w:t>
            </w:r>
            <w:r>
              <w:rPr>
                <w:b/>
                <w:sz w:val="16"/>
              </w:rPr>
              <w:t>0,5 mg/m³</w:t>
            </w:r>
            <w:r>
              <w:br/>
            </w:r>
            <w:r>
              <w:rPr>
                <w:sz w:val="16"/>
              </w:rPr>
              <w:t xml:space="preserve">Cr(0): </w:t>
            </w:r>
            <w:r>
              <w:rPr>
                <w:b/>
                <w:sz w:val="16"/>
              </w:rPr>
              <w:t>0,5 mg/m³</w:t>
            </w:r>
          </w:p>
        </w:tc>
        <w:tc>
          <w:tcPr>
            <w:tcW w:type="dxa" w:w="2381"/>
          </w:tcPr>
          <w:p>
            <w:pPr>
              <w:spacing w:after="0"/>
            </w:pPr>
            <w:r/>
            <w:r>
              <w:rPr>
                <w:sz w:val="16"/>
              </w:rPr>
              <w:t>Angka baku yuridis di Indonesia; Notasi A1, Segitiga BEI.</w:t>
            </w:r>
          </w:p>
        </w:tc>
      </w:tr>
      <w:tr>
        <w:tc>
          <w:tcPr>
            <w:tcW w:type="dxa" w:w="2381"/>
          </w:tcPr>
          <w:p>
            <w:pPr>
              <w:spacing w:after="0"/>
            </w:pPr>
            <w:r/>
            <w:r>
              <w:rPr>
                <w:b/>
                <w:sz w:val="16"/>
              </w:rPr>
              <w:t>OSHA PEL (AS)</w:t>
            </w:r>
          </w:p>
        </w:tc>
        <w:tc>
          <w:tcPr>
            <w:tcW w:type="dxa" w:w="2381"/>
          </w:tcPr>
          <w:p>
            <w:pPr>
              <w:spacing w:after="0"/>
            </w:pPr>
            <w:r/>
            <w:r>
              <w:rPr>
                <w:b/>
                <w:sz w:val="16"/>
              </w:rPr>
              <w:t>PEL-TWA 0,005 mg/m³ (5 µg/m³)</w:t>
            </w:r>
            <w:r>
              <w:br/>
            </w:r>
            <w:r>
              <w:rPr>
                <w:i/>
                <w:sz w:val="16"/>
              </w:rPr>
              <w:t>Action Level</w:t>
            </w:r>
            <w:r>
              <w:rPr>
                <w:sz w:val="16"/>
              </w:rPr>
              <w:t xml:space="preserve"> = </w:t>
            </w:r>
            <w:r>
              <w:rPr>
                <w:b/>
                <w:sz w:val="16"/>
              </w:rPr>
              <w:t>0,0025 mg/m³</w:t>
            </w:r>
          </w:p>
        </w:tc>
        <w:tc>
          <w:tcPr>
            <w:tcW w:type="dxa" w:w="2381"/>
          </w:tcPr>
          <w:p>
            <w:pPr>
              <w:spacing w:after="0"/>
            </w:pPr>
            <w:r/>
            <w:r>
              <w:rPr>
                <w:sz w:val="16"/>
              </w:rPr>
              <w:t xml:space="preserve">Cr(II/III): </w:t>
            </w:r>
            <w:r>
              <w:rPr>
                <w:b/>
                <w:sz w:val="16"/>
              </w:rPr>
              <w:t>0,5 mg/m³</w:t>
            </w:r>
            <w:r>
              <w:br/>
            </w:r>
            <w:r>
              <w:rPr>
                <w:sz w:val="16"/>
              </w:rPr>
              <w:t xml:space="preserve">Cr Metal: </w:t>
            </w:r>
            <w:r>
              <w:rPr>
                <w:b/>
                <w:sz w:val="16"/>
              </w:rPr>
              <w:t>1,0 mg/m³</w:t>
            </w:r>
          </w:p>
        </w:tc>
        <w:tc>
          <w:tcPr>
            <w:tcW w:type="dxa" w:w="2381"/>
          </w:tcPr>
          <w:p>
            <w:pPr>
              <w:spacing w:after="0"/>
            </w:pPr>
            <w:r/>
            <w:r>
              <w:rPr>
                <w:sz w:val="16"/>
              </w:rPr>
              <w:t xml:space="preserve">Standar hukum di AS; </w:t>
            </w:r>
            <w:r>
              <w:rPr>
                <w:i/>
                <w:sz w:val="16"/>
              </w:rPr>
              <w:t>Action Level</w:t>
            </w:r>
            <w:r>
              <w:rPr>
                <w:sz w:val="16"/>
              </w:rPr>
              <w:t xml:space="preserve"> memicu kewajiban surveilans medis rutin berkala.</w:t>
            </w:r>
          </w:p>
        </w:tc>
      </w:tr>
      <w:tr>
        <w:tc>
          <w:tcPr>
            <w:tcW w:type="dxa" w:w="2381"/>
          </w:tcPr>
          <w:p>
            <w:pPr>
              <w:spacing w:after="0"/>
            </w:pPr>
            <w:r/>
            <w:r>
              <w:rPr>
                <w:b/>
                <w:sz w:val="16"/>
              </w:rPr>
              <w:t>NIOSH REL (AS)</w:t>
            </w:r>
          </w:p>
        </w:tc>
        <w:tc>
          <w:tcPr>
            <w:tcW w:type="dxa" w:w="2381"/>
          </w:tcPr>
          <w:p>
            <w:pPr>
              <w:spacing w:after="0"/>
            </w:pPr>
            <w:r/>
            <w:r>
              <w:rPr>
                <w:b/>
                <w:sz w:val="16"/>
              </w:rPr>
              <w:t>REL-TWA 0,001 mg/m³ (1 µg/m³)</w:t>
            </w:r>
            <w:r>
              <w:br/>
            </w:r>
            <w:r>
              <w:rPr>
                <w:sz w:val="16"/>
              </w:rPr>
              <w:t xml:space="preserve">IDLH: </w:t>
            </w:r>
            <w:r>
              <w:rPr>
                <w:b/>
                <w:sz w:val="16"/>
              </w:rPr>
              <w:t>15 mg/m³ {sebagai Cr(VI)}</w:t>
            </w:r>
          </w:p>
        </w:tc>
        <w:tc>
          <w:tcPr>
            <w:tcW w:type="dxa" w:w="2381"/>
          </w:tcPr>
          <w:p>
            <w:pPr>
              <w:spacing w:after="0"/>
            </w:pPr>
            <w:r/>
            <w:r>
              <w:rPr>
                <w:sz w:val="16"/>
              </w:rPr>
              <w:t xml:space="preserve">Cr(II/III): </w:t>
            </w:r>
            <w:r>
              <w:rPr>
                <w:b/>
                <w:sz w:val="16"/>
              </w:rPr>
              <w:t>0,5 mg/m³</w:t>
            </w:r>
            <w:r>
              <w:br/>
            </w:r>
            <w:r>
              <w:rPr>
                <w:sz w:val="16"/>
              </w:rPr>
              <w:t xml:space="preserve">Cr Metal: </w:t>
            </w:r>
            <w:r>
              <w:rPr>
                <w:b/>
                <w:sz w:val="16"/>
              </w:rPr>
              <w:t>0,5 mg/m³</w:t>
            </w:r>
          </w:p>
        </w:tc>
        <w:tc>
          <w:tcPr>
            <w:tcW w:type="dxa" w:w="2381"/>
          </w:tcPr>
          <w:p>
            <w:pPr>
              <w:spacing w:after="0"/>
            </w:pPr>
            <w:r/>
            <w:r>
              <w:rPr>
                <w:sz w:val="16"/>
              </w:rPr>
              <w:t xml:space="preserve">Ditetapkan dengan klasifikasi </w:t>
            </w:r>
            <w:r>
              <w:rPr>
                <w:i/>
                <w:sz w:val="16"/>
              </w:rPr>
              <w:t>Potential Occupational Carcinogen</w:t>
            </w:r>
            <w:r>
              <w:rPr>
                <w:sz w:val="16"/>
              </w:rPr>
              <w:t xml:space="preserve"> (Ca).</w:t>
            </w:r>
          </w:p>
        </w:tc>
      </w:tr>
    </w:tbl>
    <w:p>
      <w:pPr>
        <w:spacing w:after="40"/>
      </w:pPr>
    </w:p>
    <w:p>
      <w:pPr>
        <w:pStyle w:val="Heading3"/>
      </w:pPr>
      <w:r>
        <w:t>Clinical Pearl dan Jebakan Ujian Khusus Kromium (Examiner's Traps)</w:t>
      </w:r>
    </w:p>
    <w:p>
      <w:pPr>
        <w:spacing w:after="80"/>
      </w:pPr>
      <w:r>
        <w:rPr/>
        <w:t>Catat baik-baik poin krusial berikut agar Anda tidak tergelincir saat sesi tanya-jawab ujian oral:</w:t>
      </w:r>
    </w:p>
    <w:p>
      <w:pPr>
        <w:ind w:left="454"/>
      </w:pPr>
      <w:r>
        <w:rPr>
          <w:i/>
        </w:rPr>
        <w:t xml:space="preserve">💎 </w:t>
      </w:r>
      <w:r>
        <w:rPr>
          <w:b/>
          <w:i/>
        </w:rPr>
        <w:t>CLINICAL PEARL:</w:t>
      </w:r>
    </w:p>
    <w:p>
      <w:pPr>
        <w:ind w:left="454"/>
      </w:pPr>
      <w:r>
        <w:rPr>
          <w:i/>
        </w:rPr>
        <w:t xml:space="preserve">1.  </w:t>
      </w:r>
      <w:r>
        <w:rPr>
          <w:b/>
          <w:i/>
        </w:rPr>
        <w:t>Pemberian Asam Askorbat (Vitamin C) Efektif Secara Topikal dan Oral, TETAPI DILARANG DIBERIKAN INTRAVENA DOSIS TINGGI.</w:t>
      </w:r>
    </w:p>
    <w:p>
      <w:pPr>
        <w:ind w:left="454"/>
      </w:pPr>
      <w:r>
        <w:rPr>
          <w:i/>
        </w:rPr>
        <w:t>Di lumen saluran cerna atau permukaan kulit luar, asam askorbat mereduksi Cr(VI) menjadi Cr(III) yang non-absorbable (detoksifikasi). Namun, jika asam askorbat diinjeksikan secara intravena dalam dosis masif, askorbat intraseluler justru mempercepat reduksi Cr(VI) menjadi radikal Cr(V)/Cr(IV) di dalam organel seluler yang menghasilkan kaskade stres oksidatif dan pembentukan ikatan silang DNA-protein (bioaktivasi toksik).</w:t>
      </w:r>
    </w:p>
    <w:p>
      <w:pPr>
        <w:ind w:left="454"/>
      </w:pPr>
      <w:r>
        <w:rPr>
          <w:i/>
        </w:rPr>
        <w:t xml:space="preserve">2.  </w:t>
      </w:r>
      <w:r>
        <w:rPr>
          <w:b/>
          <w:i/>
        </w:rPr>
        <w:t>Perforasi Septum Nasi Kromium Tidak Menimbulkan Nyeri Hebat.</w:t>
      </w:r>
    </w:p>
    <w:p>
      <w:pPr>
        <w:ind w:left="454"/>
      </w:pPr>
      <w:r>
        <w:rPr>
          <w:i/>
        </w:rPr>
        <w:t>Pekerja pelapis logam sering datang dengan lubang septum nasi yang sudah tembus tanpa keluhan nyeri hebat karena daya korosif asam kromat telah menghancurkan ujung-ujung saraf sensorik lokal di mukosa hidung (</w:t>
      </w:r>
      <w:r>
        <w:rPr>
          <w:i/>
        </w:rPr>
        <w:t>painless perforation</w:t>
      </w:r>
      <w:r>
        <w:rPr>
          <w:i/>
        </w:rPr>
        <w:t>).</w:t>
      </w:r>
    </w:p>
    <w:p>
      <w:pPr>
        <w:ind w:left="454"/>
      </w:pPr>
    </w:p>
    <w:p>
      <w:pPr>
        <w:ind w:left="454"/>
      </w:pPr>
      <w:r>
        <w:rPr>
          <w:i/>
        </w:rPr>
        <w:t xml:space="preserve">⚠️ </w:t>
      </w:r>
      <w:r>
        <w:rPr>
          <w:b/>
          <w:i/>
        </w:rPr>
        <w:t>JEBAKAN UJIAN DEWAN SPESIALIS (</w:t>
      </w:r>
      <w:r>
        <w:rPr>
          <w:b/>
          <w:i/>
        </w:rPr>
        <w:t>EXAM TRAPS</w:t>
      </w:r>
      <w:r>
        <w:rPr>
          <w:b/>
          <w:i/>
        </w:rPr>
        <w:t>):</w:t>
      </w:r>
    </w:p>
    <w:p>
      <w:pPr>
        <w:ind w:left="454"/>
      </w:pPr>
      <w:r>
        <w:rPr>
          <w:i/>
        </w:rPr>
        <w:t xml:space="preserve">*   </w:t>
      </w:r>
      <w:r>
        <w:rPr>
          <w:i/>
        </w:rPr>
        <w:t>Jebakan 1: "Apakah semua senyawa kromium karsinogenik?"</w:t>
      </w:r>
    </w:p>
    <w:p>
      <w:pPr>
        <w:ind w:left="454"/>
      </w:pPr>
      <w:r>
        <w:rPr>
          <w:b/>
          <w:i/>
        </w:rPr>
        <w:t>SALAH.</w:t>
      </w:r>
      <w:r>
        <w:rPr>
          <w:i/>
        </w:rPr>
        <w:t xml:space="preserve"> Hanya </w:t>
      </w:r>
      <w:r>
        <w:rPr>
          <w:b/>
          <w:i/>
        </w:rPr>
        <w:t>Kromium Heksavalen [Cr(VI)]</w:t>
      </w:r>
      <w:r>
        <w:rPr>
          <w:i/>
        </w:rPr>
        <w:t xml:space="preserve"> yang karsinogenik (IARC Grup 1, ACGIH A1). Kromium Trivalen [Cr(III)] dan Logam Kromium [Cr(0)] tergolong IARC Grup 3 dan ACGIH A4. Jangan pernah menjawab "kromium karsinogenik" tanpa menyebutkan tingkat valensinya!</w:t>
      </w:r>
    </w:p>
    <w:p>
      <w:pPr>
        <w:ind w:left="454"/>
      </w:pPr>
      <w:r>
        <w:rPr>
          <w:i/>
        </w:rPr>
        <w:t xml:space="preserve">*   </w:t>
      </w:r>
      <w:r>
        <w:rPr>
          <w:i/>
        </w:rPr>
        <w:t>Jebakan 2: "Apakah kromium urin (Cr-U) dapat membedakan pajanan Cr(VI) vs Cr(III)?"</w:t>
      </w:r>
    </w:p>
    <w:p>
      <w:pPr>
        <w:ind w:left="454"/>
      </w:pPr>
      <w:r>
        <w:rPr>
          <w:b/>
          <w:i/>
        </w:rPr>
        <w:t>TIDAK BISA.</w:t>
      </w:r>
      <w:r>
        <w:rPr>
          <w:i/>
        </w:rPr>
        <w:t xml:space="preserve"> Pemeriksaan spektrometri ICP-MS atau AAS pada urin mengukur </w:t>
      </w:r>
      <w:r>
        <w:rPr>
          <w:b/>
          <w:i/>
        </w:rPr>
        <w:t>Total Kromium Elemental</w:t>
      </w:r>
      <w:r>
        <w:rPr>
          <w:i/>
        </w:rPr>
        <w:t xml:space="preserve">. Untuk membuktikan pajanan internal spesifik Cr(VI), biomarker yang digunakan adalah </w:t>
      </w:r>
      <w:r>
        <w:rPr>
          <w:b/>
          <w:i/>
        </w:rPr>
        <w:t>Kromium Sel Darah Merah (Cr-RBC)</w:t>
      </w:r>
      <w:r>
        <w:rPr>
          <w:i/>
        </w:rPr>
        <w:t>, karena Cr(III) di plasma ditolak oleh saluran membran anion eritrosit.</w:t>
      </w:r>
    </w:p>
    <w:p>
      <w:pPr>
        <w:ind w:left="454"/>
      </w:pPr>
      <w:r>
        <w:rPr>
          <w:i/>
        </w:rPr>
        <w:t xml:space="preserve">*   </w:t>
      </w:r>
      <w:r>
        <w:rPr>
          <w:i/>
        </w:rPr>
        <w:t>Jebakan 3: "Bolehkah pekerja yang mengalami perforasi septum nasi dimutasi ke area yang memiliki pajanan uap nikel atau asam?"</w:t>
      </w:r>
    </w:p>
    <w:p>
      <w:pPr>
        <w:ind w:left="454"/>
      </w:pPr>
      <w:r>
        <w:rPr>
          <w:b/>
          <w:i/>
        </w:rPr>
        <w:t>DILARANG KERAS.</w:t>
      </w:r>
      <w:r>
        <w:rPr>
          <w:i/>
        </w:rPr>
        <w:t xml:space="preserve"> Tulang rawan septum yang telah kehilangan sawar mukosa protektif sangat rentan mengalami infeksi sekunder, destruksi vaskular, dan karsinoma bila terpajan kontaminan asam atau senyawa karsinogenik lain.</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Threshold Limit Values for Chemical Substances and Physical Agents &amp; Biological Exposure Indices</w:t>
      </w:r>
      <w:r>
        <w:rPr>
          <w:color w:val="595959"/>
          <w:sz w:val="16"/>
        </w:rPr>
        <w:t>:</w:t>
      </w:r>
    </w:p>
    <w:p>
      <w:pPr>
        <w:spacing w:after="0"/>
        <w:ind w:left="283"/>
      </w:pPr>
      <w:r>
        <w:rPr>
          <w:color w:val="595959"/>
          <w:sz w:val="16"/>
        </w:rPr>
        <w:t xml:space="preserve">Tabel </w:t>
      </w:r>
      <w:r>
        <w:rPr>
          <w:i/>
          <w:color w:val="595959"/>
          <w:sz w:val="16"/>
        </w:rPr>
        <w:t>Adopted Values</w:t>
      </w:r>
      <w:r>
        <w:rPr>
          <w:color w:val="595959"/>
          <w:sz w:val="16"/>
        </w:rPr>
        <w:t>: Hexavalent Chromium Compounds [CAS 7440-47-3] as Cr(VI) (TWA 0,0002 mg/m³ [I], STEL 0,0005 mg/m³ [I], Notasi A1, Skin [Water-soluble only], DSEN, RSEN, BEI, hlm. 22); Trivalent Chromium as Cr(III) (TWA 0,003 mg/m³ [I], A4, DSEN, RSEN, hlm. 22); Metallic Chromium Cr(0) (TWA 0,5 mg/m³ [I], hlm. 22); Chromyl Chloride (hlm. 22); serta Tabel Adopsi BEI Total Chromium in Urine (0,7 µg/L Notasi Pop pada akhir shift akhir minggu kerja, hlm. 122).</w:t>
      </w:r>
    </w:p>
    <w:p>
      <w:pPr>
        <w:spacing w:after="0"/>
        <w:ind w:left="283"/>
      </w:pPr>
      <w:r>
        <w:rPr>
          <w:b/>
          <w:color w:val="595959"/>
          <w:sz w:val="16"/>
        </w:rPr>
        <w:t>Peraturan Menteri Ketenagakerjaan RI No. 5 Tahun 2018:</w:t>
      </w:r>
    </w:p>
    <w:p>
      <w:pPr>
        <w:spacing w:after="0"/>
        <w:ind w:left="283"/>
      </w:pPr>
      <w:r>
        <w:rPr>
          <w:color w:val="595959"/>
          <w:sz w:val="16"/>
        </w:rPr>
        <w:t>Lampiran 3: Batas Kadar Faktor Kimia untuk Krom VI Larut di Air NOC (NAB 0,05 mg/m³, A1, BEI), Krom VI Tidak Larut Air NOC (NAB 0,01 mg/m³, A1), Logam dan Persenyawaan Anorganik Cr(III) (NAB 0,5 mg/m³, A4), Kromil Klorida (hlm. 104–105).</w:t>
      </w:r>
    </w:p>
    <w:p>
      <w:pPr>
        <w:spacing w:after="0"/>
        <w:ind w:left="283"/>
      </w:pPr>
      <w:r>
        <w:rPr>
          <w:color w:val="595959"/>
          <w:sz w:val="16"/>
        </w:rPr>
        <w:t>Lampiran 4: Standar Indeks Pajanan Biologi (IPB) Kromium.</w:t>
      </w:r>
    </w:p>
    <w:p>
      <w:pPr>
        <w:spacing w:after="0"/>
        <w:ind w:left="283"/>
      </w:pPr>
      <w:r>
        <w:rPr>
          <w:b/>
          <w:color w:val="595959"/>
          <w:sz w:val="16"/>
        </w:rPr>
        <w:t>Peraturan Presiden RI No. 7 Tahun 2019:</w:t>
      </w:r>
    </w:p>
    <w:p>
      <w:pPr>
        <w:spacing w:after="0"/>
        <w:ind w:left="283"/>
      </w:pPr>
      <w:r>
        <w:rPr>
          <w:color w:val="595959"/>
          <w:sz w:val="16"/>
        </w:rPr>
        <w:t>Pasal 2, Lampiran I.a Butir 4 (Penyakit Faktor Kimia Kromium) dan Lampiran III Butir 4 (Kanker Akibat Kerja Persenyawaan Kromium VI).</w:t>
      </w:r>
    </w:p>
    <w:p>
      <w:pPr>
        <w:spacing w:after="0"/>
        <w:ind w:left="283"/>
      </w:pPr>
      <w:r>
        <w:rPr>
          <w:b/>
          <w:color w:val="595959"/>
          <w:sz w:val="16"/>
        </w:rPr>
        <w:t>Peraturan Menteri Kesehatan RI No. 11 Tahun 2022:</w:t>
      </w:r>
    </w:p>
    <w:p>
      <w:pPr>
        <w:spacing w:after="0"/>
        <w:ind w:left="283"/>
      </w:pPr>
      <w:r>
        <w:rPr>
          <w:color w:val="595959"/>
          <w:sz w:val="16"/>
        </w:rPr>
        <w:t>Pasal 5 (Tujuh Langkah Diagnosis Okupasi), Pasal 7–9 (Tata Laksana Medis dan Okupasi: Kelaikan Kerja dan Pemulihan Kerja).</w:t>
      </w:r>
    </w:p>
    <w:p>
      <w:pPr>
        <w:spacing w:after="0"/>
        <w:ind w:left="283"/>
      </w:pPr>
      <w:r>
        <w:rPr>
          <w:b/>
          <w:color w:val="595959"/>
          <w:sz w:val="16"/>
        </w:rPr>
        <w:t>Peraturan Pemerintah RI No. 28 Tahun 2024:</w:t>
      </w:r>
    </w:p>
    <w:p>
      <w:pPr>
        <w:spacing w:after="0"/>
        <w:ind w:left="283"/>
      </w:pPr>
      <w:r>
        <w:rPr>
          <w:color w:val="595959"/>
          <w:sz w:val="16"/>
        </w:rPr>
        <w:t>Pasal 232 s.d. 239 (Penyelenggaraan Upaya Kesehatan Kerja Komprehensif, Pencegahan PAK, Kelaikan Kerja, dan Pelayanan Paliatif).</w:t>
      </w:r>
    </w:p>
    <w:p>
      <w:pPr>
        <w:spacing w:after="0"/>
        <w:ind w:left="283"/>
      </w:pPr>
      <w:r>
        <w:rPr>
          <w:b/>
          <w:color w:val="595959"/>
          <w:sz w:val="16"/>
        </w:rPr>
        <w:t>IARC (2012).</w:t>
      </w:r>
      <w:r>
        <w:rPr>
          <w:color w:val="595959"/>
          <w:sz w:val="16"/>
        </w:rPr>
        <w:t xml:space="preserve"> </w:t>
      </w:r>
      <w:r>
        <w:rPr>
          <w:i/>
          <w:color w:val="595959"/>
          <w:sz w:val="16"/>
        </w:rPr>
        <w:t>A Review of Human Carcinogens: Arsenic, Metals, Fibres, and Dusts (IARC Monographs Vol. 100C)</w:t>
      </w:r>
      <w:r>
        <w:rPr>
          <w:color w:val="595959"/>
          <w:sz w:val="16"/>
        </w:rPr>
        <w:t>:</w:t>
      </w:r>
    </w:p>
    <w:p>
      <w:pPr>
        <w:spacing w:after="0"/>
        <w:ind w:left="283"/>
      </w:pPr>
      <w:r>
        <w:rPr>
          <w:color w:val="595959"/>
          <w:sz w:val="16"/>
        </w:rPr>
        <w:t xml:space="preserve">Monograf </w:t>
      </w:r>
      <w:r>
        <w:rPr>
          <w:i/>
          <w:color w:val="595959"/>
          <w:sz w:val="16"/>
        </w:rPr>
        <w:t>Chromium (VI) Compounds</w:t>
      </w:r>
      <w:r>
        <w:rPr>
          <w:color w:val="595959"/>
          <w:sz w:val="16"/>
        </w:rPr>
        <w:t>: Klasifikasi Kelarutan OSHA, Karsinogenesis Paru Bronkogenik dan Sinonasal, Reduksi Intraseluler Askorbat, dan Evaluasi Grup 1.</w:t>
      </w:r>
    </w:p>
    <w:p>
      <w:pPr>
        <w:spacing w:after="0"/>
        <w:ind w:left="283"/>
      </w:pPr>
      <w:r>
        <w:rPr>
          <w:b/>
          <w:color w:val="595959"/>
          <w:sz w:val="16"/>
        </w:rPr>
        <w:t>Verdonck, J. et al. (2021).</w:t>
      </w:r>
      <w:r>
        <w:rPr>
          <w:color w:val="595959"/>
          <w:sz w:val="16"/>
        </w:rPr>
        <w:t xml:space="preserve"> </w:t>
      </w:r>
      <w:r>
        <w:rPr>
          <w:i/>
          <w:color w:val="595959"/>
          <w:sz w:val="16"/>
        </w:rPr>
        <w:t>Systematic review of biomonitoring data on occupational exposure to hexavalent chromium.</w:t>
      </w:r>
      <w:r>
        <w:rPr>
          <w:color w:val="595959"/>
          <w:sz w:val="16"/>
        </w:rPr>
        <w:t xml:space="preserve"> Int. J. Hyg. Environ. Health, 236: 113799:</w:t>
      </w:r>
    </w:p>
    <w:p>
      <w:pPr>
        <w:spacing w:after="0"/>
        <w:ind w:left="283"/>
      </w:pPr>
      <w:r>
        <w:rPr>
          <w:color w:val="595959"/>
          <w:sz w:val="16"/>
        </w:rPr>
        <w:t>Nilai Rujukan BEI ACGIH Tradisional (10 µg/L shift &amp; 25 µg/L akhir minggu), Nilai BLV Prancis (2,5 µg/L), Nilai BMGV Inggris (10 µmol/mol), dan Nilai BAR Jerman (0,6 µg/L); Biomarker Cr-RBC dan Cr-Urin.</w:t>
      </w:r>
    </w:p>
    <w:p>
      <w:pPr>
        <w:spacing w:after="0"/>
        <w:ind w:left="283"/>
      </w:pPr>
      <w:r>
        <w:rPr>
          <w:b/>
          <w:color w:val="595959"/>
          <w:sz w:val="16"/>
        </w:rPr>
        <w:t>NIOSH Pocket Guide to Chemical Hazards (2005-149):</w:t>
      </w:r>
    </w:p>
    <w:p>
      <w:pPr>
        <w:spacing w:after="0"/>
        <w:ind w:left="283"/>
      </w:pPr>
      <w:r>
        <w:rPr>
          <w:color w:val="595959"/>
          <w:sz w:val="16"/>
        </w:rPr>
        <w:t xml:space="preserve">Profil </w:t>
      </w:r>
      <w:r>
        <w:rPr>
          <w:i/>
          <w:color w:val="595959"/>
          <w:sz w:val="16"/>
        </w:rPr>
        <w:t>Chromic acid and chromates</w:t>
      </w:r>
      <w:r>
        <w:rPr>
          <w:color w:val="595959"/>
          <w:sz w:val="16"/>
        </w:rPr>
        <w:t xml:space="preserve">: REL TWA 0,001 mg/m³ (Ca), PEL TWA 0,005 mg/m³ (as CrO3); Profil </w:t>
      </w:r>
      <w:r>
        <w:rPr>
          <w:i/>
          <w:color w:val="595959"/>
          <w:sz w:val="16"/>
        </w:rPr>
        <w:t>Chromium(III)</w:t>
      </w:r>
      <w:r>
        <w:rPr>
          <w:color w:val="595959"/>
          <w:sz w:val="16"/>
        </w:rPr>
        <w:t xml:space="preserve"> dan </w:t>
      </w:r>
      <w:r>
        <w:rPr>
          <w:i/>
          <w:color w:val="595959"/>
          <w:sz w:val="16"/>
        </w:rPr>
        <w:t>Chromium metal</w:t>
      </w:r>
      <w:r>
        <w:rPr>
          <w:color w:val="595959"/>
          <w:sz w:val="16"/>
        </w:rPr>
        <w:t>: REL TWA 0,5 mg/m³, PEL TWA 1 mg/m³.</w:t>
      </w:r>
    </w:p>
    <w:p>
      <w:pPr>
        <w:spacing w:after="0"/>
        <w:ind w:left="283"/>
      </w:pPr>
      <w:r>
        <w:rPr>
          <w:b/>
          <w:color w:val="595959"/>
          <w:sz w:val="16"/>
        </w:rPr>
        <w:t>Hodgson, E. (2010).</w:t>
      </w:r>
      <w:r>
        <w:rPr>
          <w:color w:val="595959"/>
          <w:sz w:val="16"/>
        </w:rPr>
        <w:t xml:space="preserve"> </w:t>
      </w:r>
      <w:r>
        <w:rPr>
          <w:i/>
          <w:color w:val="595959"/>
          <w:sz w:val="16"/>
        </w:rPr>
        <w:t>A Textbook of Modern Toxicology (4th ed., Wiley)</w:t>
      </w:r>
      <w:r>
        <w:rPr>
          <w:color w:val="595959"/>
          <w:sz w:val="16"/>
        </w:rPr>
        <w:t>:</w:t>
      </w:r>
    </w:p>
    <w:p>
      <w:pPr>
        <w:spacing w:after="0"/>
        <w:ind w:left="283"/>
      </w:pPr>
      <w:r>
        <w:rPr>
          <w:color w:val="595959"/>
          <w:sz w:val="16"/>
        </w:rPr>
        <w:t>Bab 4 &amp; Bab 21: Toksisitas Akut Gastrointestinal dan Ginjal (ATN), Penanganan Gawat Darurat Toksikologi, Asam Askorbat, Kontraindikasi Emesis Korosif, dan Hemodialisis.</w:t>
      </w:r>
    </w:p>
    <w:p>
      <w:r>
        <w:br w:type="page"/>
      </w:r>
    </w:p>
    <w:p>
      <w:pPr>
        <w:pStyle w:val="Heading2"/>
      </w:pPr>
      <w:bookmarkStart w:id="121" w:name="toc_021"/>
      <w:r>
        <w:t>3A.2 Merkuri (Hg)</w:t>
      </w:r>
      <w:bookmarkEnd w:id="121"/>
    </w:p>
    <w:p>
      <w:pPr>
        <w:pStyle w:val="Heading3"/>
      </w:pPr>
      <w:r>
        <w:t>1. Sifat Fisik-Kimia dan Klasifikasi Spesiasi Merkuri</w:t>
      </w:r>
    </w:p>
    <w:p>
      <w:pPr>
        <w:spacing w:after="80"/>
      </w:pPr>
      <w:r>
        <w:rPr/>
        <w:t xml:space="preserve">Secara kimiawi dan toksikologis, merkuri (nomor atom 80, berat atom 200,59 g/mol) terbagi ke dalam </w:t>
      </w:r>
      <w:r>
        <w:rPr>
          <w:b/>
        </w:rPr>
        <w:t>tiga kelas besar spesies</w:t>
      </w:r>
      <w:r>
        <w:rPr/>
        <w:t>:</w:t>
      </w:r>
    </w:p>
    <w:p>
      <w:pPr>
        <w:spacing w:after="120"/>
        <w:ind w:left="170"/>
      </w:pPr>
      <w:r>
        <w:rPr>
          <w:rFonts w:ascii="Consolas" w:hAnsi="Consolas" w:eastAsia="Consolas"/>
          <w:sz w:val="13"/>
        </w:rPr>
        <w:t xml:space="preserve">                                [ KLASIFIKASI SPESIASI MERKURI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MERKURI ELEMENTAL / Hg⁰ ]            [ MERKURI ANORGANIK ]                  [ MERKURI ORGANIK ]</w:t>
      </w:r>
      <w:r>
        <w:br/>
      </w:r>
      <w:r>
        <w:rPr>
          <w:rFonts w:ascii="Consolas" w:hAnsi="Consolas" w:eastAsia="Consolas"/>
          <w:sz w:val="13"/>
        </w:rPr>
        <w:t>• Logam cair pada suhu kamar           • Garam Merkuro (Hg₂²⁺, valensi +1)    • Terikat kovalen pada gugus karbon</w:t>
      </w:r>
      <w:r>
        <w:br/>
      </w:r>
      <w:r>
        <w:rPr>
          <w:rFonts w:ascii="Consolas" w:hAnsi="Consolas" w:eastAsia="Consolas"/>
          <w:sz w:val="13"/>
        </w:rPr>
        <w:t>• Tekanan uap tinggi (mudah menguap)   • Garam Merkuri (Hg²⁺, valensi +2)     • Alkil rantai pendek: Metilmerkuri</w:t>
      </w:r>
      <w:r>
        <w:br/>
      </w:r>
      <w:r>
        <w:rPr>
          <w:rFonts w:ascii="Consolas" w:hAnsi="Consolas" w:eastAsia="Consolas"/>
          <w:sz w:val="13"/>
        </w:rPr>
        <w:t>• Sangat lipofilik, non-polar          • Sangat korosif, larut air              (CH₃Hg⁺), Etilmerkuri (C₂H₅Hg⁺)</w:t>
      </w:r>
      <w:r>
        <w:br/>
      </w:r>
      <w:r>
        <w:rPr>
          <w:rFonts w:ascii="Consolas" w:hAnsi="Consolas" w:eastAsia="Consolas"/>
          <w:sz w:val="13"/>
        </w:rPr>
        <w:t>• Menembus Sawar Darah Otak (BBB)      • Menolak BBB; terakumulasi ginjal     • Aril: Fenilmerkuri</w:t>
      </w:r>
    </w:p>
    <w:p>
      <w:pPr>
        <w:spacing w:after="40"/>
        <w:ind w:left="340" w:hanging="283"/>
      </w:pPr>
      <w:r>
        <w:rPr/>
        <w:t xml:space="preserve">1. </w:t>
      </w:r>
      <w:r>
        <w:rPr>
          <w:b/>
        </w:rPr>
        <w:t>Merkuri Elemental / Metalik (Hg⁰):</w:t>
      </w:r>
    </w:p>
    <w:p>
      <w:pPr>
        <w:pStyle w:val="ListBullet2"/>
        <w:spacing w:after="20"/>
      </w:pPr>
      <w:r>
        <w:rPr>
          <w:i/>
        </w:rPr>
        <w:t>Sifat Fisik-Kimia:</w:t>
      </w:r>
      <w:r>
        <w:rPr/>
        <w:t xml:space="preserve"> Logam berat murni berfase cair pada suhu dan tekanan ruangan (satu-satunya logam cair pada suhu kamar) dengan titik didih 356,7°C. Memiliki tekanan uap jenuh yang tinggi sehingga </w:t>
      </w:r>
      <w:r>
        <w:rPr>
          <w:b/>
        </w:rPr>
        <w:t>sangat mudah menguap (</w:t>
      </w:r>
      <w:r>
        <w:rPr>
          <w:b/>
          <w:i/>
        </w:rPr>
        <w:t>volatile</w:t>
      </w:r>
      <w:r>
        <w:rPr>
          <w:b/>
        </w:rPr>
        <w:t>) pada suhu kamar membentuk uap merkuri bebas tak berwarna, tak berbau, dan tak berasa</w:t>
      </w:r>
      <w:r>
        <w:rPr/>
        <w:t>.</w:t>
      </w:r>
    </w:p>
    <w:p>
      <w:pPr>
        <w:pStyle w:val="ListBullet2"/>
        <w:spacing w:after="20"/>
      </w:pPr>
      <w:r>
        <w:rPr>
          <w:i/>
        </w:rPr>
        <w:t>Kelarutan &amp; Polaritas:</w:t>
      </w:r>
      <w:r>
        <w:rPr/>
        <w:t xml:space="preserve"> Bersifat monoatomik, non-polar, dan </w:t>
      </w:r>
      <w:r>
        <w:rPr>
          <w:b/>
        </w:rPr>
        <w:t>sangat lipofilik (</w:t>
      </w:r>
      <w:r>
        <w:rPr>
          <w:b/>
          <w:i/>
        </w:rPr>
        <w:t>lipid-soluble</w:t>
      </w:r>
      <w:r>
        <w:rPr>
          <w:b/>
        </w:rPr>
        <w:t>)</w:t>
      </w:r>
      <w:r>
        <w:rPr/>
        <w:t>, yang memungkinkannya berdifusi melintasi membran alveolar dan sawar darah otak (</w:t>
      </w:r>
      <w:r>
        <w:rPr>
          <w:i/>
        </w:rPr>
        <w:t>blood-brain barrier</w:t>
      </w:r>
      <w:r>
        <w:rPr/>
        <w:t xml:space="preserve"> / BBB) dengan sangat bebas.</w:t>
      </w:r>
    </w:p>
    <w:p>
      <w:pPr>
        <w:spacing w:after="40"/>
        <w:ind w:left="340" w:hanging="283"/>
      </w:pPr>
      <w:r>
        <w:rPr/>
        <w:t xml:space="preserve">2. </w:t>
      </w:r>
      <w:r>
        <w:rPr>
          <w:b/>
        </w:rPr>
        <w:t>Merkuri Anorganik / Garam Merkuri:</w:t>
      </w:r>
    </w:p>
    <w:p>
      <w:pPr>
        <w:pStyle w:val="ListBullet2"/>
        <w:spacing w:after="20"/>
      </w:pPr>
      <w:r>
        <w:rPr>
          <w:i/>
        </w:rPr>
        <w:t>Bentuk Oksidasi:</w:t>
      </w:r>
      <w:r>
        <w:rPr/>
        <w:t xml:space="preserve"> Terdiri dari dua tingkat bilangan oksidasi:</w:t>
      </w:r>
    </w:p>
    <w:p>
      <w:pPr>
        <w:pStyle w:val="ListBullet3"/>
        <w:spacing w:after="20"/>
      </w:pPr>
      <w:r>
        <w:rPr>
          <w:b/>
        </w:rPr>
        <w:t>Merkuro / Monovalen (Hg₂²⁺ / Hg⁺):</w:t>
      </w:r>
      <w:r>
        <w:rPr/>
        <w:t xml:space="preserve"> Contohnya kalomel atau merkuro klorida (Hg₂Cl₂), berupa garam padat putih yang kelarutannya dalam air relatif rendah.</w:t>
      </w:r>
    </w:p>
    <w:p>
      <w:pPr>
        <w:pStyle w:val="ListBullet3"/>
        <w:spacing w:after="20"/>
      </w:pPr>
      <w:r>
        <w:rPr>
          <w:b/>
        </w:rPr>
        <w:t>Merkuri / Divalen (Hg²⁺):</w:t>
      </w:r>
      <w:r>
        <w:rPr/>
        <w:t xml:space="preserve"> Contohnya merkuri klorida / sublimat korosif (HgCl₂), merkuri oksida (HgO), merkuri sulfida / sinabar (HgS), dan merkuri nitrat.</w:t>
      </w:r>
    </w:p>
    <w:p>
      <w:pPr>
        <w:pStyle w:val="ListBullet2"/>
        <w:spacing w:after="20"/>
      </w:pPr>
      <w:r>
        <w:rPr>
          <w:i/>
        </w:rPr>
        <w:t>Sifat Fisik-Kimia:</w:t>
      </w:r>
      <w:r>
        <w:rPr/>
        <w:t xml:space="preserve"> Berupa kristal padat atau serbuk putih; garam divalen (Hg²⁺) sangat larut dalam air, bersifat kaustik korosif kuat terhadap mukosa, dan berada sebagai ion hidrofilik yang </w:t>
      </w:r>
      <w:r>
        <w:rPr>
          <w:b/>
        </w:rPr>
        <w:t>tidak dapat menembus sawar darah otak secara pasif</w:t>
      </w:r>
      <w:r>
        <w:rPr/>
        <w:t>.</w:t>
      </w:r>
    </w:p>
    <w:p>
      <w:pPr>
        <w:spacing w:after="40"/>
        <w:ind w:left="340" w:hanging="283"/>
      </w:pPr>
      <w:r>
        <w:rPr/>
        <w:t xml:space="preserve">3. </w:t>
      </w:r>
      <w:r>
        <w:rPr>
          <w:b/>
        </w:rPr>
        <w:t>Merkuri Organik (Organomerkuri):</w:t>
      </w:r>
    </w:p>
    <w:p>
      <w:pPr>
        <w:pStyle w:val="ListBullet2"/>
        <w:spacing w:after="20"/>
      </w:pPr>
      <w:r>
        <w:rPr>
          <w:i/>
        </w:rPr>
        <w:t>Struktur Kimia:</w:t>
      </w:r>
      <w:r>
        <w:rPr/>
        <w:t xml:space="preserve"> Senyawa di mana atom merkuri terikat langsung secara kovalen dengan sekurang-kurangnya satu atom karbon organik (formula R-Hg⁺ atau R-Hg-R').</w:t>
      </w:r>
    </w:p>
    <w:p>
      <w:pPr>
        <w:pStyle w:val="ListBullet2"/>
        <w:spacing w:after="20"/>
      </w:pPr>
      <w:r>
        <w:rPr>
          <w:i/>
        </w:rPr>
        <w:t>Klasifikasi Sub-Kelompok:</w:t>
      </w:r>
    </w:p>
    <w:p>
      <w:pPr>
        <w:pStyle w:val="ListBullet3"/>
        <w:spacing w:after="20"/>
      </w:pPr>
      <w:r>
        <w:rPr>
          <w:b/>
        </w:rPr>
        <w:t>Alkil Rantai Pendek (</w:t>
      </w:r>
      <w:r>
        <w:rPr>
          <w:b/>
          <w:i/>
        </w:rPr>
        <w:t>Short-chain alkyl</w:t>
      </w:r>
      <w:r>
        <w:rPr>
          <w:b/>
        </w:rPr>
        <w:t>):</w:t>
      </w:r>
      <w:r>
        <w:rPr/>
        <w:t xml:space="preserve"> Paling toksik dan stabil, terutama </w:t>
      </w:r>
      <w:r>
        <w:rPr>
          <w:b/>
        </w:rPr>
        <w:t>Monometilmerkuri (CH₃Hg⁺)</w:t>
      </w:r>
      <w:r>
        <w:rPr/>
        <w:t>, Dimetilmerkuri [(CH₃)₂Hg], dan Etilmerkuri (C₂H₅Hg⁺). Sangat lipofilik, stabil di lingkungan akuatik, dan bioakumulatif tinggi.</w:t>
      </w:r>
    </w:p>
    <w:p>
      <w:pPr>
        <w:pStyle w:val="ListBullet3"/>
        <w:spacing w:after="20"/>
      </w:pPr>
      <w:r>
        <w:rPr>
          <w:b/>
        </w:rPr>
        <w:t>Aril dan Alkoksi-alkil (</w:t>
      </w:r>
      <w:r>
        <w:rPr>
          <w:b/>
          <w:i/>
        </w:rPr>
        <w:t>Aryl &amp; Alkoxyalkyl</w:t>
      </w:r>
      <w:r>
        <w:rPr>
          <w:b/>
        </w:rPr>
        <w:t>):</w:t>
      </w:r>
      <w:r>
        <w:rPr/>
        <w:t xml:space="preserve"> Contohnya fenilmerkuri asetat dan metoksietilmerkuri. Senyawa ini lebih tidak stabil dalam tubuh mamalia dan cepat dimetabolisme/dipecah menjadi merkuri anorganik (Hg²⁺).</w:t>
      </w:r>
    </w:p>
    <w:p>
      <w:pPr>
        <w:pStyle w:val="Heading3"/>
      </w:pPr>
      <w:r>
        <w:t>1. Standar Batas Pajanan Udara (Exposure Limits): ACGIH vs. Permenaker No. 5 Tahun 2018</w:t>
      </w:r>
    </w:p>
    <w:p>
      <w:pPr>
        <w:spacing w:after="80"/>
      </w:pPr>
      <w:r>
        <w:rPr/>
        <w:t xml:space="preserve">Di lingkungan kerja industri, nilai ambang batas pajanan udara ditetapkan secara spesifik menurut </w:t>
      </w:r>
      <w:r>
        <w:rPr>
          <w:b/>
        </w:rPr>
        <w:t>spesiasi kimiawi merkuri</w:t>
      </w:r>
      <w:r>
        <w:rPr/>
        <w:t>:</w:t>
      </w:r>
    </w:p>
    <w:p>
      <w:pPr>
        <w:spacing w:after="120"/>
        <w:ind w:left="170"/>
      </w:pPr>
      <w:r>
        <w:rPr>
          <w:rFonts w:ascii="Consolas" w:hAnsi="Consolas" w:eastAsia="Consolas"/>
          <w:sz w:val="13"/>
        </w:rPr>
        <w:t xml:space="preserve">                       [ PERBANDINGAN STANDAR BATAS PAJANAN MERKURI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xml:space="preserve">   [ BENTUK LOGAM / ELEMENTAL &amp; ANORGANIK ]                           [ SENYAWA ORGANIK / ALKIL ]</w:t>
      </w:r>
      <w:r>
        <w:br/>
      </w:r>
      <w:r>
        <w:rPr>
          <w:rFonts w:ascii="Consolas" w:hAnsi="Consolas" w:eastAsia="Consolas"/>
          <w:sz w:val="13"/>
        </w:rPr>
        <w:t>• ACGIH TLV-TWA: 0,025 mg/m³ (0,003 ppm)                           • ACGIH TLV-TWA: 0,01 mg/m³</w:t>
      </w:r>
      <w:r>
        <w:br/>
      </w:r>
      <w:r>
        <w:rPr>
          <w:rFonts w:ascii="Consolas" w:hAnsi="Consolas" w:eastAsia="Consolas"/>
          <w:sz w:val="13"/>
        </w:rPr>
        <w:t xml:space="preserve">  Notasi: Skin, A4, BEI                                              ACGIH TLV-STEL: 0,03 mg/m³; Notasi: Skin</w:t>
      </w:r>
      <w:r>
        <w:br/>
      </w:r>
      <w:r>
        <w:rPr>
          <w:rFonts w:ascii="Consolas" w:hAnsi="Consolas" w:eastAsia="Consolas"/>
          <w:sz w:val="13"/>
        </w:rPr>
        <w:t>• Permenaker 5/2018: 0,025 mg/m³ (0,003 bds)                       • Permenaker 5/2018: 0,01 mg/m³ (0,001 bds)</w:t>
      </w:r>
      <w:r>
        <w:br/>
      </w:r>
      <w:r>
        <w:rPr>
          <w:rFonts w:ascii="Consolas" w:hAnsi="Consolas" w:eastAsia="Consolas"/>
          <w:sz w:val="13"/>
        </w:rPr>
        <w:t xml:space="preserve">  Notasi: Kulit, A4, BEI (▲)                                         PSD: 0,03 mg/m³ (0,003 bds); Notasi: Kulit</w:t>
      </w:r>
    </w:p>
    <w:p>
      <w:pPr>
        <w:pStyle w:val="Heading4"/>
      </w:pPr>
      <w:r>
        <w:t>a. Nilai Ambang Batas ACGIH (Edisi 2026)</w:t>
      </w:r>
    </w:p>
    <w:p>
      <w:pPr>
        <w:spacing w:after="40"/>
        <w:ind w:left="340" w:hanging="283"/>
      </w:pPr>
      <w:r>
        <w:rPr/>
        <w:t xml:space="preserve">1. </w:t>
      </w:r>
      <w:r>
        <w:rPr>
          <w:b/>
        </w:rPr>
        <w:t>Merkuri Elemental dan Bentuk Anorganik (</w:t>
      </w:r>
      <w:r>
        <w:rPr>
          <w:b/>
          <w:i/>
        </w:rPr>
        <w:t>Elemental and inorganic forms, as Hg</w:t>
      </w:r>
      <w:r>
        <w:rPr>
          <w:b/>
        </w:rPr>
        <w:t>) [CAS 7439-97-6]:</w:t>
      </w:r>
    </w:p>
    <w:p>
      <w:pPr>
        <w:pStyle w:val="ListBullet2"/>
        <w:spacing w:after="20"/>
      </w:pPr>
      <w:r>
        <w:rPr>
          <w:b/>
        </w:rPr>
        <w:t>TLV-TWA:</w:t>
      </w:r>
      <w:r>
        <w:rPr/>
        <w:t xml:space="preserve"> </w:t>
      </w:r>
      <w:r>
        <w:rPr>
          <w:b/>
        </w:rPr>
        <w:t>0,025 mg/m³</w:t>
      </w:r>
      <w:r>
        <w:rPr/>
        <w:t xml:space="preserve"> (atau </w:t>
      </w:r>
      <w:r>
        <w:rPr>
          <w:b/>
        </w:rPr>
        <w:t>0,003 ppm</w:t>
      </w:r>
      <w:r>
        <w:rPr/>
        <w:t>).</w:t>
      </w:r>
    </w:p>
    <w:p>
      <w:pPr>
        <w:pStyle w:val="ListBullet2"/>
        <w:spacing w:after="20"/>
      </w:pPr>
      <w:r>
        <w:rPr>
          <w:i/>
        </w:rPr>
        <w:t>Notasi:</w:t>
      </w:r>
      <w:r>
        <w:rPr/>
        <w:t xml:space="preserve"> </w:t>
      </w:r>
      <w:r>
        <w:rPr>
          <w:b/>
        </w:rPr>
        <w:t>Skin; A4; BEI</w:t>
      </w:r>
      <w:r>
        <w:rPr/>
        <w:t>.</w:t>
      </w:r>
    </w:p>
    <w:p>
      <w:pPr>
        <w:pStyle w:val="ListBullet2"/>
        <w:spacing w:after="20"/>
      </w:pPr>
      <w:r>
        <w:rPr>
          <w:i/>
        </w:rPr>
        <w:t>Dasar Penetapan Efek Kritis (*TLV Basis</w:t>
      </w:r>
      <w:r>
        <w:rPr/>
        <w:t>):* Kerusakan sistem saraf pusat (</w:t>
      </w:r>
      <w:r>
        <w:rPr>
          <w:i/>
        </w:rPr>
        <w:t>CNS impairment</w:t>
      </w:r>
      <w:r>
        <w:rPr/>
        <w:t>) dan kerusakan ginjal (</w:t>
      </w:r>
      <w:r>
        <w:rPr>
          <w:i/>
        </w:rPr>
        <w:t>kidney damage</w:t>
      </w:r>
      <w:r>
        <w:rPr/>
        <w:t>).</w:t>
      </w:r>
    </w:p>
    <w:p>
      <w:pPr>
        <w:spacing w:after="40"/>
        <w:ind w:left="340" w:hanging="283"/>
      </w:pPr>
      <w:r>
        <w:rPr/>
        <w:t xml:space="preserve">2. </w:t>
      </w:r>
      <w:r>
        <w:rPr>
          <w:b/>
        </w:rPr>
        <w:t>Senyawa Alkil Merkuri Organik (</w:t>
      </w:r>
      <w:r>
        <w:rPr>
          <w:b/>
          <w:i/>
        </w:rPr>
        <w:t>Mercury, [organo] alkyl compounds, as Hg</w:t>
      </w:r>
      <w:r>
        <w:rPr>
          <w:b/>
        </w:rPr>
        <w:t>):</w:t>
      </w:r>
    </w:p>
    <w:p>
      <w:pPr>
        <w:pStyle w:val="ListBullet2"/>
        <w:spacing w:after="20"/>
      </w:pPr>
      <w:r>
        <w:rPr>
          <w:b/>
        </w:rPr>
        <w:t>TLV-TWA:</w:t>
      </w:r>
      <w:r>
        <w:rPr/>
        <w:t xml:space="preserve"> </w:t>
      </w:r>
      <w:r>
        <w:rPr>
          <w:b/>
        </w:rPr>
        <w:t>0,01 mg/m³</w:t>
      </w:r>
      <w:r>
        <w:rPr/>
        <w:t>.</w:t>
      </w:r>
    </w:p>
    <w:p>
      <w:pPr>
        <w:pStyle w:val="ListBullet2"/>
        <w:spacing w:after="20"/>
      </w:pPr>
      <w:r>
        <w:rPr>
          <w:b/>
        </w:rPr>
        <w:t>TLV-STEL:</w:t>
      </w:r>
      <w:r>
        <w:rPr/>
        <w:t xml:space="preserve"> </w:t>
      </w:r>
      <w:r>
        <w:rPr>
          <w:b/>
        </w:rPr>
        <w:t>0,03 mg/m³</w:t>
      </w:r>
      <w:r>
        <w:rPr/>
        <w:t>.</w:t>
      </w:r>
    </w:p>
    <w:p>
      <w:pPr>
        <w:pStyle w:val="ListBullet2"/>
        <w:spacing w:after="20"/>
      </w:pPr>
      <w:r>
        <w:rPr>
          <w:i/>
        </w:rPr>
        <w:t>Notasi:</w:t>
      </w:r>
      <w:r>
        <w:rPr/>
        <w:t xml:space="preserve"> </w:t>
      </w:r>
      <w:r>
        <w:rPr>
          <w:b/>
        </w:rPr>
        <w:t>Skin</w:t>
      </w:r>
      <w:r>
        <w:rPr/>
        <w:t>.</w:t>
      </w:r>
    </w:p>
    <w:p>
      <w:pPr>
        <w:pStyle w:val="ListBullet2"/>
        <w:spacing w:after="20"/>
      </w:pPr>
      <w:r>
        <w:rPr>
          <w:i/>
        </w:rPr>
        <w:t>Efek Kritis:</w:t>
      </w:r>
      <w:r>
        <w:rPr/>
        <w:t xml:space="preserve"> Kerusakan neurologis SSP akut dan kumulatif, ataksia serebelum, dan iritasi kulit nyata.</w:t>
      </w:r>
    </w:p>
    <w:p>
      <w:pPr>
        <w:spacing w:after="40"/>
        <w:ind w:left="340" w:hanging="283"/>
      </w:pPr>
      <w:r>
        <w:rPr/>
        <w:t xml:space="preserve">3. </w:t>
      </w:r>
      <w:r>
        <w:rPr>
          <w:b/>
        </w:rPr>
        <w:t>Senyawa Aril Merkuri (</w:t>
      </w:r>
      <w:r>
        <w:rPr>
          <w:b/>
          <w:i/>
        </w:rPr>
        <w:t>Mercury, aryl compounds, as Hg</w:t>
      </w:r>
      <w:r>
        <w:rPr>
          <w:b/>
        </w:rPr>
        <w:t>):</w:t>
      </w:r>
    </w:p>
    <w:p>
      <w:pPr>
        <w:pStyle w:val="ListBullet2"/>
        <w:spacing w:after="20"/>
      </w:pPr>
      <w:r>
        <w:rPr>
          <w:b/>
        </w:rPr>
        <w:t>TLV-TWA:</w:t>
      </w:r>
      <w:r>
        <w:rPr/>
        <w:t xml:space="preserve"> </w:t>
      </w:r>
      <w:r>
        <w:rPr>
          <w:b/>
        </w:rPr>
        <w:t>0,1 mg/m³</w:t>
      </w:r>
      <w:r>
        <w:rPr/>
        <w:t xml:space="preserve">; Notasi: </w:t>
      </w:r>
      <w:r>
        <w:rPr>
          <w:b/>
        </w:rPr>
        <w:t>Skin</w:t>
      </w:r>
      <w:r>
        <w:rPr/>
        <w:t>.</w:t>
      </w:r>
    </w:p>
    <w:p>
      <w:pPr>
        <w:pStyle w:val="Heading4"/>
      </w:pPr>
      <w:r>
        <w:t>b. Nilai Ambang Batas Permenaker No. 5 Tahun 2018 (Lampiran 3)</w:t>
      </w:r>
    </w:p>
    <w:p>
      <w:pPr>
        <w:spacing w:after="80"/>
      </w:pPr>
      <w:r>
        <w:rPr/>
        <w:t>Kementerian Ketenagakerjaan RI mengadopsi standar ambang batas yang selaras dengan ACGIH:</w:t>
      </w:r>
    </w:p>
    <w:p>
      <w:pPr>
        <w:spacing w:after="40"/>
        <w:ind w:left="340" w:hanging="283"/>
      </w:pPr>
      <w:r>
        <w:rPr/>
        <w:t xml:space="preserve">1. </w:t>
      </w:r>
      <w:r>
        <w:rPr>
          <w:b/>
        </w:rPr>
        <w:t>Air Raksa (Merkuri) — Logam dan Bentuk Anorganik:</w:t>
      </w:r>
    </w:p>
    <w:p>
      <w:pPr>
        <w:pStyle w:val="ListBullet2"/>
        <w:spacing w:after="20"/>
      </w:pPr>
      <w:r>
        <w:rPr>
          <w:b/>
        </w:rPr>
        <w:t>NAB (TWA 8 jam):</w:t>
      </w:r>
      <w:r>
        <w:rPr/>
        <w:t xml:space="preserve"> </w:t>
      </w:r>
      <w:r>
        <w:rPr>
          <w:b/>
        </w:rPr>
        <w:t>0,025 mg/m³</w:t>
      </w:r>
      <w:r>
        <w:rPr/>
        <w:t xml:space="preserve"> (setara </w:t>
      </w:r>
      <w:r>
        <w:rPr>
          <w:b/>
        </w:rPr>
        <w:t>0,003 bds/ppm</w:t>
      </w:r>
      <w:r>
        <w:rPr/>
        <w:t>).</w:t>
      </w:r>
    </w:p>
    <w:p>
      <w:pPr>
        <w:pStyle w:val="ListBullet2"/>
        <w:spacing w:after="20"/>
      </w:pPr>
      <w:r>
        <w:rPr>
          <w:i/>
        </w:rPr>
        <w:t>Notasi:</w:t>
      </w:r>
      <w:r>
        <w:rPr/>
        <w:t xml:space="preserve"> </w:t>
      </w:r>
      <w:r>
        <w:rPr>
          <w:b/>
        </w:rPr>
        <w:t>Kulit; A4; BEI (simbol ▲)</w:t>
      </w:r>
      <w:r>
        <w:rPr/>
        <w:t>.</w:t>
      </w:r>
    </w:p>
    <w:p>
      <w:pPr>
        <w:spacing w:after="40"/>
        <w:ind w:left="340" w:hanging="283"/>
      </w:pPr>
      <w:r>
        <w:rPr/>
        <w:t xml:space="preserve">2. </w:t>
      </w:r>
      <w:r>
        <w:rPr>
          <w:b/>
        </w:rPr>
        <w:t>Air Raksa (Merkuri) — Senyawa Alkil:</w:t>
      </w:r>
    </w:p>
    <w:p>
      <w:pPr>
        <w:pStyle w:val="ListBullet2"/>
        <w:spacing w:after="20"/>
      </w:pPr>
      <w:r>
        <w:rPr>
          <w:b/>
        </w:rPr>
        <w:t>NAB (TWA 8 jam):</w:t>
      </w:r>
      <w:r>
        <w:rPr/>
        <w:t xml:space="preserve"> </w:t>
      </w:r>
      <w:r>
        <w:rPr>
          <w:b/>
        </w:rPr>
        <w:t>0,01 mg/m³</w:t>
      </w:r>
      <w:r>
        <w:rPr/>
        <w:t xml:space="preserve"> (setara </w:t>
      </w:r>
      <w:r>
        <w:rPr>
          <w:b/>
        </w:rPr>
        <w:t>0,001 bds</w:t>
      </w:r>
      <w:r>
        <w:rPr/>
        <w:t>).</w:t>
      </w:r>
    </w:p>
    <w:p>
      <w:pPr>
        <w:pStyle w:val="ListBullet2"/>
        <w:spacing w:after="20"/>
      </w:pPr>
      <w:r>
        <w:rPr>
          <w:b/>
        </w:rPr>
        <w:t>PSD (STEL 15 menit):</w:t>
      </w:r>
      <w:r>
        <w:rPr/>
        <w:t xml:space="preserve"> </w:t>
      </w:r>
      <w:r>
        <w:rPr>
          <w:b/>
        </w:rPr>
        <w:t>0,03 mg/m³</w:t>
      </w:r>
      <w:r>
        <w:rPr/>
        <w:t xml:space="preserve"> (setara </w:t>
      </w:r>
      <w:r>
        <w:rPr>
          <w:b/>
        </w:rPr>
        <w:t>0,003 bds</w:t>
      </w:r>
      <w:r>
        <w:rPr/>
        <w:t>).</w:t>
      </w:r>
    </w:p>
    <w:p>
      <w:pPr>
        <w:pStyle w:val="ListBullet2"/>
        <w:spacing w:after="20"/>
      </w:pPr>
      <w:r>
        <w:rPr>
          <w:i/>
        </w:rPr>
        <w:t>Notasi:</w:t>
      </w:r>
      <w:r>
        <w:rPr/>
        <w:t xml:space="preserve"> </w:t>
      </w:r>
      <w:r>
        <w:rPr>
          <w:b/>
        </w:rPr>
        <w:t>Kulit</w:t>
      </w:r>
      <w:r>
        <w:rPr/>
        <w:t>.</w:t>
      </w:r>
    </w:p>
    <w:p>
      <w:pPr>
        <w:spacing w:after="40"/>
        <w:ind w:left="340" w:hanging="283"/>
      </w:pPr>
      <w:r>
        <w:rPr/>
        <w:t xml:space="preserve">3. </w:t>
      </w:r>
      <w:r>
        <w:rPr>
          <w:b/>
        </w:rPr>
        <w:t>Air Raksa (Merkuri) — Senyawa Aril:</w:t>
      </w:r>
    </w:p>
    <w:p>
      <w:pPr>
        <w:pStyle w:val="ListBullet2"/>
        <w:spacing w:after="20"/>
      </w:pPr>
      <w:r>
        <w:rPr>
          <w:b/>
        </w:rPr>
        <w:t>NAB:</w:t>
      </w:r>
      <w:r>
        <w:rPr/>
        <w:t xml:space="preserve"> </w:t>
      </w:r>
      <w:r>
        <w:rPr>
          <w:b/>
        </w:rPr>
        <w:t>0,1 mg/m³</w:t>
      </w:r>
      <w:r>
        <w:rPr/>
        <w:t xml:space="preserve">; Notasi: </w:t>
      </w:r>
      <w:r>
        <w:rPr>
          <w:b/>
        </w:rPr>
        <w:t>Kulit; A4</w:t>
      </w:r>
      <w:r>
        <w:rPr/>
        <w:t>.</w:t>
      </w:r>
    </w:p>
    <w:p>
      <w:pPr>
        <w:pStyle w:val="Heading4"/>
      </w:pPr>
      <w:r>
        <w:t>c. Makna Toksikologis Notasi</w:t>
      </w:r>
    </w:p>
    <w:p>
      <w:pPr>
        <w:pStyle w:val="ListBullet"/>
        <w:spacing w:after="20"/>
      </w:pPr>
      <w:r>
        <w:rPr>
          <w:b/>
        </w:rPr>
        <w:t>Notasi "Skin" / "Kulit":</w:t>
      </w:r>
      <w:r>
        <w:rPr/>
        <w:t xml:space="preserve"> Menandakan adanya </w:t>
      </w:r>
      <w:r>
        <w:rPr>
          <w:b/>
        </w:rPr>
        <w:t>potensi kontribusi penyerapan yang signifikan melalui rute kulit (</w:t>
      </w:r>
      <w:r>
        <w:rPr>
          <w:b/>
          <w:i/>
        </w:rPr>
        <w:t>cutaneous/dermal absorption</w:t>
      </w:r>
      <w:r>
        <w:rPr>
          <w:b/>
        </w:rPr>
        <w:t>)</w:t>
      </w:r>
      <w:r>
        <w:rPr/>
        <w:t xml:space="preserve">, termasuk kontak uap, cairan, atau aerosol pada membran mukosa dan mata. Notasi ini menjadi peringatan tegas bagi dokter okupasi dan higienis industri bahwa pemantauan konsentrasi udara semata </w:t>
      </w:r>
      <w:r>
        <w:rPr>
          <w:b/>
        </w:rPr>
        <w:t>tidak menjamin pekerja aman dari intoksikasi sistemik jika perlindungan kulit (</w:t>
      </w:r>
      <w:r>
        <w:rPr>
          <w:b/>
          <w:i/>
        </w:rPr>
        <w:t>chemical-resistant gloves</w:t>
      </w:r>
      <w:r>
        <w:rPr>
          <w:b/>
        </w:rPr>
        <w:t>) diabaikan</w:t>
      </w:r>
      <w:r>
        <w:rPr/>
        <w:t>.</w:t>
      </w:r>
    </w:p>
    <w:p>
      <w:pPr>
        <w:pStyle w:val="ListBullet"/>
        <w:spacing w:after="20"/>
      </w:pPr>
      <w:r>
        <w:rPr>
          <w:b/>
        </w:rPr>
        <w:t>Notasi "A4" (</w:t>
      </w:r>
      <w:r>
        <w:rPr>
          <w:b/>
          <w:i/>
        </w:rPr>
        <w:t>Not Classifiable as a Human Carcinogen</w:t>
      </w:r>
      <w:r>
        <w:rPr>
          <w:b/>
        </w:rPr>
        <w:t>):</w:t>
      </w:r>
      <w:r>
        <w:rPr/>
        <w:t xml:space="preserve"> Menunjukkan bahwa zat tersebut belum dapat diklasifikasikan sebagai karsinogen manusia akibat data epidemiologi manusia yang tidak memadai dan hasil bioasai hewan coba yang belum konklusif.</w:t>
      </w:r>
    </w:p>
    <w:p>
      <w:pPr>
        <w:pStyle w:val="ListBullet"/>
        <w:spacing w:after="20"/>
      </w:pPr>
      <w:r>
        <w:rPr>
          <w:b/>
        </w:rPr>
        <w:t>Notasi "BEI" / Simbol Segitiga (▲):</w:t>
      </w:r>
      <w:r>
        <w:rPr/>
        <w:t xml:space="preserve"> Mewajibkan dilakukannya pemantauan dosis biologis internal (</w:t>
      </w:r>
      <w:r>
        <w:rPr>
          <w:i/>
        </w:rPr>
        <w:t>biological monitoring</w:t>
      </w:r>
      <w:r>
        <w:rPr/>
        <w:t>) yang nilainya dirujuk pada tabel Indeks Pajanan Biologi.</w:t>
      </w:r>
    </w:p>
    <w:p>
      <w:pPr>
        <w:pStyle w:val="Heading3"/>
      </w:pPr>
      <w:r>
        <w:t>2. Standar BEI (ACGIH) dan IPB (Permenaker 5/2018) serta Waktu Sampling</w:t>
      </w:r>
    </w:p>
    <w:p>
      <w:pPr>
        <w:spacing w:after="80"/>
      </w:pPr>
      <w:r>
        <w:rPr/>
        <w:t xml:space="preserve">Dalam mengevaluasi dosis internal pekerja yang terpajan uap merkuri elemental atau garam anorganik, matriks biologis yang menjadi rujukan resmi hukum adalah </w:t>
      </w:r>
      <w:r>
        <w:rPr>
          <w:b/>
        </w:rPr>
        <w:t>spesimen urin</w:t>
      </w:r>
      <w:r>
        <w:rPr/>
        <w:t>:</w:t>
      </w:r>
    </w:p>
    <w:p>
      <w:pPr>
        <w:spacing w:after="120"/>
        <w:ind w:left="170"/>
      </w:pPr>
      <w:r>
        <w:rPr>
          <w:rFonts w:ascii="Consolas" w:hAnsi="Consolas" w:eastAsia="Consolas"/>
          <w:sz w:val="13"/>
        </w:rPr>
        <w:t xml:space="preserve">                       [ STANDAR INDEKS PAJANAN BIOLOGI MERKURI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DETERMINAN BIOLOGIS ]             [ NILAI BAKU BEI / IPB ]           [ WAKTU PENGAMBILAN SAMPEL ]</w:t>
      </w:r>
      <w:r>
        <w:br/>
      </w:r>
      <w:r>
        <w:rPr>
          <w:rFonts w:ascii="Consolas" w:hAnsi="Consolas" w:eastAsia="Consolas"/>
          <w:sz w:val="13"/>
        </w:rPr>
        <w:t xml:space="preserve"> Merkuri Anorganik dalam Urin        20 µg/g kreatinin                  Sebelum Gilir Kerja</w:t>
      </w:r>
      <w:r>
        <w:br/>
      </w:r>
      <w:r>
        <w:rPr>
          <w:rFonts w:ascii="Consolas" w:hAnsi="Consolas" w:eastAsia="Consolas"/>
          <w:sz w:val="13"/>
        </w:rPr>
        <w:t xml:space="preserve"> (Total Inorganic Mercury in         (Notasi B: Background              (Prior to Shift)</w:t>
      </w:r>
      <w:r>
        <w:br/>
      </w:r>
      <w:r>
        <w:rPr>
          <w:rFonts w:ascii="Consolas" w:hAnsi="Consolas" w:eastAsia="Consolas"/>
          <w:sz w:val="13"/>
        </w:rPr>
        <w:t xml:space="preserve">  Urine)                              non-terpajan diperhitungkan)       16 jam pasca-shift terakhir</w:t>
      </w:r>
    </w:p>
    <w:p>
      <w:pPr>
        <w:pStyle w:val="ListBullet"/>
        <w:spacing w:after="20"/>
      </w:pPr>
      <w:r>
        <w:rPr>
          <w:b/>
        </w:rPr>
        <w:t>Determinan Biologis:</w:t>
      </w:r>
      <w:r>
        <w:rPr/>
        <w:t xml:space="preserve"> Merkuri anorganik dalam urin (</w:t>
      </w:r>
      <w:r>
        <w:rPr>
          <w:i/>
        </w:rPr>
        <w:t>Inorganic mercury in urine</w:t>
      </w:r>
      <w:r>
        <w:rPr/>
        <w:t>).</w:t>
      </w:r>
    </w:p>
    <w:p>
      <w:pPr>
        <w:pStyle w:val="ListBullet"/>
        <w:spacing w:after="20"/>
      </w:pPr>
      <w:r>
        <w:rPr>
          <w:b/>
        </w:rPr>
        <w:t>Nilai Baku BEI / IPB:</w:t>
      </w:r>
      <w:r>
        <w:rPr/>
        <w:t xml:space="preserve"> </w:t>
      </w:r>
      <w:r>
        <w:rPr>
          <w:b/>
        </w:rPr>
        <w:t>20 µg/g kreatinin</w:t>
      </w:r>
      <w:r>
        <w:rPr/>
        <w:t>.</w:t>
      </w:r>
    </w:p>
    <w:p>
      <w:pPr>
        <w:spacing w:after="80"/>
      </w:pPr>
      <w:r>
        <w:rPr>
          <w:i/>
        </w:rPr>
        <w:t>(Pada Lampiran 4 Permenaker 5/2018, nilai IPB ditetapkan identik sebesar 20 µg/g kreatinin)</w:t>
      </w:r>
      <w:r>
        <w:rPr/>
        <w:t>.</w:t>
      </w:r>
    </w:p>
    <w:p>
      <w:pPr>
        <w:pStyle w:val="ListBullet"/>
        <w:spacing w:after="20"/>
      </w:pPr>
      <w:r>
        <w:rPr>
          <w:b/>
        </w:rPr>
        <w:t>Waktu Pengambilan Sampel (</w:t>
      </w:r>
      <w:r>
        <w:rPr>
          <w:b/>
          <w:i/>
        </w:rPr>
        <w:t>Sampling Time</w:t>
      </w:r>
      <w:r>
        <w:rPr>
          <w:b/>
        </w:rPr>
        <w:t>):</w:t>
      </w:r>
      <w:r>
        <w:rPr/>
        <w:t xml:space="preserve"> </w:t>
      </w:r>
      <w:r>
        <w:rPr>
          <w:b/>
        </w:rPr>
        <w:t>Sebelum gilir kerja (</w:t>
      </w:r>
      <w:r>
        <w:rPr>
          <w:b/>
          <w:i/>
        </w:rPr>
        <w:t>Prior to shift</w:t>
      </w:r>
      <w:r>
        <w:rPr>
          <w:b/>
        </w:rPr>
        <w:t>)</w:t>
      </w:r>
      <w:r>
        <w:rPr/>
        <w:t>.</w:t>
      </w:r>
    </w:p>
    <w:p>
      <w:pPr>
        <w:pStyle w:val="ListBullet2"/>
        <w:spacing w:after="20"/>
      </w:pPr>
      <w:r>
        <w:rPr>
          <w:i/>
        </w:rPr>
        <w:t>Protokol Teknis Koleksi:</w:t>
      </w:r>
      <w:r>
        <w:rPr/>
        <w:t xml:space="preserve"> Sampel urin dikumpulkan </w:t>
      </w:r>
      <w:r>
        <w:rPr>
          <w:b/>
        </w:rPr>
        <w:t>setelah sekurang-kurangnya 16 jam pekerja bebas dari pajanan kerja</w:t>
      </w:r>
      <w:r>
        <w:rPr/>
        <w:t xml:space="preserve">, namun dilakukan </w:t>
      </w:r>
      <w:r>
        <w:rPr>
          <w:b/>
        </w:rPr>
        <w:t>tepat sebelum shift kerja hari pengambilan sampel dimulai</w:t>
      </w:r>
      <w:r>
        <w:rPr/>
        <w:t>.</w:t>
      </w:r>
    </w:p>
    <w:p>
      <w:pPr>
        <w:pStyle w:val="ListBullet2"/>
        <w:spacing w:after="20"/>
      </w:pPr>
      <w:r>
        <w:rPr>
          <w:i/>
        </w:rPr>
        <w:t>Rasional Toksikokinetik Okupasi:</w:t>
      </w:r>
      <w:r>
        <w:rPr/>
        <w:t xml:space="preserve"> Eliminasi merkuri urin memiliki waktu paruh jaringan ginjal sekitar 30–60 hari. Pengambilan sampel </w:t>
      </w:r>
      <w:r>
        <w:rPr>
          <w:i/>
        </w:rPr>
        <w:t>prior to shift</w:t>
      </w:r>
      <w:r>
        <w:rPr/>
        <w:t xml:space="preserve"> bertujuan untuk </w:t>
      </w:r>
      <w:r>
        <w:rPr>
          <w:b/>
        </w:rPr>
        <w:t>menghindari lonjakan artefak ekskresi transien akibat inhalasi uap shift hari itu</w:t>
      </w:r>
      <w:r>
        <w:rPr/>
        <w:t>, sehingga mencerminkan beban penumpukan merkuri yang stabil di dalam parenkim ginjal (</w:t>
      </w:r>
      <w:r>
        <w:rPr>
          <w:i/>
        </w:rPr>
        <w:t>steady-state renal body burden</w:t>
      </w:r>
      <w:r>
        <w:rPr/>
        <w:t>).</w:t>
      </w:r>
    </w:p>
    <w:p>
      <w:pPr>
        <w:pStyle w:val="ListBullet"/>
        <w:spacing w:after="20"/>
      </w:pPr>
      <w:r>
        <w:rPr>
          <w:b/>
        </w:rPr>
        <w:t>Notasi Latar Belakang (B):</w:t>
      </w:r>
      <w:r>
        <w:rPr/>
        <w:t xml:space="preserve"> Mengingatkan bahwa asupan makanan (seperti makanan laut) atau restorasi gigi dental amalgam dapat memberikan kontribusi konsentrasi dasar (</w:t>
      </w:r>
      <w:r>
        <w:rPr>
          <w:i/>
        </w:rPr>
        <w:t>background levels</w:t>
      </w:r>
      <w:r>
        <w:rPr/>
        <w:t>) pada populasi umum.</w:t>
      </w:r>
    </w:p>
    <w:p>
      <w:pPr>
        <w:pStyle w:val="ListBullet"/>
        <w:spacing w:after="20"/>
      </w:pPr>
      <w:r>
        <w:rPr>
          <w:b/>
        </w:rPr>
        <w:t>Tindakan Medis Berdasarkan Nilai Urin di Lapangan:</w:t>
      </w:r>
    </w:p>
    <w:p>
      <w:pPr>
        <w:pStyle w:val="ListBullet2"/>
        <w:spacing w:after="20"/>
      </w:pPr>
      <w:r>
        <w:rPr>
          <w:i/>
        </w:rPr>
        <w:t>&lt; 20 µg/g kreatinin:</w:t>
      </w:r>
      <w:r>
        <w:rPr/>
        <w:t xml:space="preserve"> Pajanan terkendali di bawah ambang batas standar okupasi.</w:t>
      </w:r>
    </w:p>
    <w:p>
      <w:pPr>
        <w:pStyle w:val="ListBullet2"/>
        <w:spacing w:after="20"/>
      </w:pPr>
      <w:r>
        <w:rPr>
          <w:i/>
        </w:rPr>
        <w:t>20--50 µg/g kreatinin:</w:t>
      </w:r>
      <w:r>
        <w:rPr/>
        <w:t xml:space="preserve"> Terjadi pajanan berlebih (</w:t>
      </w:r>
      <w:r>
        <w:rPr>
          <w:i/>
        </w:rPr>
        <w:t>overexposure</w:t>
      </w:r>
      <w:r>
        <w:rPr/>
        <w:t>); wajib dilakukan audit ventilasi industri, inspeksi APD, dan evaluasi ulang higiene personal.</w:t>
      </w:r>
    </w:p>
    <w:p>
      <w:pPr>
        <w:pStyle w:val="ListBullet2"/>
        <w:spacing w:after="20"/>
      </w:pPr>
      <w:r>
        <w:rPr>
          <w:i/>
        </w:rPr>
        <w:t>&gt; 50 µg/g kreatinin (atau &gt; 50 µg/L):</w:t>
      </w:r>
      <w:r>
        <w:rPr/>
        <w:t xml:space="preserve"> Ambang batas peringatan biologis; peningkatan risiko gangguan neurobehavioral subklinis dan proteinuria mikro.</w:t>
      </w:r>
    </w:p>
    <w:p>
      <w:pPr>
        <w:pStyle w:val="ListBullet2"/>
        <w:spacing w:after="20"/>
      </w:pPr>
      <w:r>
        <w:rPr>
          <w:i/>
        </w:rPr>
        <w:t>&gt; 100 µg/g kreatinin (atau &gt; 100 µg/L):</w:t>
      </w:r>
      <w:r>
        <w:rPr/>
        <w:t xml:space="preserve"> Ambang batas kritis intervensi klinis; pekerja wajib ditarik dari area pajanan (</w:t>
      </w:r>
      <w:r>
        <w:rPr>
          <w:i/>
        </w:rPr>
        <w:t>medical removal</w:t>
      </w:r>
      <w:r>
        <w:rPr/>
        <w:t>) dan dievaluasi untuk terapi kelasi.</w:t>
      </w:r>
    </w:p>
    <w:p>
      <w:pPr>
        <w:pStyle w:val="Heading3"/>
      </w:pPr>
      <w:r>
        <w:t>3. Tatalaksana Akut, Keracunan, dan Terapi Kelasi</w:t>
      </w:r>
    </w:p>
    <w:p>
      <w:pPr>
        <w:spacing w:after="80"/>
      </w:pPr>
      <w:r>
        <w:rPr/>
        <w:t xml:space="preserve">Penanganan intoksikasi merkuri didasarkan pada trias: </w:t>
      </w:r>
      <w:r>
        <w:rPr>
          <w:b/>
        </w:rPr>
        <w:t>dekontaminasi segera, stabilisasi fungsi vital organ, dan pemberian kelator pengikat tiol spesifik</w:t>
      </w:r>
      <w:r>
        <w:rPr/>
        <w:t>.</w:t>
      </w:r>
    </w:p>
    <w:p>
      <w:pPr>
        <w:spacing w:after="120"/>
        <w:ind w:left="170"/>
      </w:pPr>
      <w:r>
        <w:rPr>
          <w:rFonts w:ascii="Consolas" w:hAnsi="Consolas" w:eastAsia="Consolas"/>
          <w:sz w:val="13"/>
        </w:rPr>
        <w:t xml:space="preserve">                                  [ ALGORITMA TATALAKSANA KERACUNAN MERKURI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DEKONTAMINASI &amp; STABILISASI ]                                                             [ EVALUASI TERAPI KELASI ]</w:t>
      </w:r>
      <w:r>
        <w:br/>
      </w:r>
      <w:r>
        <w:rPr>
          <w:rFonts w:ascii="Consolas" w:hAnsi="Consolas" w:eastAsia="Consolas"/>
          <w:sz w:val="13"/>
        </w:rPr>
        <w:t>• Inhalasi Uap Hg⁰:                                                                         • Indikasi: Pasien bergejala organ</w:t>
      </w:r>
      <w:r>
        <w:br/>
      </w:r>
      <w:r>
        <w:rPr>
          <w:rFonts w:ascii="Consolas" w:hAnsi="Consolas" w:eastAsia="Consolas"/>
          <w:sz w:val="13"/>
        </w:rPr>
        <w:t xml:space="preserve">  Evakuasi segera, O₂ suplemental, pantau ARDS,                                               (SSP/ginjal) ATAU biomarker</w:t>
      </w:r>
      <w:r>
        <w:br/>
      </w:r>
      <w:r>
        <w:rPr>
          <w:rFonts w:ascii="Consolas" w:hAnsi="Consolas" w:eastAsia="Consolas"/>
          <w:sz w:val="13"/>
        </w:rPr>
        <w:t xml:space="preserve">  ventilasi mekanik &amp; PEEP bila edema paru                                                    U-Hg &gt; 100 µg/L / B-Hg &gt; 50 µg/L</w:t>
      </w:r>
      <w:r>
        <w:br/>
      </w:r>
      <w:r>
        <w:rPr>
          <w:rFonts w:ascii="Consolas" w:hAnsi="Consolas" w:eastAsia="Consolas"/>
          <w:sz w:val="13"/>
        </w:rPr>
        <w:t>• Ingesti Garam Anorganik (HgCl₂):                                                          • Agen Pilihan Lini Pertama:</w:t>
      </w:r>
      <w:r>
        <w:br/>
      </w:r>
      <w:r>
        <w:rPr>
          <w:rFonts w:ascii="Consolas" w:hAnsi="Consolas" w:eastAsia="Consolas"/>
          <w:sz w:val="13"/>
        </w:rPr>
        <w:t xml:space="preserve">  Bilas lambung hati-hati (risiko perforasi!),                                                1. DMPS (PO / IV) ──► Paling poten</w:t>
      </w:r>
      <w:r>
        <w:br/>
      </w:r>
      <w:r>
        <w:rPr>
          <w:rFonts w:ascii="Consolas" w:hAnsi="Consolas" w:eastAsia="Consolas"/>
          <w:sz w:val="13"/>
        </w:rPr>
        <w:t xml:space="preserve">  resusitasi cairan agresif (cegah ATN),                                                      2. DMSA (Succimer, PO) ──► Aman</w:t>
      </w:r>
      <w:r>
        <w:br/>
      </w:r>
      <w:r>
        <w:rPr>
          <w:rFonts w:ascii="Consolas" w:hAnsi="Consolas" w:eastAsia="Consolas"/>
          <w:sz w:val="13"/>
        </w:rPr>
        <w:t xml:space="preserve">  hemodialisis dini jika timbul anuria                                                      • KONTRAINDIKASI MUTLAK:</w:t>
      </w:r>
      <w:r>
        <w:br/>
      </w:r>
      <w:r>
        <w:rPr>
          <w:rFonts w:ascii="Consolas" w:hAnsi="Consolas" w:eastAsia="Consolas"/>
          <w:sz w:val="13"/>
        </w:rPr>
        <w:t>• Kontak Kulit: Guyur air mengalir min. 15 menit                                              BAL PADA Hg⁰ &amp; METILMERKURI!</w:t>
      </w:r>
    </w:p>
    <w:p>
      <w:pPr>
        <w:pStyle w:val="Heading4"/>
      </w:pPr>
      <w:r>
        <w:t>a. Dekontaminasi dan Tindakan Suportif Akut</w:t>
      </w:r>
    </w:p>
    <w:p>
      <w:pPr>
        <w:spacing w:after="40"/>
        <w:ind w:left="340" w:hanging="283"/>
      </w:pPr>
      <w:r>
        <w:rPr/>
        <w:t xml:space="preserve">1. </w:t>
      </w:r>
      <w:r>
        <w:rPr>
          <w:b/>
        </w:rPr>
        <w:t>Inhalasi Uap Merkuri Elemental (Hg⁰) Konsentrasi Tinggi:</w:t>
      </w:r>
    </w:p>
    <w:p>
      <w:pPr>
        <w:pStyle w:val="ListBullet2"/>
        <w:spacing w:after="20"/>
      </w:pPr>
      <w:r>
        <w:rPr/>
        <w:t>Segera evakuasi korban ke udara bersih.</w:t>
      </w:r>
    </w:p>
    <w:p>
      <w:pPr>
        <w:pStyle w:val="ListBullet2"/>
        <w:spacing w:after="20"/>
      </w:pPr>
      <w:r>
        <w:rPr/>
        <w:t>Berikan oksigenasi lembap aliran tinggi. Pantau ketat tanda-tanda gagal napas akut dalam 24–72 jam pasca-pajanan (risiko tinggi pneumonitis kimiawi, bronkiolitis, dan ARDS).</w:t>
      </w:r>
    </w:p>
    <w:p>
      <w:pPr>
        <w:pStyle w:val="ListBullet2"/>
        <w:spacing w:after="20"/>
      </w:pPr>
      <w:r>
        <w:rPr/>
        <w:t>Bila terjadi ARDS, berikan ventilasi mekanik invasif dengan strategi proteksi paru (</w:t>
      </w:r>
      <w:r>
        <w:rPr>
          <w:i/>
        </w:rPr>
        <w:t>lung-protective ventilation</w:t>
      </w:r>
      <w:r>
        <w:rPr/>
        <w:t xml:space="preserve"> / PEEP adekuat). Bronkodilator aerosol dapat diberikan bila timbul bronkospasme berat.</w:t>
      </w:r>
    </w:p>
    <w:p>
      <w:pPr>
        <w:spacing w:after="40"/>
        <w:ind w:left="340" w:hanging="283"/>
      </w:pPr>
      <w:r>
        <w:rPr/>
        <w:t xml:space="preserve">2. </w:t>
      </w:r>
      <w:r>
        <w:rPr>
          <w:b/>
        </w:rPr>
        <w:t>Ingesti Garam Merkuri Anorganik (misalnya HgCl₂ / Sublimat Korosif):</w:t>
      </w:r>
    </w:p>
    <w:p>
      <w:pPr>
        <w:pStyle w:val="ListBullet2"/>
        <w:spacing w:after="20"/>
      </w:pPr>
      <w:r>
        <w:rPr>
          <w:i/>
        </w:rPr>
        <w:t>Peringatan:</w:t>
      </w:r>
      <w:r>
        <w:rPr/>
        <w:t xml:space="preserve"> Induksi muntah </w:t>
      </w:r>
      <w:r>
        <w:rPr>
          <w:b/>
        </w:rPr>
        <w:t>dikontraindikasikan mutlak</w:t>
      </w:r>
      <w:r>
        <w:rPr/>
        <w:t xml:space="preserve"> karena sifat garam merkuri yang sangat kaustik dan korosif terhadap esofagus.</w:t>
      </w:r>
    </w:p>
    <w:p>
      <w:pPr>
        <w:pStyle w:val="ListBullet2"/>
        <w:spacing w:after="20"/>
      </w:pPr>
      <w:r>
        <w:rPr>
          <w:i/>
        </w:rPr>
        <w:t>Bilas Lambung (*Gastric Lavage</w:t>
      </w:r>
      <w:r>
        <w:rPr/>
        <w:t>):* Hanya dapat dipertimbangkan dalam 1 jam pertama pasca-ingesti menggunakan pipa nasogastrik lentur berdiameter kecil dengan kehati-hatian tinggi terhadap risiko perforasi gaster.</w:t>
      </w:r>
    </w:p>
    <w:p>
      <w:pPr>
        <w:pStyle w:val="ListBullet2"/>
        <w:spacing w:after="20"/>
      </w:pPr>
      <w:r>
        <w:rPr>
          <w:i/>
        </w:rPr>
        <w:t>Resusitasi Cairan Intravena Agresif:</w:t>
      </w:r>
      <w:r>
        <w:rPr/>
        <w:t xml:space="preserve"> Wajib segera diguyur cairan kristaloid untuk mengatasi syok hipovolemik distributif akibat gastroenteritis hemoragik masif serta mempertahankan perfusi ginjal guna mencegah Nekrosis Tubular Akut (ATN).</w:t>
      </w:r>
    </w:p>
    <w:p>
      <w:pPr>
        <w:pStyle w:val="ListBullet2"/>
        <w:spacing w:after="20"/>
      </w:pPr>
      <w:r>
        <w:rPr>
          <w:i/>
        </w:rPr>
        <w:t>Hemodialisis:</w:t>
      </w:r>
      <w:r>
        <w:rPr/>
        <w:t xml:space="preserve"> Diindikasikan segera pada kasus gagal ginjal akut anurik untuk mengoreksi uremia dan asidosis metabolik, sekaligus membantu klirens kompleks merkuri-kelator yang larut air.</w:t>
      </w:r>
    </w:p>
    <w:p>
      <w:pPr>
        <w:spacing w:after="40"/>
        <w:ind w:left="340" w:hanging="283"/>
      </w:pPr>
      <w:r>
        <w:rPr/>
        <w:t xml:space="preserve">3. </w:t>
      </w:r>
      <w:r>
        <w:rPr>
          <w:b/>
        </w:rPr>
        <w:t>Kontaminasi Dermal dan Mata:</w:t>
      </w:r>
    </w:p>
    <w:p>
      <w:pPr>
        <w:pStyle w:val="ListBullet2"/>
        <w:spacing w:after="20"/>
      </w:pPr>
      <w:r>
        <w:rPr/>
        <w:t>Tanggalkan seluruh pakaian kerja yang terkontaminasi (masukkan ke dalam kantong tertutup rapat sebagai limbah B3).</w:t>
      </w:r>
    </w:p>
    <w:p>
      <w:pPr>
        <w:pStyle w:val="ListBullet2"/>
        <w:spacing w:after="20"/>
      </w:pPr>
      <w:r>
        <w:rPr/>
        <w:t>Bilas kulit dan mata dengan air mengalir atau salin fisiologis selama minimal 15–20 menit.</w:t>
      </w:r>
    </w:p>
    <w:p>
      <w:pPr>
        <w:pStyle w:val="Heading4"/>
      </w:pPr>
      <w:r>
        <w:t>b. Terapi Kelasi (Chelation Therapy)</w:t>
      </w:r>
    </w:p>
    <w:p>
      <w:pPr>
        <w:spacing w:after="80"/>
      </w:pPr>
      <w:r>
        <w:rPr/>
        <w:t>Pemberian zat pengelat bertujuan membentuk ikatan kelat cincin heterosiklik yang stabil dengan ion merkuri sehingga menurunkan toksisitas jaringan bebas dan mempercepat ekskresi merkuri melalui urin:</w:t>
      </w:r>
    </w:p>
    <w:p>
      <w:pPr>
        <w:spacing w:after="40"/>
        <w:ind w:left="340" w:hanging="283"/>
      </w:pPr>
      <w:r>
        <w:rPr/>
        <w:t xml:space="preserve">1. </w:t>
      </w:r>
      <w:r>
        <w:rPr>
          <w:b/>
        </w:rPr>
        <w:t xml:space="preserve">DMPS (2,3-dimerkapto-1-propanasulfonat / </w:t>
      </w:r>
      <w:r>
        <w:rPr>
          <w:b/>
          <w:i/>
        </w:rPr>
        <w:t>Unithiol</w:t>
      </w:r>
      <w:r>
        <w:rPr>
          <w:b/>
        </w:rPr>
        <w:t>):</w:t>
      </w:r>
    </w:p>
    <w:p>
      <w:pPr>
        <w:pStyle w:val="ListBullet2"/>
        <w:spacing w:after="20"/>
      </w:pPr>
      <w:r>
        <w:rPr>
          <w:i/>
        </w:rPr>
        <w:t>Karakteristik:</w:t>
      </w:r>
      <w:r>
        <w:rPr/>
        <w:t xml:space="preserve"> Analog BAL larut air (</w:t>
      </w:r>
      <w:r>
        <w:rPr>
          <w:i/>
        </w:rPr>
        <w:t>water-soluble</w:t>
      </w:r>
      <w:r>
        <w:rPr/>
        <w:t>), tersedia dalam sediaan oral maupun intravena (sangat berguna pada pasien kritis yang tidak sadar atau mengalami muntah-muntah hebat).</w:t>
      </w:r>
    </w:p>
    <w:p>
      <w:pPr>
        <w:pStyle w:val="ListBullet2"/>
        <w:spacing w:after="20"/>
      </w:pPr>
      <w:r>
        <w:rPr>
          <w:i/>
        </w:rPr>
        <w:t>Indikasi &amp; Efikasi:</w:t>
      </w:r>
      <w:r>
        <w:rPr/>
        <w:t xml:space="preserve"> Merupakan </w:t>
      </w:r>
      <w:r>
        <w:rPr>
          <w:b/>
        </w:rPr>
        <w:t>agen kelator pilihan lini pertama yang paling efektif untuk intoksikasi merkuri elemental dan garam anorganik</w:t>
      </w:r>
      <w:r>
        <w:rPr/>
        <w:t>. DMPS meningkatkan ekskresi merkuri urin hingga lebih dari 85% dan secara nyata memperbaiki gejala tremor, ataksia motorik, serta fungsi neurokognitif.</w:t>
      </w:r>
    </w:p>
    <w:p>
      <w:pPr>
        <w:pStyle w:val="ListBullet2"/>
        <w:spacing w:after="20"/>
      </w:pPr>
      <w:r>
        <w:rPr>
          <w:i/>
        </w:rPr>
        <w:t>Dosis Umum:</w:t>
      </w:r>
      <w:r>
        <w:rPr/>
        <w:t xml:space="preserve"> Fase akut 250–500 mg IV setiap 4–6 jam pada 24 jam pertama, dilanjutkan penurunan bertahap menjadi 100–250 mg oral 3–4 kali sehari selama 1–2 minggu.</w:t>
      </w:r>
    </w:p>
    <w:p>
      <w:pPr>
        <w:spacing w:after="40"/>
        <w:ind w:left="340" w:hanging="283"/>
      </w:pPr>
      <w:r>
        <w:rPr/>
        <w:t xml:space="preserve">2. </w:t>
      </w:r>
      <w:r>
        <w:rPr>
          <w:b/>
        </w:rPr>
        <w:t>DMSA (</w:t>
      </w:r>
      <w:r>
        <w:rPr>
          <w:b/>
          <w:i/>
        </w:rPr>
        <w:t>meso-2,3-dimercaptosuccinic acid</w:t>
      </w:r>
      <w:r>
        <w:rPr>
          <w:b/>
        </w:rPr>
        <w:t xml:space="preserve"> / </w:t>
      </w:r>
      <w:r>
        <w:rPr>
          <w:b/>
          <w:i/>
        </w:rPr>
        <w:t>Succimer</w:t>
      </w:r>
      <w:r>
        <w:rPr>
          <w:b/>
        </w:rPr>
        <w:t>):</w:t>
      </w:r>
    </w:p>
    <w:p>
      <w:pPr>
        <w:pStyle w:val="ListBullet2"/>
        <w:spacing w:after="20"/>
      </w:pPr>
      <w:r>
        <w:rPr>
          <w:i/>
        </w:rPr>
        <w:t>Karakteristik:</w:t>
      </w:r>
      <w:r>
        <w:rPr/>
        <w:t xml:space="preserve"> Analog BAL larut air yang diberikan secara </w:t>
      </w:r>
      <w:r>
        <w:rPr>
          <w:b/>
        </w:rPr>
        <w:t>per oral</w:t>
      </w:r>
      <w:r>
        <w:rPr/>
        <w:t xml:space="preserve"> dengan profil keamanan yang sangat baik dan efek samping minimal.</w:t>
      </w:r>
    </w:p>
    <w:p>
      <w:pPr>
        <w:pStyle w:val="ListBullet2"/>
        <w:spacing w:after="20"/>
      </w:pPr>
      <w:r>
        <w:rPr>
          <w:i/>
        </w:rPr>
        <w:t>Indikasi:</w:t>
      </w:r>
      <w:r>
        <w:rPr/>
        <w:t xml:space="preserve"> Pilihan utama pada intoksikasi merkuri derajat sedang hingga berat yang stabil dan dapat mentoleransi asupan oral. DMSA membentuk kompleks hidrofilik dengan merkuri dan diekskresikan melalui urin tanpa meredistribusi logam ke otak.</w:t>
      </w:r>
    </w:p>
    <w:p>
      <w:pPr>
        <w:pStyle w:val="ListBullet2"/>
        <w:spacing w:after="20"/>
      </w:pPr>
      <w:r>
        <w:rPr>
          <w:i/>
        </w:rPr>
        <w:t>Dosis Protokol:</w:t>
      </w:r>
      <w:r>
        <w:rPr/>
        <w:t xml:space="preserve"> 10 mg/kgBB (atau 350 mg/m²) per oral setiap 8 jam selama 5 hari pertama, dilanjutkan setiap 12 jam selama 14 hari berikutnya (total durasi 19 hari per siklus).</w:t>
      </w:r>
    </w:p>
    <w:p>
      <w:pPr>
        <w:spacing w:after="40"/>
        <w:ind w:left="340" w:hanging="283"/>
      </w:pPr>
      <w:r>
        <w:rPr/>
        <w:t xml:space="preserve">3. </w:t>
      </w:r>
      <w:r>
        <w:rPr>
          <w:b/>
        </w:rPr>
        <w:t>BAL (</w:t>
      </w:r>
      <w:r>
        <w:rPr>
          <w:b/>
          <w:i/>
        </w:rPr>
        <w:t>British Anti-Lewisite</w:t>
      </w:r>
      <w:r>
        <w:rPr>
          <w:b/>
        </w:rPr>
        <w:t xml:space="preserve"> / Dimerkaprol):</w:t>
      </w:r>
    </w:p>
    <w:p>
      <w:pPr>
        <w:pStyle w:val="ListBullet2"/>
        <w:spacing w:after="20"/>
      </w:pPr>
      <w:r>
        <w:rPr>
          <w:i/>
        </w:rPr>
        <w:t>Karakteristik:</w:t>
      </w:r>
      <w:r>
        <w:rPr/>
        <w:t xml:space="preserve"> Senyawa ditiol klasik (2,3-dimerkaptopropanol) yang dilarutkan dalam minyak kacang (</w:t>
      </w:r>
      <w:r>
        <w:rPr>
          <w:i/>
        </w:rPr>
        <w:t>peanut oil</w:t>
      </w:r>
      <w:r>
        <w:rPr/>
        <w:t xml:space="preserve">) dan diberikan melalui </w:t>
      </w:r>
      <w:r>
        <w:rPr>
          <w:b/>
        </w:rPr>
        <w:t>injeksi intramuskular (IM) dalam</w:t>
      </w:r>
      <w:r>
        <w:rPr/>
        <w:t>. Memiliki indeks terapeutik sempit dengan toksisitas inheren tinggi (hipertensi, takikardia, mual, sakit kepala).</w:t>
      </w:r>
    </w:p>
    <w:p>
      <w:pPr>
        <w:pStyle w:val="ListBullet2"/>
        <w:spacing w:after="20"/>
      </w:pPr>
      <w:r>
        <w:rPr>
          <w:i/>
        </w:rPr>
        <w:t>Penggunaan Terbatas:</w:t>
      </w:r>
      <w:r>
        <w:rPr/>
        <w:t xml:space="preserve"> Hanya digunakan sebagai terapi penyelamat (</w:t>
      </w:r>
      <w:r>
        <w:rPr>
          <w:i/>
        </w:rPr>
        <w:t>rescue therapy</w:t>
      </w:r>
      <w:r>
        <w:rPr/>
        <w:t xml:space="preserve">) darurat pada kasus </w:t>
      </w:r>
      <w:r>
        <w:rPr>
          <w:b/>
        </w:rPr>
        <w:t>ingesti akut garam merkuri anorganik berat</w:t>
      </w:r>
      <w:r>
        <w:rPr/>
        <w:t xml:space="preserve"> dengan gagal ginjal, dan HANYA JIKA DMSA atau DMPS tidak tersedia.</w:t>
      </w:r>
    </w:p>
    <w:p>
      <w:pPr>
        <w:pStyle w:val="Heading4"/>
      </w:pPr>
      <w:r>
        <w:t>c. KONTRAINDIKASI MUTLAK: Larangan Penggunaan BAL pada Uap Merkuri Elemental dan Metilmerkuri!</w:t>
      </w:r>
    </w:p>
    <w:p>
      <w:pPr>
        <w:ind w:left="454"/>
      </w:pPr>
      <w:r>
        <w:rPr>
          <w:b/>
          <w:i/>
        </w:rPr>
        <w:t>Peringatan Kritis Dewan Penguji (</w:t>
      </w:r>
      <w:r>
        <w:rPr>
          <w:b/>
          <w:i/>
        </w:rPr>
        <w:t>Lethal Board Trap</w:t>
      </w:r>
      <w:r>
        <w:rPr>
          <w:b/>
          <w:i/>
        </w:rPr>
        <w:t>):</w:t>
      </w:r>
    </w:p>
    <w:p>
      <w:pPr>
        <w:ind w:left="454"/>
      </w:pPr>
      <w:r>
        <w:rPr>
          <w:b/>
          <w:i/>
        </w:rPr>
        <w:t>DIMERKAPROL (BAL) DIKONTRAINDIKASIKAN SECARA MUTLAK pada keracunan uap Merkuri Elemental (Hg⁰) dan keracunan Merkuri Organik (Metilmerkuri / MeHg)!</w:t>
      </w:r>
    </w:p>
    <w:p>
      <w:pPr>
        <w:pStyle w:val="ListBullet"/>
        <w:spacing w:after="20"/>
      </w:pPr>
      <w:r>
        <w:rPr>
          <w:b/>
        </w:rPr>
        <w:t>Rasional Mekanistik Molekuler:</w:t>
      </w:r>
    </w:p>
    <w:p>
      <w:pPr>
        <w:spacing w:after="40"/>
        <w:ind w:left="680" w:hanging="283"/>
      </w:pPr>
      <w:r>
        <w:rPr/>
        <w:t xml:space="preserve">1. Molekul BAL bersifat </w:t>
      </w:r>
      <w:r>
        <w:rPr>
          <w:b/>
        </w:rPr>
        <w:t>sangat lipofilik (</w:t>
      </w:r>
      <w:r>
        <w:rPr>
          <w:b/>
          <w:i/>
        </w:rPr>
        <w:t>lipid-soluble</w:t>
      </w:r>
      <w:r>
        <w:rPr>
          <w:b/>
        </w:rPr>
        <w:t>)</w:t>
      </w:r>
      <w:r>
        <w:rPr/>
        <w:t>.</w:t>
      </w:r>
    </w:p>
    <w:p>
      <w:pPr>
        <w:spacing w:after="40"/>
        <w:ind w:left="680" w:hanging="283"/>
      </w:pPr>
      <w:r>
        <w:rPr/>
        <w:t xml:space="preserve">2. Ketika BAL berikatan dengan ion merkuri yang ada di sirkulasi darah atau kompartemen vaskular perifer, terbentuk kompleks kelat </w:t>
      </w:r>
      <w:r>
        <w:rPr>
          <w:b/>
        </w:rPr>
        <w:t>BAL-Merkuri yang bersifat sangat netral dan lipofilik</w:t>
      </w:r>
      <w:r>
        <w:rPr/>
        <w:t>.</w:t>
      </w:r>
    </w:p>
    <w:p>
      <w:pPr>
        <w:spacing w:after="40"/>
        <w:ind w:left="680" w:hanging="283"/>
      </w:pPr>
      <w:r>
        <w:rPr/>
        <w:t xml:space="preserve">3. Berbeda dengan kompleks DMSA/DMPS yang hidrofilik dan tertahan di luar otak, kompleks lipofilik BAL-Merkuri ini </w:t>
      </w:r>
      <w:r>
        <w:rPr>
          <w:b/>
        </w:rPr>
        <w:t>dapat menembus Sawar Darah Otak (</w:t>
      </w:r>
      <w:r>
        <w:rPr>
          <w:b/>
          <w:i/>
        </w:rPr>
        <w:t>Blood-Brain Barrier</w:t>
      </w:r>
      <w:r>
        <w:rPr>
          <w:b/>
        </w:rPr>
        <w:t xml:space="preserve"> / BBB) dengan sangat leluasa</w:t>
      </w:r>
      <w:r>
        <w:rPr/>
        <w:t>.</w:t>
      </w:r>
    </w:p>
    <w:p>
      <w:pPr>
        <w:spacing w:after="40"/>
        <w:ind w:left="680" w:hanging="283"/>
      </w:pPr>
      <w:r>
        <w:rPr/>
        <w:t xml:space="preserve">4. Akibatnya, pemberian BAL memicu fenomena </w:t>
      </w:r>
      <w:r>
        <w:rPr>
          <w:b/>
        </w:rPr>
        <w:t>redistribusi merkuri sistemik masuk secara masif ke dalam parenkim otak dan susunan saraf pusat (SSP)</w:t>
      </w:r>
      <w:r>
        <w:rPr/>
        <w:t>.</w:t>
      </w:r>
    </w:p>
    <w:p>
      <w:pPr>
        <w:spacing w:after="40"/>
        <w:ind w:left="680" w:hanging="283"/>
      </w:pPr>
      <w:r>
        <w:rPr/>
        <w:t>5. Merkuri yang terdistribusi ke otak kemudian terperangkap permanen, memperparah nekrosis neuron serebelum, memicu ensefalopati fatal, memperburuk ataksia, dan mempercepat kematian pasien.</w:t>
      </w:r>
    </w:p>
    <w:p>
      <w:pPr>
        <w:pStyle w:val="ListBullet"/>
        <w:spacing w:after="20"/>
      </w:pPr>
      <w:r>
        <w:rPr>
          <w:i/>
        </w:rPr>
        <w:t>Aturan Baku Ujian:</w:t>
      </w:r>
      <w:r>
        <w:rPr/>
        <w:t xml:space="preserve"> Pada intoksikasi uap elemental Hg⁰ dan metilmerkuri, gunakan </w:t>
      </w:r>
      <w:r>
        <w:rPr>
          <w:b/>
        </w:rPr>
        <w:t>hanya DMSA atau DMPS</w:t>
      </w:r>
      <w:r>
        <w:rPr/>
        <w:t>. Jika kedua obat tersebut tidak tersedia, terapi suportif dan penarikan pajanan jauh lebih aman daripada memberikan BAL.</w:t>
      </w:r>
    </w:p>
    <w:p>
      <w:pPr>
        <w:pStyle w:val="Heading3"/>
      </w:pPr>
      <w:r>
        <w:t>4. Tatalaksana Okupasi: Individu dan Komunitas</w:t>
      </w:r>
    </w:p>
    <w:p>
      <w:pPr>
        <w:spacing w:after="80"/>
      </w:pPr>
      <w:r>
        <w:rPr/>
        <w:t>Sebagai dokter spesialis, pendekatan Anda harus mencakup penegakan diagnosis kausalitas, evaluasi kelaikan kerja, dan proteksi lingkungan kerja industri:</w:t>
      </w:r>
    </w:p>
    <w:p>
      <w:pPr>
        <w:spacing w:after="120"/>
        <w:ind w:left="170"/>
      </w:pPr>
      <w:r>
        <w:rPr>
          <w:rFonts w:ascii="Consolas" w:hAnsi="Consolas" w:eastAsia="Consolas"/>
          <w:sz w:val="13"/>
        </w:rPr>
        <w:t xml:space="preserve">                      [ PENEGAKAN DIAGNOSIS DAN MANAJEMEN OKUPASI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[ 7 LANGKAH PERMENKES 11/2022 ]      [ KELAIKAN KERJA (FITNESS) ]        [ HIERARKI KONTROL INDUSTRI ]</w:t>
      </w:r>
      <w:r>
        <w:br/>
      </w:r>
      <w:r>
        <w:rPr>
          <w:rFonts w:ascii="Consolas" w:hAnsi="Consolas" w:eastAsia="Consolas"/>
          <w:sz w:val="13"/>
        </w:rPr>
        <w:t>1. Diagnosis Klinis (ICD-10)         • Fit: U-Hg &lt; 20, asimtomatik       • Eliminasi: Proses amalgam</w:t>
      </w:r>
      <w:r>
        <w:br/>
      </w:r>
      <w:r>
        <w:rPr>
          <w:rFonts w:ascii="Consolas" w:hAnsi="Consolas" w:eastAsia="Consolas"/>
          <w:sz w:val="13"/>
        </w:rPr>
        <w:t>2. Identifikasi Pajanan Lapangan     • Fit with Restriction: Kontrol     • Substitusi: Resin komposit,</w:t>
      </w:r>
      <w:r>
        <w:br/>
      </w:r>
      <w:r>
        <w:rPr>
          <w:rFonts w:ascii="Consolas" w:hAnsi="Consolas" w:eastAsia="Consolas"/>
          <w:sz w:val="13"/>
        </w:rPr>
        <w:t>3. Hubungan Kausal Toksikologi         ringan, dilarang area uap Hg        sel membran non-Hg</w:t>
      </w:r>
      <w:r>
        <w:br/>
      </w:r>
      <w:r>
        <w:rPr>
          <w:rFonts w:ascii="Consolas" w:hAnsi="Consolas" w:eastAsia="Consolas"/>
          <w:sz w:val="13"/>
        </w:rPr>
        <w:t>4. Besaran Dosis (NAB &amp; BEI)         • Temporary Unfit: Sakit aktif,     • LEV Scrubber Karbon Aktif</w:t>
      </w:r>
      <w:r>
        <w:br/>
      </w:r>
      <w:r>
        <w:rPr>
          <w:rFonts w:ascii="Consolas" w:hAnsi="Consolas" w:eastAsia="Consolas"/>
          <w:sz w:val="13"/>
        </w:rPr>
        <w:t>5. Faktor Host / Individu              U-Hg &gt; 50–100, kelasi berjalan    • Medical Removal Protection</w:t>
      </w:r>
      <w:r>
        <w:br/>
      </w:r>
      <w:r>
        <w:rPr>
          <w:rFonts w:ascii="Consolas" w:hAnsi="Consolas" w:eastAsia="Consolas"/>
          <w:sz w:val="13"/>
        </w:rPr>
        <w:t>6. Pajanan Luar (Ikan/Kosmetik)      • Unfit (Permanent): Ataksia        • Respirator uap merkuri</w:t>
      </w:r>
      <w:r>
        <w:br/>
      </w:r>
      <w:r>
        <w:rPr>
          <w:rFonts w:ascii="Consolas" w:hAnsi="Consolas" w:eastAsia="Consolas"/>
          <w:sz w:val="13"/>
        </w:rPr>
        <w:t>7. KESIMPULAN DIAGNOSIS PAK            permanen, gagal ginjal kronis</w:t>
      </w:r>
    </w:p>
    <w:p>
      <w:pPr>
        <w:pStyle w:val="Heading4"/>
      </w:pPr>
      <w:r>
        <w:t>a. Penerapan 7 Langkah Diagnosis PAK (Permenkes No. 11 Tahun 2022)</w:t>
      </w:r>
    </w:p>
    <w:p>
      <w:pPr>
        <w:spacing w:after="80"/>
      </w:pPr>
      <w:r>
        <w:rPr/>
        <w:t>Kasus: Seorang teknisi peleburan emas PESK atau pekerja pabrik klor-alkali yang datang dengan keluhan tremor tangan dan perubahan kepribadian:</w:t>
      </w:r>
    </w:p>
    <w:p>
      <w:pPr>
        <w:spacing w:after="40"/>
        <w:ind w:left="340" w:hanging="283"/>
      </w:pPr>
      <w:r>
        <w:rPr/>
        <w:t xml:space="preserve">1. </w:t>
      </w:r>
      <w:r>
        <w:rPr>
          <w:b/>
        </w:rPr>
        <w:t>Langkah 1 (Diagnosis Klinis):</w:t>
      </w:r>
    </w:p>
    <w:p>
      <w:pPr>
        <w:spacing w:after="80"/>
      </w:pPr>
      <w:r>
        <w:rPr>
          <w:i/>
        </w:rPr>
        <w:t>Encephalopathy toxic due to mercury / Mercurial tremor</w:t>
      </w:r>
      <w:r>
        <w:rPr/>
        <w:t xml:space="preserve"> (ICD-10: T56.1), stomatitis ulseratif, dan/atau nefropati toksik proteinuria.</w:t>
      </w:r>
    </w:p>
    <w:p>
      <w:pPr>
        <w:spacing w:after="40"/>
        <w:ind w:left="340" w:hanging="283"/>
      </w:pPr>
      <w:r>
        <w:rPr/>
        <w:t xml:space="preserve">2. </w:t>
      </w:r>
      <w:r>
        <w:rPr>
          <w:b/>
        </w:rPr>
        <w:t>Langkah 2 (Pajanan di Tempat Kerja):</w:t>
      </w:r>
    </w:p>
    <w:p>
      <w:pPr>
        <w:spacing w:after="80"/>
      </w:pPr>
      <w:r>
        <w:rPr/>
        <w:t xml:space="preserve">Pekerja membakar amalgam emas menggunakan </w:t>
      </w:r>
      <w:r>
        <w:rPr>
          <w:i/>
        </w:rPr>
        <w:t>blowtorch</w:t>
      </w:r>
      <w:r>
        <w:rPr/>
        <w:t xml:space="preserve"> di ruang tertutup tanpa sungkup hisap, terpajan uap merkuri elemental (Hg⁰) secara inhalasi kronis.</w:t>
      </w:r>
    </w:p>
    <w:p>
      <w:pPr>
        <w:spacing w:after="40"/>
        <w:ind w:left="340" w:hanging="283"/>
      </w:pPr>
      <w:r>
        <w:rPr/>
        <w:t xml:space="preserve">3. </w:t>
      </w:r>
      <w:r>
        <w:rPr>
          <w:b/>
        </w:rPr>
        <w:t>Langkah 3 (Hubungan Kausalitas Pajanan dan Klinis):</w:t>
      </w:r>
    </w:p>
    <w:p>
      <w:pPr>
        <w:spacing w:after="80"/>
      </w:pPr>
      <w:r>
        <w:rPr/>
        <w:t>Secara biologis terbukti bahwa uap Hg⁰ menembus BBB, dioksidasi oleh katalase intraseluler menjadi Hg²⁺, dan menghambat enzim tiol pada serebelum dan ganglia basalis memicu tremor intensional dan eretisme.</w:t>
      </w:r>
    </w:p>
    <w:p>
      <w:pPr>
        <w:spacing w:after="40"/>
        <w:ind w:left="340" w:hanging="283"/>
      </w:pPr>
      <w:r>
        <w:rPr/>
        <w:t xml:space="preserve">4. </w:t>
      </w:r>
      <w:r>
        <w:rPr>
          <w:b/>
        </w:rPr>
        <w:t>Langkah 4 (Besarnya Dosis Pajanan):</w:t>
      </w:r>
    </w:p>
    <w:p>
      <w:pPr>
        <w:spacing w:after="80"/>
      </w:pPr>
      <w:r>
        <w:rPr/>
        <w:t>Konsentrasi uap merkuri di tempat kerja melampaui NAB Permenaker 5/2018 (&gt; 0,025 mg/m³); biomonitoring menunjukkan kadar merkuri urin (U-Hg) melampaui IPB (&gt; 20 µg/g kreatinin, misalnya mencapai 140 µg/g kreatinin); masa kerja &gt; 3 tahun; pekerja tidak menggunakan respirator spesifik uap merkuri.</w:t>
      </w:r>
    </w:p>
    <w:p>
      <w:pPr>
        <w:spacing w:after="40"/>
        <w:ind w:left="340" w:hanging="283"/>
      </w:pPr>
      <w:r>
        <w:rPr/>
        <w:t xml:space="preserve">5. </w:t>
      </w:r>
      <w:r>
        <w:rPr>
          <w:b/>
        </w:rPr>
        <w:t>Langkah 5 (Faktor Kerentanan Individu):</w:t>
      </w:r>
    </w:p>
    <w:p>
      <w:pPr>
        <w:spacing w:after="80"/>
      </w:pPr>
      <w:r>
        <w:rPr/>
        <w:t>Mengevaluasi riwayat komorbiditas ginjal bawaan, defisiensi glutation, kebiasaan merokok di area kerja yang memperparah kontaminasi tangan-ke-mulut.</w:t>
      </w:r>
    </w:p>
    <w:p>
      <w:pPr>
        <w:spacing w:after="40"/>
        <w:ind w:left="340" w:hanging="283"/>
      </w:pPr>
      <w:r>
        <w:rPr/>
        <w:t xml:space="preserve">6. </w:t>
      </w:r>
      <w:r>
        <w:rPr>
          <w:b/>
        </w:rPr>
        <w:t>Langkah 6 (Faktor di Luar Tempat Kerja):</w:t>
      </w:r>
    </w:p>
    <w:p>
      <w:pPr>
        <w:spacing w:after="80"/>
      </w:pPr>
      <w:r>
        <w:rPr/>
        <w:t>Menyingkirkan konsumsi harian ikan laut predator besar (metilmerkuri) dan menyingkirkan penggunaan krim pemutih wajah berbahan merkuri di rumah melalui wawancara mendalam.</w:t>
      </w:r>
    </w:p>
    <w:p>
      <w:pPr>
        <w:spacing w:after="40"/>
        <w:ind w:left="340" w:hanging="283"/>
      </w:pPr>
      <w:r>
        <w:rPr/>
        <w:t xml:space="preserve">7. </w:t>
      </w:r>
      <w:r>
        <w:rPr>
          <w:b/>
        </w:rPr>
        <w:t>Langkah 7 (Kesimpulan Diagnosis Okupasi):</w:t>
      </w:r>
    </w:p>
    <w:p>
      <w:pPr>
        <w:spacing w:after="80"/>
      </w:pPr>
      <w:r>
        <w:rPr/>
        <w:t xml:space="preserve">Ditetapkan secara sah sebagai </w:t>
      </w:r>
      <w:r>
        <w:rPr>
          <w:b/>
        </w:rPr>
        <w:t>Penyakit Akibat Kerja (PAK)</w:t>
      </w:r>
      <w:r>
        <w:rPr/>
        <w:t xml:space="preserve"> berdasarkan Perpres No. 7 Tahun 2019 Lampiran I.a Butir 7 ("Penyakit yang disebabkan oleh raksa atau persenyawaannya"). Berhak menerima manfaat Jaminan Kecelakaan Kerja (JKK).</w:t>
      </w:r>
    </w:p>
    <w:p>
      <w:pPr>
        <w:pStyle w:val="Heading4"/>
      </w:pPr>
      <w:r>
        <w:t>b. Penilaian Kelaikan Kerja (Fitness for Work)</w:t>
      </w:r>
    </w:p>
    <w:p>
      <w:pPr>
        <w:pStyle w:val="ListBullet"/>
        <w:spacing w:after="20"/>
      </w:pPr>
      <w:r>
        <w:rPr>
          <w:b/>
        </w:rPr>
        <w:t>Fit (Laik Kerja Penuh):</w:t>
      </w:r>
      <w:r>
        <w:rPr/>
        <w:t xml:space="preserve"> Pekerja sehat tanpa keluhan neurologis/renal, hasil U-Hg &lt; 20 µg/g kreatinin, dan pengendalian teknis di tempat kerja berfungsi optimal.</w:t>
      </w:r>
    </w:p>
    <w:p>
      <w:pPr>
        <w:pStyle w:val="ListBullet"/>
        <w:spacing w:after="20"/>
      </w:pPr>
      <w:r>
        <w:rPr>
          <w:b/>
        </w:rPr>
        <w:t>Fit with Restriction (Laik dengan Pembatasan):</w:t>
      </w:r>
      <w:r>
        <w:rPr/>
        <w:t xml:space="preserve"> Pekerja dengan U-Hg borderline (20–50 µg/g kreatinin) tanpa gejala defisit neurologis; </w:t>
      </w:r>
      <w:r>
        <w:rPr>
          <w:b/>
        </w:rPr>
        <w:t>dilarang bekerja di area bersuhu panas atau area dengan kontak uap merkuri langsung</w:t>
      </w:r>
      <w:r>
        <w:rPr/>
        <w:t>; dialihkan sementara ke tugas administratif/logistik bebas uap Hg hingga kadar urin turun.</w:t>
      </w:r>
    </w:p>
    <w:p>
      <w:pPr>
        <w:pStyle w:val="ListBullet"/>
        <w:spacing w:after="20"/>
      </w:pPr>
      <w:r>
        <w:rPr>
          <w:b/>
        </w:rPr>
        <w:t>Temporary Unfit (Tidak Laik Sementara):</w:t>
      </w:r>
    </w:p>
    <w:p>
      <w:pPr>
        <w:spacing w:after="80"/>
      </w:pPr>
      <w:r>
        <w:rPr/>
        <w:t xml:space="preserve">Pekerja dengan </w:t>
      </w:r>
      <w:r>
        <w:rPr>
          <w:b/>
        </w:rPr>
        <w:t>U-Hg &gt; 50–100 µg/g kreatinin</w:t>
      </w:r>
      <w:r>
        <w:rPr/>
        <w:t>, ATAU pekerja yang memperlihatkan tanda klinis aktif (tremor, eretisme, stomatitis, proteinuria).</w:t>
      </w:r>
    </w:p>
    <w:p>
      <w:pPr>
        <w:spacing w:after="80"/>
      </w:pPr>
      <w:r>
        <w:rPr>
          <w:i/>
        </w:rPr>
        <w:t>Tindakan Medis:</w:t>
      </w:r>
      <w:r>
        <w:rPr/>
        <w:t xml:space="preserve"> </w:t>
      </w:r>
      <w:r>
        <w:rPr>
          <w:b/>
        </w:rPr>
        <w:t>Wajib ditarik dari pajanan kerja (</w:t>
      </w:r>
      <w:r>
        <w:rPr>
          <w:b/>
          <w:i/>
        </w:rPr>
        <w:t>Medical Removal Protection</w:t>
      </w:r>
      <w:r>
        <w:rPr>
          <w:b/>
        </w:rPr>
        <w:t>)</w:t>
      </w:r>
      <w:r>
        <w:rPr/>
        <w:t>, dirawat di faskes rujukan untuk terapi kelasi DMSA/DMPS, dan dievaluasi berkala hingga biomarker urin normal dan gejala klinis membaik.</w:t>
      </w:r>
    </w:p>
    <w:p>
      <w:pPr>
        <w:pStyle w:val="ListBullet"/>
        <w:spacing w:after="20"/>
      </w:pPr>
      <w:r>
        <w:rPr>
          <w:b/>
        </w:rPr>
        <w:t>Unfit (Tidak Laik Permanen):</w:t>
      </w:r>
      <w:r>
        <w:rPr/>
        <w:t xml:space="preserve"> Pekerja yang mengalami kecacatan neurologis permanen (ataksia serebelar ireversibel, demensia/defisit kognitif parah) atau penyakit ginjal stadium akhir sekunder akibat nefropati merkuri. Direkomendasikan untuk pemutusan pajanan tetap dan program kompensasi kecacatan JKK.</w:t>
      </w:r>
    </w:p>
    <w:p>
      <w:pPr>
        <w:pStyle w:val="Heading4"/>
      </w:pPr>
      <w:r>
        <w:t>c. Rekomendasi Manajemen dan Proteksi Komunitas</w:t>
      </w:r>
    </w:p>
    <w:p>
      <w:pPr>
        <w:spacing w:after="40"/>
        <w:ind w:left="340" w:hanging="283"/>
      </w:pPr>
      <w:r>
        <w:rPr/>
        <w:t xml:space="preserve">1. </w:t>
      </w:r>
      <w:r>
        <w:rPr>
          <w:b/>
        </w:rPr>
        <w:t>Hierarki Pengendalian Bahaya Kimiawi (Permenaker 5/2018 &amp; Kepmenaker 187/1999):</w:t>
      </w:r>
    </w:p>
    <w:p>
      <w:pPr>
        <w:pStyle w:val="ListBullet2"/>
        <w:spacing w:after="20"/>
      </w:pPr>
      <w:r>
        <w:rPr>
          <w:i/>
        </w:rPr>
        <w:t>Eliminasi:</w:t>
      </w:r>
      <w:r>
        <w:rPr/>
        <w:t xml:space="preserve"> Menghentikan penggunaan merkuri cair pada proses ekstraksi bijih emas, menggantikannya dengan teknologi sianidasi atau pemisahan gravitasi non-merkuri; menghapus termometer air raksa di lingkungan fasyankes.</w:t>
      </w:r>
    </w:p>
    <w:p>
      <w:pPr>
        <w:pStyle w:val="ListBullet2"/>
        <w:spacing w:after="20"/>
      </w:pPr>
      <w:r>
        <w:rPr>
          <w:i/>
        </w:rPr>
        <w:t>Substitusi:</w:t>
      </w:r>
      <w:r>
        <w:rPr/>
        <w:t xml:space="preserve"> Mengganti sel merkuri klor-alkali dengan teknologi </w:t>
      </w:r>
      <w:r>
        <w:rPr>
          <w:b/>
        </w:rPr>
        <w:t>sel membran (</w:t>
      </w:r>
      <w:r>
        <w:rPr>
          <w:b/>
          <w:i/>
        </w:rPr>
        <w:t>membrane cell technology</w:t>
      </w:r>
      <w:r>
        <w:rPr>
          <w:b/>
        </w:rPr>
        <w:t>)</w:t>
      </w:r>
      <w:r>
        <w:rPr/>
        <w:t xml:space="preserve"> yang ramah lingkungan. Mengganti tambalan amalgam gigi dengan resin komposit.</w:t>
      </w:r>
    </w:p>
    <w:p>
      <w:pPr>
        <w:pStyle w:val="ListBullet2"/>
        <w:spacing w:after="20"/>
      </w:pPr>
      <w:r>
        <w:rPr>
          <w:i/>
        </w:rPr>
        <w:t>Rekayasa Teknis (*Engineering Controls</w:t>
      </w:r>
      <w:r>
        <w:rPr/>
        <w:t>):* Penutupan sistem proses (</w:t>
      </w:r>
      <w:r>
        <w:rPr>
          <w:i/>
        </w:rPr>
        <w:t>enclosed automated systems</w:t>
      </w:r>
      <w:r>
        <w:rPr/>
        <w:t>); pemasangan ventilasi pembuangan lokal (</w:t>
      </w:r>
      <w:r>
        <w:rPr>
          <w:i/>
        </w:rPr>
        <w:t>Local Exhaust Ventilation</w:t>
      </w:r>
      <w:r>
        <w:rPr/>
        <w:t xml:space="preserve"> / LEV) yang dilengkapi </w:t>
      </w:r>
      <w:r>
        <w:rPr>
          <w:b/>
        </w:rPr>
        <w:t>filter adsorpsi karbon aktif terimpregnasi iodin atau belerang</w:t>
      </w:r>
      <w:r>
        <w:rPr/>
        <w:t xml:space="preserve"> untuk menangkap uap merkuri bebas sebelum dilepas ke atmosfer. Pengendalian suhu ruangan (suhu dingin menurunkan penguapan merkuri cair).</w:t>
      </w:r>
    </w:p>
    <w:p>
      <w:pPr>
        <w:pStyle w:val="ListBullet2"/>
        <w:spacing w:after="20"/>
      </w:pPr>
      <w:r>
        <w:rPr>
          <w:i/>
        </w:rPr>
        <w:t>Pengendalian Administratif:</w:t>
      </w:r>
      <w:r>
        <w:rPr/>
        <w:t xml:space="preserve"> Pelatihan prosedur tumpahan (</w:t>
      </w:r>
      <w:r>
        <w:rPr>
          <w:i/>
        </w:rPr>
        <w:t>mercury spill kit</w:t>
      </w:r>
      <w:r>
        <w:rPr/>
        <w:t xml:space="preserve"> dengan serbuk belerang / sulfur amalgamasi), larangan makan/minum/merokok di area kerja, pembersihan lantai kedap celah tanpa celah nat semen, dan rotasi shift kerja.</w:t>
      </w:r>
    </w:p>
    <w:p>
      <w:pPr>
        <w:pStyle w:val="ListBullet2"/>
        <w:spacing w:after="20"/>
      </w:pPr>
      <w:r>
        <w:rPr>
          <w:i/>
        </w:rPr>
        <w:t>Alat Pelindung Diri (APD):</w:t>
      </w:r>
      <w:r>
        <w:rPr/>
        <w:t xml:space="preserve"> Respirator pemurni udara (</w:t>
      </w:r>
      <w:r>
        <w:rPr>
          <w:i/>
        </w:rPr>
        <w:t>air-purifying respirator</w:t>
      </w:r>
      <w:r>
        <w:rPr/>
        <w:t xml:space="preserve">) dengan </w:t>
      </w:r>
      <w:r>
        <w:rPr>
          <w:b/>
        </w:rPr>
        <w:t>katrid khusus uap merkuri (</w:t>
      </w:r>
      <w:r>
        <w:rPr>
          <w:b/>
          <w:i/>
        </w:rPr>
        <w:t>mercury vapor cartridges</w:t>
      </w:r>
      <w:r>
        <w:rPr>
          <w:b/>
        </w:rPr>
        <w:t>) yang dilengkapi indikator masa pakai</w:t>
      </w:r>
      <w:r>
        <w:rPr/>
        <w:t>, sarung tangan karet nitril atau butil, dan pakaian kerja pelindung sekali pakai.</w:t>
      </w:r>
    </w:p>
    <w:p>
      <w:pPr>
        <w:spacing w:after="40"/>
        <w:ind w:left="340" w:hanging="283"/>
      </w:pPr>
      <w:r>
        <w:rPr/>
        <w:t xml:space="preserve">2. </w:t>
      </w:r>
      <w:r>
        <w:rPr>
          <w:b/>
        </w:rPr>
        <w:t>Surveilans Kesehatan Berkala:</w:t>
      </w:r>
    </w:p>
    <w:p>
      <w:pPr>
        <w:pStyle w:val="ListBullet2"/>
        <w:spacing w:after="20"/>
      </w:pPr>
      <w:r>
        <w:rPr/>
        <w:t>Pemeriksaan pra-kerja (</w:t>
      </w:r>
      <w:r>
        <w:rPr>
          <w:i/>
        </w:rPr>
        <w:t>pre-placement</w:t>
      </w:r>
      <w:r>
        <w:rPr/>
        <w:t>): Penilaian fungsi neurologis dasar, tes koordinasi motorik halus, status neurobehavioral, dan urinalisis rutin.</w:t>
      </w:r>
    </w:p>
    <w:p>
      <w:pPr>
        <w:pStyle w:val="ListBullet2"/>
        <w:spacing w:after="20"/>
      </w:pPr>
      <w:r>
        <w:rPr/>
        <w:t>Pemeriksaan berkala (</w:t>
      </w:r>
      <w:r>
        <w:rPr>
          <w:i/>
        </w:rPr>
        <w:t>periodic medical examination</w:t>
      </w:r>
      <w:r>
        <w:rPr/>
        <w:t xml:space="preserve">, minimal 1 tahun sekali): Uji tremor objektif (tes tulisan tangan Archimedes spiral), pemeriksaan rongga mulut/gingiva, penentuan proteinuria tubular (NAG, albumin), dan </w:t>
      </w:r>
      <w:r>
        <w:rPr>
          <w:b/>
        </w:rPr>
        <w:t>pemeriksaan kadar merkuri urin (U-Hg) *prior to shift</w:t>
      </w:r>
      <w:r>
        <w:rPr/>
        <w:t>*.</w:t>
      </w:r>
    </w:p>
    <w:p>
      <w:pPr>
        <w:pStyle w:val="Heading3"/>
      </w:pPr>
      <w:r>
        <w:t>5. Keterangan Lain: Karsinogenisitas IARC dan Konvensi Minamata</w:t>
      </w:r>
    </w:p>
    <w:p>
      <w:pPr>
        <w:pStyle w:val="Heading4"/>
      </w:pPr>
      <w:r>
        <w:t>a. Klasifikasi Karsinogenisitas IARC</w:t>
      </w:r>
    </w:p>
    <w:p>
      <w:pPr>
        <w:spacing w:after="80"/>
      </w:pPr>
      <w:r>
        <w:rPr/>
        <w:t>Berdasarkan evaluasi IARC Monograph Volume 58 dan ditegaskan dalam pembaruan Volume 100C:</w:t>
      </w:r>
    </w:p>
    <w:p>
      <w:pPr>
        <w:pStyle w:val="ListBullet"/>
        <w:spacing w:after="20"/>
      </w:pPr>
      <w:r>
        <w:rPr>
          <w:b/>
        </w:rPr>
        <w:t>Merkuri Elemental dan Senyawa Merkuri Anorganik:</w:t>
      </w:r>
    </w:p>
    <w:p>
      <w:pPr>
        <w:pStyle w:val="ListBullet2"/>
        <w:spacing w:after="20"/>
      </w:pPr>
      <w:r>
        <w:rPr>
          <w:b/>
        </w:rPr>
        <w:t>IARC Grup 3 (</w:t>
      </w:r>
      <w:r>
        <w:rPr>
          <w:b/>
          <w:i/>
        </w:rPr>
        <w:t>Not classifiable as to its carcinogenicity to humans</w:t>
      </w:r>
      <w:r>
        <w:rPr>
          <w:b/>
        </w:rPr>
        <w:t>)</w:t>
      </w:r>
      <w:r>
        <w:rPr/>
        <w:t>.</w:t>
      </w:r>
    </w:p>
    <w:p>
      <w:pPr>
        <w:pStyle w:val="ListBullet2"/>
        <w:spacing w:after="20"/>
      </w:pPr>
      <w:r>
        <w:rPr>
          <w:i/>
        </w:rPr>
        <w:t>Dasar Ilmiah:</w:t>
      </w:r>
      <w:r>
        <w:rPr/>
        <w:t xml:space="preserve"> Bukti karsinogenisitas pada manusia </w:t>
      </w:r>
      <w:r>
        <w:rPr>
          <w:b/>
        </w:rPr>
        <w:t>tidak memadai (</w:t>
      </w:r>
      <w:r>
        <w:rPr>
          <w:b/>
          <w:i/>
        </w:rPr>
        <w:t>inadequate evidence</w:t>
      </w:r>
      <w:r>
        <w:rPr>
          <w:b/>
        </w:rPr>
        <w:t>)</w:t>
      </w:r>
      <w:r>
        <w:rPr/>
        <w:t>, dan bukti pada hewan coba terbatas. Studi epidemiologi pada pekerja tambang merkuri dan industri klor-alkali rancu dengan faktor perancu (rokok, pajanan radon, atau arsenik).</w:t>
      </w:r>
    </w:p>
    <w:p>
      <w:pPr>
        <w:pStyle w:val="ListBullet2"/>
        <w:spacing w:after="20"/>
      </w:pPr>
      <w:r>
        <w:rPr>
          <w:i/>
        </w:rPr>
        <w:t>ACGIH:</w:t>
      </w:r>
      <w:r>
        <w:rPr/>
        <w:t xml:space="preserve"> Kategori </w:t>
      </w:r>
      <w:r>
        <w:rPr>
          <w:b/>
        </w:rPr>
        <w:t>A4</w:t>
      </w:r>
      <w:r>
        <w:rPr/>
        <w:t xml:space="preserve"> (</w:t>
      </w:r>
      <w:r>
        <w:rPr>
          <w:i/>
        </w:rPr>
        <w:t>Not classifiable as a human carcinogen</w:t>
      </w:r>
      <w:r>
        <w:rPr/>
        <w:t>).</w:t>
      </w:r>
    </w:p>
    <w:p>
      <w:pPr>
        <w:pStyle w:val="ListBullet"/>
        <w:spacing w:after="20"/>
      </w:pPr>
      <w:r>
        <w:rPr>
          <w:b/>
        </w:rPr>
        <w:t>Senyawa Metilmerkuri (</w:t>
      </w:r>
      <w:r>
        <w:rPr>
          <w:b/>
          <w:i/>
        </w:rPr>
        <w:t>Methylmercury compounds</w:t>
      </w:r>
      <w:r>
        <w:rPr>
          <w:b/>
        </w:rPr>
        <w:t>):</w:t>
      </w:r>
    </w:p>
    <w:p>
      <w:pPr>
        <w:pStyle w:val="ListBullet2"/>
        <w:spacing w:after="20"/>
      </w:pPr>
      <w:r>
        <w:rPr>
          <w:b/>
        </w:rPr>
        <w:t>IARC Grup 2B (</w:t>
      </w:r>
      <w:r>
        <w:rPr>
          <w:b/>
          <w:i/>
        </w:rPr>
        <w:t>Possibly carcinogenic to humans</w:t>
      </w:r>
      <w:r>
        <w:rPr>
          <w:b/>
        </w:rPr>
        <w:t>)</w:t>
      </w:r>
      <w:r>
        <w:rPr/>
        <w:t>.</w:t>
      </w:r>
    </w:p>
    <w:p>
      <w:pPr>
        <w:pStyle w:val="ListBullet2"/>
        <w:spacing w:after="20"/>
      </w:pPr>
      <w:r>
        <w:rPr>
          <w:i/>
        </w:rPr>
        <w:t>Dasar Ilmiah:</w:t>
      </w:r>
      <w:r>
        <w:rPr/>
        <w:t xml:space="preserve"> Bukti pada manusia tidak memadai, namun terdapat </w:t>
      </w:r>
      <w:r>
        <w:rPr>
          <w:b/>
        </w:rPr>
        <w:t>bukti yang cukup (</w:t>
      </w:r>
      <w:r>
        <w:rPr>
          <w:b/>
          <w:i/>
        </w:rPr>
        <w:t>sufficient evidence</w:t>
      </w:r>
      <w:r>
        <w:rPr>
          <w:b/>
        </w:rPr>
        <w:t>) pada hewan coba</w:t>
      </w:r>
      <w:r>
        <w:rPr/>
        <w:t xml:space="preserve"> mengenai induksi karsinoma tubulus ginjal pada tikus jantan.</w:t>
      </w:r>
    </w:p>
    <w:p>
      <w:pPr>
        <w:pStyle w:val="Heading4"/>
      </w:pPr>
      <w:r>
        <w:t>b. Konvensi Minamata tentang Merkuri (Minamata Convention on Mercury)</w:t>
      </w:r>
    </w:p>
    <w:p>
      <w:pPr>
        <w:spacing w:after="80"/>
      </w:pPr>
      <w:r>
        <w:rPr/>
        <w:t>Merupakan perjanjian internasional global di bawah naungan Program Lingkungan Perserikatan Bangsa-Bangsa (UNEP) yang bertujuan melindungi kesehatan manusia dan lingkungan dari emisi serta pelepasan antropogenik merkuri:</w:t>
      </w:r>
    </w:p>
    <w:p>
      <w:pPr>
        <w:spacing w:after="40"/>
        <w:ind w:left="340" w:hanging="283"/>
      </w:pPr>
      <w:r>
        <w:rPr/>
        <w:t xml:space="preserve">1. </w:t>
      </w:r>
      <w:r>
        <w:rPr>
          <w:b/>
        </w:rPr>
        <w:t>Ratifikasi Yuridis di Indonesia:</w:t>
      </w:r>
    </w:p>
    <w:p>
      <w:pPr>
        <w:spacing w:after="80"/>
      </w:pPr>
      <w:r>
        <w:rPr/>
        <w:t xml:space="preserve">Pemerintah Indonesia secara resmi mengesahkan konvensi ini melalui </w:t>
      </w:r>
      <w:r>
        <w:rPr>
          <w:b/>
        </w:rPr>
        <w:t>Undang-Undang Nomor 11 Tahun 2017 tentang Pengesahan *Minamata Convention on Mercury</w:t>
      </w:r>
      <w:r>
        <w:rPr/>
        <w:t>*.</w:t>
      </w:r>
    </w:p>
    <w:p>
      <w:pPr>
        <w:spacing w:after="40"/>
        <w:ind w:left="340" w:hanging="283"/>
      </w:pPr>
      <w:r>
        <w:rPr/>
        <w:t xml:space="preserve">2. </w:t>
      </w:r>
      <w:r>
        <w:rPr>
          <w:b/>
        </w:rPr>
        <w:t>Rencana Aksi Nasional (RAN-PPM):</w:t>
      </w:r>
    </w:p>
    <w:p>
      <w:pPr>
        <w:spacing w:after="80"/>
      </w:pPr>
      <w:r>
        <w:rPr/>
        <w:t xml:space="preserve">Ditetapkan melalui </w:t>
      </w:r>
      <w:r>
        <w:rPr>
          <w:b/>
        </w:rPr>
        <w:t>Peraturan Presiden Nomor 21 Tahun 2019 tentang Rencana Aksi Nasional Pengurangan dan Penghapusan Merkuri (RAN-PPM)</w:t>
      </w:r>
      <w:r>
        <w:rPr/>
        <w:t>, yang menetapkan empat target sektor prioritas:</w:t>
      </w:r>
    </w:p>
    <w:p>
      <w:pPr>
        <w:pStyle w:val="ListBullet2"/>
        <w:spacing w:after="20"/>
      </w:pPr>
      <w:r>
        <w:rPr>
          <w:i/>
        </w:rPr>
        <w:t>Sektor Manufaktur:</w:t>
      </w:r>
      <w:r>
        <w:rPr/>
        <w:t xml:space="preserve"> Menghapuskan penggunaan merkuri pada industri baterai, sakelar listrik, dan lampu fluoresen.</w:t>
      </w:r>
    </w:p>
    <w:p>
      <w:pPr>
        <w:pStyle w:val="ListBullet2"/>
        <w:spacing w:after="20"/>
      </w:pPr>
      <w:r>
        <w:rPr>
          <w:i/>
        </w:rPr>
        <w:t>Sektor Energi:</w:t>
      </w:r>
      <w:r>
        <w:rPr/>
        <w:t xml:space="preserve"> Menurunkan emisi merkuri dari pembakaran batubara di PLTU.</w:t>
      </w:r>
    </w:p>
    <w:p>
      <w:pPr>
        <w:pStyle w:val="ListBullet2"/>
        <w:spacing w:after="20"/>
      </w:pPr>
      <w:r>
        <w:rPr>
          <w:i/>
        </w:rPr>
        <w:t>Sektor Penambangan Emas Skala Kecil (PESK):</w:t>
      </w:r>
      <w:r>
        <w:rPr/>
        <w:t xml:space="preserve"> </w:t>
      </w:r>
      <w:r>
        <w:rPr>
          <w:b/>
        </w:rPr>
        <w:t>Target penghapusan penggunaan merkuri 100% pada PESK</w:t>
      </w:r>
      <w:r>
        <w:rPr/>
        <w:t xml:space="preserve"> melalui alih teknologi pengolahan emas bebas merkuri dan penegakan hukum.</w:t>
      </w:r>
    </w:p>
    <w:p>
      <w:pPr>
        <w:pStyle w:val="ListBullet2"/>
        <w:spacing w:after="20"/>
      </w:pPr>
      <w:r>
        <w:rPr>
          <w:i/>
        </w:rPr>
        <w:t>Sektor Kesehatan:</w:t>
      </w:r>
      <w:r>
        <w:rPr/>
        <w:t xml:space="preserve"> </w:t>
      </w:r>
      <w:r>
        <w:rPr>
          <w:b/>
        </w:rPr>
        <w:t>Target penghapusan 100% alat kesehatan bermerkuri</w:t>
      </w:r>
      <w:r>
        <w:rPr/>
        <w:t xml:space="preserve"> (penarikan dan pemusnahan seluruh termometer air raksa, tensimeter air raksa, dan larangan penggunaan amalgam gigi di seluruh fasyankes Indonesia melalui Permenkes No. 57 Tahun 2016 dan Permenkes No. 41 Tahun 2019).</w:t>
      </w:r>
    </w:p>
    <w:p>
      <w:pPr>
        <w:pStyle w:val="Heading3"/>
      </w:pPr>
      <w:r>
        <w:t>6. Clinical Pearls dan Jebakan Ujian Khusus Merkuri</w:t>
      </w:r>
    </w:p>
    <w:p>
      <w:pPr>
        <w:spacing w:after="80"/>
      </w:pPr>
      <w:r>
        <w:rPr/>
        <w:t>Dewan penguji ujian spesialis kerap menyiapkan skenario jebakan (</w:t>
      </w:r>
      <w:r>
        <w:rPr>
          <w:i/>
        </w:rPr>
        <w:t>board examination traps</w:t>
      </w:r>
      <w:r>
        <w:rPr/>
        <w:t>). Tanamkan prinsip-prinsip ini di kepala Anda:</w:t>
      </w:r>
    </w:p>
    <w:p>
      <w:pPr>
        <w:spacing w:after="120"/>
        <w:ind w:left="170"/>
      </w:pPr>
      <w:r>
        <w:rPr>
          <w:rFonts w:ascii="Consolas" w:hAnsi="Consolas" w:eastAsia="Consolas"/>
          <w:sz w:val="13"/>
        </w:rPr>
        <w:t xml:space="preserve">                            [ JEBAKAN UJIAN KLINIS MERKURI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JEBAKAN 1: KELATOR BAL ]          [ JEBAKAN 2: MATRIKS BIOMARKER ]    [ JEBAKAN 3: TERTELAN Hg⁰ ]</w:t>
      </w:r>
      <w:r>
        <w:br/>
      </w:r>
      <w:r>
        <w:rPr>
          <w:rFonts w:ascii="Consolas" w:hAnsi="Consolas" w:eastAsia="Consolas"/>
          <w:sz w:val="13"/>
        </w:rPr>
        <w:t xml:space="preserve"> Jangan pernah berikan BAL pada      Jangan periksa urin pada kasus      Tertelan cairan termometer TIDAK</w:t>
      </w:r>
      <w:r>
        <w:br/>
      </w:r>
      <w:r>
        <w:rPr>
          <w:rFonts w:ascii="Consolas" w:hAnsi="Consolas" w:eastAsia="Consolas"/>
          <w:sz w:val="13"/>
        </w:rPr>
        <w:t xml:space="preserve"> uap Hg⁰ atau Metilmerkuri!          Metilmerkuri!                       mematikan (Absorpsi GI &lt; 0,01%).</w:t>
      </w:r>
      <w:r>
        <w:br/>
      </w:r>
      <w:r>
        <w:rPr>
          <w:rFonts w:ascii="Consolas" w:hAnsi="Consolas" w:eastAsia="Consolas"/>
          <w:sz w:val="13"/>
        </w:rPr>
        <w:t xml:space="preserve"> BAL lipofilik ──► Membentuk         MeHg diekskresikan lewat feses/     Yang mematikan adalah jika</w:t>
      </w:r>
      <w:r>
        <w:br/>
      </w:r>
      <w:r>
        <w:rPr>
          <w:rFonts w:ascii="Consolas" w:hAnsi="Consolas" w:eastAsia="Consolas"/>
          <w:sz w:val="13"/>
        </w:rPr>
        <w:t xml:space="preserve"> kelat lipofilik ──► Menembus       empedu. Gunakan DARAH LENGKAP       cairan tumpah di karpet lalu</w:t>
      </w:r>
      <w:r>
        <w:br/>
      </w:r>
      <w:r>
        <w:rPr>
          <w:rFonts w:ascii="Consolas" w:hAnsi="Consolas" w:eastAsia="Consolas"/>
          <w:sz w:val="13"/>
        </w:rPr>
        <w:t xml:space="preserve"> BBB ──► REDISTRIBUSI RACUN         atau RAMBUT KEPALA.                 MENGUAP DAN TERHIRUP!</w:t>
      </w:r>
      <w:r>
        <w:br/>
      </w:r>
      <w:r>
        <w:rPr>
          <w:rFonts w:ascii="Consolas" w:hAnsi="Consolas" w:eastAsia="Consolas"/>
          <w:sz w:val="13"/>
        </w:rPr>
        <w:t xml:space="preserve"> KE OTAK! Gunakan DMSA/DMPS.        (Urin hanya untuk Hg⁰/anorganik).</w:t>
      </w:r>
    </w:p>
    <w:p>
      <w:pPr>
        <w:pStyle w:val="ListBullet"/>
        <w:spacing w:after="20"/>
      </w:pPr>
      <w:r>
        <w:rPr>
          <w:b/>
        </w:rPr>
        <w:t>Clinical Pearl 1: "Darah untuk Organik, Urin untuk Anorganik/Elemental"</w:t>
      </w:r>
    </w:p>
    <w:p>
      <w:pPr>
        <w:spacing w:after="80"/>
      </w:pPr>
      <w:r>
        <w:rPr/>
        <w:t xml:space="preserve">Hafalkan aksioma biomonitoring ini: Bila Anda berhadapan dengan pekerja terpajan uap Hg⁰ pabrik atau garam Hg²⁺, </w:t>
      </w:r>
      <w:r>
        <w:rPr>
          <w:b/>
        </w:rPr>
        <w:t>periksa Urin (U-Hg) sebelum shift kerja</w:t>
      </w:r>
      <w:r>
        <w:rPr/>
        <w:t xml:space="preserve">. Bila Anda menghadapi kasus keracunan makanan laut (metilmerkuri), </w:t>
      </w:r>
      <w:r>
        <w:rPr>
          <w:b/>
        </w:rPr>
        <w:t>periksa Darah Lengkap (B-Hg) atau Rambut Kepala</w:t>
      </w:r>
      <w:r>
        <w:rPr/>
        <w:t>, karena fraksi metilmerkuri terkonsentrasi 90% di eritrosit dan terikat pada keratin rambut, sementara ekskresi ginjalnya minimal.</w:t>
      </w:r>
    </w:p>
    <w:p>
      <w:pPr>
        <w:pStyle w:val="ListBullet"/>
        <w:spacing w:after="20"/>
      </w:pPr>
      <w:r>
        <w:rPr>
          <w:b/>
        </w:rPr>
        <w:t>Clinical Pearl 2: Efek "Perangkap Katalase Otak" (</w:t>
      </w:r>
      <w:r>
        <w:rPr>
          <w:b/>
          <w:i/>
        </w:rPr>
        <w:t>The Brain Catalase Trap</w:t>
      </w:r>
      <w:r>
        <w:rPr>
          <w:b/>
        </w:rPr>
        <w:t>)</w:t>
      </w:r>
    </w:p>
    <w:p>
      <w:pPr>
        <w:spacing w:after="80"/>
      </w:pPr>
      <w:r>
        <w:rPr/>
        <w:t xml:space="preserve">Uap Hg⁰ menembus BBB karena sifatnya yang lipofilik dan non-polar. Namun, begitu masuk ke astrosit dan neuron, enzim katalase mengoksidasinya menjadi kation divalen polar Hg²⁺. Kation ini bermuatan dan </w:t>
      </w:r>
      <w:r>
        <w:rPr>
          <w:b/>
        </w:rPr>
        <w:t>tidak dapat berdifusi balik keluar menembus BBB</w:t>
      </w:r>
      <w:r>
        <w:rPr/>
        <w:t>, menyebabkan merkuri terperangkap seumur hidup di otak. Itulah mengapa manifestasi neurologis (tremor dan eretisme) dapat menetap bertahun-tahun setelah pajanan kerja dihentikan.</w:t>
      </w:r>
    </w:p>
    <w:p>
      <w:pPr>
        <w:pStyle w:val="ListBullet"/>
        <w:spacing w:after="20"/>
      </w:pPr>
      <w:r>
        <w:rPr>
          <w:b/>
        </w:rPr>
        <w:t>Board Trap 1: Resep Kelator yang Mematikan (Pemberian BAL)</w:t>
      </w:r>
    </w:p>
    <w:p>
      <w:pPr>
        <w:spacing w:after="80"/>
      </w:pPr>
      <w:r>
        <w:rPr/>
        <w:t xml:space="preserve">Jika penguji memberikan kasus penambang emas terpajan uap merkuri dengan tremor hebat, lalu menanyakan kelator pilihan, </w:t>
      </w:r>
      <w:r>
        <w:rPr>
          <w:b/>
        </w:rPr>
        <w:t>JANGAN PERNAH MENJAWAB BAL (Dimerkaprol)</w:t>
      </w:r>
      <w:r>
        <w:rPr/>
        <w:t xml:space="preserve">. Menjawab BAL akan langsung menggugurkan Anda. Jelaskan dengan tegas: </w:t>
      </w:r>
      <w:r>
        <w:rPr>
          <w:i/>
        </w:rPr>
        <w:t>"BAL dikontraindikasikan karena sifat lipofiliknya akan meredistribusi merkuri ke otak dan memperparah neurotoksisitas. Pilihan lini pertama adalah DMPS parenteral/oral atau DMSA oral"</w:t>
      </w:r>
      <w:r>
        <w:rPr/>
        <w:t>.</w:t>
      </w:r>
    </w:p>
    <w:p>
      <w:pPr>
        <w:pStyle w:val="ListBullet"/>
        <w:spacing w:after="20"/>
      </w:pPr>
      <w:r>
        <w:rPr>
          <w:b/>
        </w:rPr>
        <w:t>Board Trap 2: Termometer Air Raksa yang Tertelan Anak / Pasien</w:t>
      </w:r>
    </w:p>
    <w:p>
      <w:pPr>
        <w:spacing w:after="80"/>
      </w:pPr>
      <w:r>
        <w:rPr/>
        <w:t xml:space="preserve">Jangan panik merekomendasikan bilas lambung atau kelasi jika pasien menelan cairan termometer air raksa utuh. </w:t>
      </w:r>
      <w:r>
        <w:rPr>
          <w:b/>
        </w:rPr>
        <w:t>Absorpsi gastrointestinal merkuri elemental cair intak adalah &lt; 0,01% (praktis tidak diserap)</w:t>
      </w:r>
      <w:r>
        <w:rPr/>
        <w:t xml:space="preserve"> dan akan keluar utuh bersama feses tanpa menimbulkan keracunan sistemik. Yang sangat berbahaya adalah </w:t>
      </w:r>
      <w:r>
        <w:rPr>
          <w:b/>
        </w:rPr>
        <w:t>tumpahan cairan merkuri yang tercecer di lantai, sela ubin, atau karpet yang menguap secara perlahan dan terhirup uapnya oleh penghuni ruangan</w:t>
      </w:r>
      <w:r>
        <w:rPr/>
        <w:t>.</w:t>
      </w:r>
    </w:p>
    <w:p>
      <w:pPr>
        <w:pStyle w:val="ListBullet"/>
        <w:spacing w:after="20"/>
      </w:pPr>
      <w:r>
        <w:rPr>
          <w:b/>
        </w:rPr>
        <w:t>Board Trap 3: Uap Merkuri Tidak Memiliki Bau (</w:t>
      </w:r>
      <w:r>
        <w:rPr>
          <w:b/>
          <w:i/>
        </w:rPr>
        <w:t>Odorless Gas</w:t>
      </w:r>
      <w:r>
        <w:rPr>
          <w:b/>
        </w:rPr>
        <w:t>)</w:t>
      </w:r>
    </w:p>
    <w:p>
      <w:pPr>
        <w:spacing w:after="80"/>
      </w:pPr>
      <w:r>
        <w:rPr/>
        <w:t xml:space="preserve">Jangan pernah menuliskan di laporan inspeksi K3 bahwa pekerja "dapat mencium bau merkuri". Uap Hg⁰ </w:t>
      </w:r>
      <w:r>
        <w:rPr>
          <w:b/>
        </w:rPr>
        <w:t>tidak berwarna, tidak berbau, dan tidak berasa</w:t>
      </w:r>
      <w:r>
        <w:rPr/>
        <w:t>. Pekerja dapat terpajan konsentrasi mematikan tanpa menyadarinya. Perlindungan hanya dapat dijamin melalui detektor gas uap merkuri (</w:t>
      </w:r>
      <w:r>
        <w:rPr>
          <w:i/>
        </w:rPr>
        <w:t>direct-reading mercury vapor analyzer</w:t>
      </w:r>
      <w:r>
        <w:rPr/>
        <w:t>) dan pemantauan biologis berkala.</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Mercury, elemental and inorganic forms</w:t>
      </w:r>
      <w:r>
        <w:rPr>
          <w:color w:val="595959"/>
          <w:sz w:val="16"/>
        </w:rPr>
        <w:t xml:space="preserve"> (TWA 0,025 mg/m³, Notasi Skin, A4, BEI); </w:t>
      </w:r>
      <w:r>
        <w:rPr>
          <w:i/>
          <w:color w:val="595959"/>
          <w:sz w:val="16"/>
        </w:rPr>
        <w:t>Mercury, (organo) alkyl compounds</w:t>
      </w:r>
      <w:r>
        <w:rPr>
          <w:color w:val="595959"/>
          <w:sz w:val="16"/>
        </w:rPr>
        <w:t xml:space="preserve"> (TWA 0,01 mg/m³, STEL 0,03 mg/m³, Notasi Skin); </w:t>
      </w:r>
      <w:r>
        <w:rPr>
          <w:i/>
          <w:color w:val="595959"/>
          <w:sz w:val="16"/>
        </w:rPr>
        <w:t>Mercury, aryl compounds</w:t>
      </w:r>
      <w:r>
        <w:rPr>
          <w:color w:val="595959"/>
          <w:sz w:val="16"/>
        </w:rPr>
        <w:t xml:space="preserve"> (TWA 0,1 mg/m³, Notasi Skin).</w:t>
      </w:r>
    </w:p>
    <w:p>
      <w:pPr>
        <w:spacing w:after="0"/>
        <w:ind w:left="283"/>
      </w:pPr>
      <w:r>
        <w:rPr>
          <w:color w:val="595959"/>
          <w:sz w:val="16"/>
        </w:rPr>
        <w:t xml:space="preserve">Definisi dan Signifikansi Notasi </w:t>
      </w:r>
      <w:r>
        <w:rPr>
          <w:i/>
          <w:color w:val="595959"/>
          <w:sz w:val="16"/>
        </w:rPr>
        <w:t>Skin</w:t>
      </w:r>
      <w:r>
        <w:rPr>
          <w:color w:val="595959"/>
          <w:sz w:val="16"/>
        </w:rPr>
        <w:t xml:space="preserve"> (Kontribusi Penyerapan Dermal Sistemik Nyata).</w:t>
      </w:r>
    </w:p>
    <w:p>
      <w:pPr>
        <w:spacing w:after="0"/>
        <w:ind w:left="283"/>
      </w:pPr>
      <w:r>
        <w:rPr>
          <w:color w:val="595959"/>
          <w:sz w:val="16"/>
        </w:rPr>
        <w:t xml:space="preserve">Tabel Adopsi BEI: </w:t>
      </w:r>
      <w:r>
        <w:rPr>
          <w:i/>
          <w:color w:val="595959"/>
          <w:sz w:val="16"/>
        </w:rPr>
        <w:t>Mercury, elemental</w:t>
      </w:r>
      <w:r>
        <w:rPr>
          <w:color w:val="595959"/>
          <w:sz w:val="16"/>
        </w:rPr>
        <w:t xml:space="preserve"> — </w:t>
      </w:r>
      <w:r>
        <w:rPr>
          <w:i/>
          <w:color w:val="595959"/>
          <w:sz w:val="16"/>
        </w:rPr>
        <w:t>Inorganic mercury in urine</w:t>
      </w:r>
      <w:r>
        <w:rPr>
          <w:color w:val="595959"/>
          <w:sz w:val="16"/>
        </w:rPr>
        <w:t xml:space="preserve">, Waktu: </w:t>
      </w:r>
      <w:r>
        <w:rPr>
          <w:i/>
          <w:color w:val="595959"/>
          <w:sz w:val="16"/>
        </w:rPr>
        <w:t>Prior to shift</w:t>
      </w:r>
      <w:r>
        <w:rPr>
          <w:color w:val="595959"/>
          <w:sz w:val="16"/>
        </w:rPr>
        <w:t xml:space="preserve">, Nilai: </w:t>
      </w:r>
      <w:r>
        <w:rPr>
          <w:b/>
          <w:color w:val="595959"/>
          <w:sz w:val="16"/>
        </w:rPr>
        <w:t>20 µg/g kreatinin</w:t>
      </w:r>
      <w:r>
        <w:rPr>
          <w:color w:val="595959"/>
          <w:sz w:val="16"/>
        </w:rPr>
        <w:t xml:space="preserve"> (Notasi B).</w:t>
      </w:r>
    </w:p>
    <w:p>
      <w:pPr>
        <w:spacing w:after="0"/>
        <w:ind w:left="283"/>
      </w:pPr>
      <w:r>
        <w:rPr>
          <w:color w:val="595959"/>
          <w:sz w:val="16"/>
        </w:rPr>
        <w:t xml:space="preserve">Definisi Waktu Pengambilan Sampel </w:t>
      </w:r>
      <w:r>
        <w:rPr>
          <w:i/>
          <w:color w:val="595959"/>
          <w:sz w:val="16"/>
        </w:rPr>
        <w:t>Prior to shift</w:t>
      </w:r>
      <w:r>
        <w:rPr>
          <w:color w:val="595959"/>
          <w:sz w:val="16"/>
        </w:rPr>
        <w:t xml:space="preserve"> (16 jam bebas pajanan).</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Air Raksa Logam dan Bentuk Anorganik (NAB 0,025 mg/m³ / 0,003 bds, Notasi Kulit, A4, Simbol Segitiga BEI ▲); Senyawa Alkil (NAB 0,01 mg/m³, PSD 0,03 mg/m³, Notasi Kulit); Senyawa Aril (NAB 0,1 mg/m³, Notasi Kulit, A4).</w:t>
      </w:r>
    </w:p>
    <w:p>
      <w:pPr>
        <w:spacing w:after="0"/>
        <w:ind w:left="283"/>
      </w:pPr>
      <w:r>
        <w:rPr>
          <w:color w:val="595959"/>
          <w:sz w:val="16"/>
        </w:rPr>
        <w:t>Lampiran 4: Tabel Indeks Pajanan Biologi (IPB) — Merkuri Anorganik dalam Urin, Waktu Sebelum Gilir Kerja, Nilai 20 µg/g kreatinin.</w:t>
      </w:r>
    </w:p>
    <w:p>
      <w:pPr>
        <w:spacing w:after="0"/>
        <w:ind w:left="283"/>
      </w:pPr>
      <w:r>
        <w:rPr>
          <w:b/>
          <w:color w:val="595959"/>
          <w:sz w:val="16"/>
        </w:rPr>
        <w:t>Dib Chakif &amp; Julien Furrer (2026).</w:t>
      </w:r>
      <w:r>
        <w:rPr>
          <w:color w:val="595959"/>
          <w:sz w:val="16"/>
        </w:rPr>
        <w:t xml:space="preserve"> </w:t>
      </w:r>
      <w:r>
        <w:rPr>
          <w:i/>
          <w:color w:val="595959"/>
          <w:sz w:val="16"/>
        </w:rPr>
        <w:t>Heavy Metal Toxicity in Clinical and Environmental Health.</w:t>
      </w:r>
      <w:r>
        <w:rPr>
          <w:color w:val="595959"/>
          <w:sz w:val="16"/>
        </w:rPr>
        <w:t xml:space="preserve"> International Journal of Molecular Sciences, 27(3): 03513:</w:t>
      </w:r>
    </w:p>
    <w:p>
      <w:pPr>
        <w:spacing w:after="0"/>
        <w:ind w:left="283"/>
      </w:pPr>
      <w:r>
        <w:rPr>
          <w:color w:val="595959"/>
          <w:sz w:val="16"/>
        </w:rPr>
        <w:t>Farmakologi dan Mekanisme Kelator Thiol: DMSA, DMPS, BAL [6, 214–217]; Karakteristik DMSA Oral dan DMPS Larut Air; Indikasi Kelasi Spesiasi Logam; Matriks Biomonitoring Komparatif (U-Hg untuk Anorganik vs B-Hg/Rambut untuk MeHg); serta Prinsip Pencegahan dan Pengendalian di Tempat Kerja.</w:t>
      </w:r>
    </w:p>
    <w:p>
      <w:pPr>
        <w:spacing w:after="0"/>
        <w:ind w:left="283"/>
      </w:pPr>
      <w:r>
        <w:rPr>
          <w:b/>
          <w:color w:val="595959"/>
          <w:sz w:val="16"/>
        </w:rPr>
        <w:t>Yun Shi et al. (2026).</w:t>
      </w:r>
      <w:r>
        <w:rPr>
          <w:color w:val="595959"/>
          <w:sz w:val="16"/>
        </w:rPr>
        <w:t xml:space="preserve"> </w:t>
      </w:r>
      <w:r>
        <w:rPr>
          <w:i/>
          <w:color w:val="595959"/>
          <w:sz w:val="16"/>
        </w:rPr>
        <w:t>Clinical characteristics, management, and outcomes of diseases caused by mercury overexposure: a systematic review.</w:t>
      </w:r>
      <w:r>
        <w:rPr>
          <w:color w:val="595959"/>
          <w:sz w:val="16"/>
        </w:rPr>
        <w:t xml:space="preserve"> Frontiers in Public Health, 14: 1750332:</w:t>
      </w:r>
    </w:p>
    <w:p>
      <w:pPr>
        <w:spacing w:after="0"/>
        <w:ind w:left="283"/>
      </w:pPr>
      <w:r>
        <w:rPr>
          <w:color w:val="595959"/>
          <w:sz w:val="16"/>
        </w:rPr>
        <w:t>Kajian Sistematis 126 Kasus Merkuri: Pajanan Uap Elemental, Garam Korosif, dan Kosmetik [193–196]; Manifestasi Klinis Akut Pneumonitis dan Gagal Ginjal; Ambang Intervensi Urin &gt; 50 µg/L dan &gt; 100 µg/L; serta Perbedaan Profil Biomarker Spesiasi (Urin &gt; Darah pada Inorganik vs Darah &gt; Urin pada Metilmerkuri).</w:t>
      </w:r>
    </w:p>
    <w:p>
      <w:pPr>
        <w:spacing w:after="0"/>
        <w:ind w:left="283"/>
      </w:pPr>
      <w:r>
        <w:rPr>
          <w:b/>
          <w:color w:val="595959"/>
          <w:sz w:val="16"/>
        </w:rPr>
        <w:t>Caito, S. &amp; Aschner, M.</w:t>
      </w:r>
      <w:r>
        <w:rPr>
          <w:color w:val="595959"/>
          <w:sz w:val="16"/>
        </w:rPr>
        <w:t xml:space="preserve"> </w:t>
      </w:r>
      <w:r>
        <w:rPr>
          <w:i/>
          <w:color w:val="595959"/>
          <w:sz w:val="16"/>
        </w:rPr>
        <w:t>Neurotoxicity of metals</w:t>
      </w:r>
      <w:r>
        <w:rPr>
          <w:color w:val="595959"/>
          <w:sz w:val="16"/>
        </w:rPr>
        <w:t>:</w:t>
      </w:r>
    </w:p>
    <w:p>
      <w:pPr>
        <w:spacing w:after="0"/>
        <w:ind w:left="283"/>
      </w:pPr>
      <w:r>
        <w:rPr>
          <w:color w:val="595959"/>
          <w:sz w:val="16"/>
        </w:rPr>
        <w:t>Bab 11: Uji Khasiat DMPS pada Penambang Emas Tradisional (Peningkatan Ekskresi 85% dan Perbaikan Tremor/Ataksia); Bahaya Garam Anorganik Korosif dan Bilas Lambung Hati-Hati; serta Patologi Selektif Serebelum dan Korteks Oksipitalis.</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4 &amp; 14: Sifat Ditiol BAL; Toksisitas Inheren BAL dan Pengembangan Analog DMSA/DMPS; Nefrotoksisitas Garam Divalen Hg²⁺; dan Mekanisme Kelasi Thiol.</w:t>
      </w:r>
    </w:p>
    <w:p>
      <w:pPr>
        <w:spacing w:after="0"/>
        <w:ind w:left="283"/>
      </w:pPr>
      <w:r>
        <w:rPr>
          <w:b/>
          <w:color w:val="595959"/>
          <w:sz w:val="16"/>
        </w:rPr>
        <w:t>Peraturan Presiden Republik Indonesia Nomor 7 Tahun 2019</w:t>
      </w:r>
      <w:r>
        <w:rPr>
          <w:color w:val="595959"/>
          <w:sz w:val="16"/>
        </w:rPr>
        <w:t xml:space="preserve"> </w:t>
      </w:r>
      <w:r>
        <w:rPr>
          <w:i/>
          <w:color w:val="595959"/>
          <w:sz w:val="16"/>
        </w:rPr>
        <w:t>tentang Penyakit Akibat Kerja</w:t>
      </w:r>
      <w:r>
        <w:rPr>
          <w:color w:val="595959"/>
          <w:sz w:val="16"/>
        </w:rPr>
        <w:t>:</w:t>
      </w:r>
    </w:p>
    <w:p>
      <w:pPr>
        <w:spacing w:after="0"/>
        <w:ind w:left="283"/>
      </w:pPr>
      <w:r>
        <w:rPr>
          <w:color w:val="595959"/>
          <w:sz w:val="16"/>
        </w:rPr>
        <w:t>Pasal 2 (Hak Manfaat JKK hingga 3 Tahun Pasca-Kerja); Lampiran I.a Butir 7 (Penyakit Akibat Pajanan Raksa dan Persenyawaannya).</w:t>
      </w:r>
    </w:p>
    <w:p>
      <w:pPr>
        <w:spacing w:after="0"/>
        <w:ind w:left="283"/>
      </w:pPr>
      <w:r>
        <w:rPr>
          <w:b/>
          <w:color w:val="595959"/>
          <w:sz w:val="16"/>
        </w:rPr>
        <w:t>Peraturan Menteri Kesehatan Republik Indonesia Nomor 11 Tahun 2022</w:t>
      </w:r>
      <w:r>
        <w:rPr>
          <w:color w:val="595959"/>
          <w:sz w:val="16"/>
        </w:rPr>
        <w:t xml:space="preserve"> </w:t>
      </w:r>
      <w:r>
        <w:rPr>
          <w:i/>
          <w:color w:val="595959"/>
          <w:sz w:val="16"/>
        </w:rPr>
        <w:t>tentang Pelayanan Kesehatan Penyakit Akibat Kerja</w:t>
      </w:r>
      <w:r>
        <w:rPr>
          <w:color w:val="595959"/>
          <w:sz w:val="16"/>
        </w:rPr>
        <w:t>:</w:t>
      </w:r>
    </w:p>
    <w:p>
      <w:pPr>
        <w:spacing w:after="0"/>
        <w:ind w:left="283"/>
      </w:pPr>
      <w:r>
        <w:rPr>
          <w:color w:val="595959"/>
          <w:sz w:val="16"/>
        </w:rPr>
        <w:t>Pasal 5 (Tujuh Langkah Penegakan Diagnosis Okupasi); Tata Laksana Medis dan Okupasi Individu serta Komunitas.</w:t>
      </w:r>
    </w:p>
    <w:p>
      <w:pPr>
        <w:spacing w:after="0"/>
        <w:ind w:left="283"/>
      </w:pPr>
      <w:r>
        <w:rPr>
          <w:b/>
          <w:color w:val="595959"/>
          <w:sz w:val="16"/>
        </w:rPr>
        <w:t>IARC (2012 / Monograph Vol. 100C &amp; Vol. 58) &amp; Carey N. Pope (2020):</w:t>
      </w:r>
    </w:p>
    <w:p>
      <w:pPr>
        <w:spacing w:after="0"/>
        <w:ind w:left="283"/>
      </w:pPr>
      <w:r>
        <w:rPr>
          <w:color w:val="595959"/>
          <w:sz w:val="16"/>
        </w:rPr>
        <w:t>Klasifikasi Karsinogenisitas Merkuri: Logam &amp; Anorganik (Grup 3); Metilmerkuri (Grup 2B); serta Traktat Internasional Konvensi Minamata tentang Merkuri.</w:t>
      </w:r>
    </w:p>
    <w:p>
      <w:r>
        <w:br w:type="page"/>
      </w:r>
    </w:p>
    <w:p>
      <w:pPr>
        <w:pStyle w:val="Heading2"/>
      </w:pPr>
      <w:bookmarkStart w:id="122" w:name="toc_022"/>
      <w:r>
        <w:t>3A.3 Arsen (As)</w:t>
      </w:r>
      <w:bookmarkEnd w:id="122"/>
    </w:p>
    <w:p>
      <w:pPr>
        <w:pStyle w:val="Heading3"/>
      </w:pPr>
      <w:r>
        <w:t>1. Sifat Fisik-Kimia dan Klasifikasi Spesiasi Arsenik</w:t>
      </w:r>
    </w:p>
    <w:p>
      <w:pPr>
        <w:spacing w:after="80"/>
      </w:pPr>
      <w:r>
        <w:rPr/>
        <w:t xml:space="preserve">Arsenik (nomor atom 33, berat atom 74,92 g/mol) terletak pada Golongan VA periode 4 tabel periodik. Arsenik diklasifikasikan sebagai </w:t>
      </w:r>
      <w:r>
        <w:rPr>
          <w:b/>
        </w:rPr>
        <w:t>metalloid (semi-logam)</w:t>
      </w:r>
      <w:r>
        <w:rPr/>
        <w:t xml:space="preserve"> karena memiliki sifat fisika-kimia peralihan antara logam dan non-logam. Di alam dan proses industri, arsenik memiliki 4 bilangan oksidasi: </w:t>
      </w:r>
      <w:r>
        <w:rPr>
          <w:b/>
        </w:rPr>
        <w:t>-3, 0, +3, dan +5</w:t>
      </w:r>
      <w:r>
        <w:rPr/>
        <w:t>.</w:t>
      </w:r>
    </w:p>
    <w:p>
      <w:pPr>
        <w:spacing w:after="120"/>
        <w:ind w:left="170"/>
      </w:pPr>
      <w:r>
        <w:rPr>
          <w:rFonts w:ascii="Consolas" w:hAnsi="Consolas" w:eastAsia="Consolas"/>
          <w:sz w:val="13"/>
        </w:rPr>
        <w:t xml:space="preserve">                                [ KLASIFIKASI SPESIASI ARSENIK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ARSEN ANORGANIK (iAs) ]               [ ARSEN ORGANIK ]                     [ GAS ARSIN (AsH₃) ]</w:t>
      </w:r>
      <w:r>
        <w:br/>
      </w:r>
      <w:r>
        <w:rPr>
          <w:rFonts w:ascii="Consolas" w:hAnsi="Consolas" w:eastAsia="Consolas"/>
          <w:sz w:val="13"/>
        </w:rPr>
        <w:t>• Trivalen [As(III), Arsenit]:         • Asam Monometilarsonat (MMA)          • Bilangan oksidasi: -3</w:t>
      </w:r>
      <w:r>
        <w:br/>
      </w:r>
      <w:r>
        <w:rPr>
          <w:rFonts w:ascii="Consolas" w:hAnsi="Consolas" w:eastAsia="Consolas"/>
          <w:sz w:val="13"/>
        </w:rPr>
        <w:t xml:space="preserve">  As₂O₃, NaAsO₂, AsCl₃                 • Asam Dimetilarsinat (DMA)            • Gas hidrida, bau bawang putih</w:t>
      </w:r>
      <w:r>
        <w:br/>
      </w:r>
      <w:r>
        <w:rPr>
          <w:rFonts w:ascii="Consolas" w:hAnsi="Consolas" w:eastAsia="Consolas"/>
          <w:sz w:val="13"/>
        </w:rPr>
        <w:t>• Pentavalen [As(V), Arsenat]:         • Arsenobetain &amp; Arsenokolin           • Sangat volatil, non-iritatif</w:t>
      </w:r>
      <w:r>
        <w:br/>
      </w:r>
      <w:r>
        <w:rPr>
          <w:rFonts w:ascii="Consolas" w:hAnsi="Consolas" w:eastAsia="Consolas"/>
          <w:sz w:val="13"/>
        </w:rPr>
        <w:t xml:space="preserve">  As₂O₅, H₃AsO₄, Pb₃(AsO₄)₂              (Senyawa organik laut, NON-TOKSIK)   • Hemolisis intravaskular masif</w:t>
      </w:r>
      <w:r>
        <w:br/>
      </w:r>
      <w:r>
        <w:rPr>
          <w:rFonts w:ascii="Consolas" w:hAnsi="Consolas" w:eastAsia="Consolas"/>
          <w:sz w:val="13"/>
        </w:rPr>
        <w:t>• Karsinogenik IARC Grup 1             • IARC Grup 2B (MMA/DMA) &amp; Grup 3      • Toksisitas akut paling mematikan</w:t>
      </w:r>
    </w:p>
    <w:p>
      <w:pPr>
        <w:spacing w:after="40"/>
        <w:ind w:left="340" w:hanging="283"/>
      </w:pPr>
      <w:r>
        <w:rPr/>
        <w:t xml:space="preserve">1. </w:t>
      </w:r>
      <w:r>
        <w:rPr>
          <w:b/>
        </w:rPr>
        <w:t>Arsenik Elemental [As(0)]:</w:t>
      </w:r>
    </w:p>
    <w:p>
      <w:pPr>
        <w:spacing w:after="80"/>
      </w:pPr>
      <w:r>
        <w:rPr/>
        <w:t>Memiliki bentuk alotrop padat (abu-abu, kuning, dan hitam). Bentuk abu-abu (</w:t>
      </w:r>
      <w:r>
        <w:rPr>
          <w:i/>
        </w:rPr>
        <w:t>gray arsenic</w:t>
      </w:r>
      <w:r>
        <w:rPr/>
        <w:t>) adalah bentuk semilogam yang paling stabil secara termodinamika, rapuh, dan digunakan dalam pembuatan aloi semikonduktor.</w:t>
      </w:r>
    </w:p>
    <w:p>
      <w:pPr>
        <w:spacing w:after="40"/>
        <w:ind w:left="340" w:hanging="283"/>
      </w:pPr>
      <w:r>
        <w:rPr/>
        <w:t xml:space="preserve">2. </w:t>
      </w:r>
      <w:r>
        <w:rPr>
          <w:b/>
        </w:rPr>
        <w:t>Arsenik Anorganik (</w:t>
      </w:r>
      <w:r>
        <w:rPr>
          <w:b/>
          <w:i/>
        </w:rPr>
        <w:t>Inorganic Arsenic</w:t>
      </w:r>
      <w:r>
        <w:rPr>
          <w:b/>
        </w:rPr>
        <w:t xml:space="preserve"> / iAs):</w:t>
      </w:r>
    </w:p>
    <w:p>
      <w:pPr>
        <w:spacing w:after="80"/>
      </w:pPr>
      <w:r>
        <w:rPr/>
        <w:t>Merupakan bentuk arsenik yang paling toksik dan berbahaya bagi manusia di lingkungan kerja dan lingkungan hidup:</w:t>
      </w:r>
    </w:p>
    <w:p>
      <w:pPr>
        <w:pStyle w:val="ListBullet2"/>
        <w:spacing w:after="20"/>
      </w:pPr>
      <w:r>
        <w:rPr>
          <w:b/>
        </w:rPr>
        <w:t>Arsenik Trivalen [As(III) / Arsenit]:</w:t>
      </w:r>
      <w:r>
        <w:rPr/>
        <w:t xml:space="preserve"> Mengalami reduksi; contohnya </w:t>
      </w:r>
      <w:r>
        <w:rPr>
          <w:b/>
        </w:rPr>
        <w:t>arsenik trioksida (As₂O₃)</w:t>
      </w:r>
      <w:r>
        <w:rPr/>
        <w:t>, natrium arsenit (NaAsO₂), dan arsenik triklorida (AsCl₃). Memiliki sifat lipofilik, reaktivitas kimiawi sangat tinggi, serta afinitas kuat terhadap gugus tiol/sulfhidril.</w:t>
      </w:r>
    </w:p>
    <w:p>
      <w:pPr>
        <w:pStyle w:val="ListBullet2"/>
        <w:spacing w:after="20"/>
      </w:pPr>
      <w:r>
        <w:rPr>
          <w:b/>
        </w:rPr>
        <w:t>Arsenik Pentavalen [As(V) / Arsenat]:</w:t>
      </w:r>
      <w:r>
        <w:rPr/>
        <w:t xml:space="preserve"> Bentuk teroksidasi yang dominan di perairan beroksigen; contohnya </w:t>
      </w:r>
      <w:r>
        <w:rPr>
          <w:b/>
        </w:rPr>
        <w:t>arsenik pentoksida (As₂O₅)</w:t>
      </w:r>
      <w:r>
        <w:rPr/>
        <w:t>, asam arsenat (H₃AsO₄), timbal arsenat, dan kalsium arsenat. Memiliki struktur isoelektronik dan isostruktural dengan fosfat anorganik (PO₄³⁻).</w:t>
      </w:r>
    </w:p>
    <w:p>
      <w:pPr>
        <w:spacing w:after="40"/>
        <w:ind w:left="340" w:hanging="283"/>
      </w:pPr>
      <w:r>
        <w:rPr/>
        <w:t xml:space="preserve">3. </w:t>
      </w:r>
      <w:r>
        <w:rPr>
          <w:b/>
        </w:rPr>
        <w:t>Arsenik Organik (</w:t>
      </w:r>
      <w:r>
        <w:rPr>
          <w:b/>
          <w:i/>
        </w:rPr>
        <w:t>Organoarsenic compounds</w:t>
      </w:r>
      <w:r>
        <w:rPr>
          <w:b/>
        </w:rPr>
        <w:t>):</w:t>
      </w:r>
    </w:p>
    <w:p>
      <w:pPr>
        <w:spacing w:after="80"/>
      </w:pPr>
      <w:r>
        <w:rPr/>
        <w:t>Senyawa di mana atom arsenik terikat langsung secara kovalen pada gugus karbon alifatik atau aromatik:</w:t>
      </w:r>
    </w:p>
    <w:p>
      <w:pPr>
        <w:pStyle w:val="ListBullet2"/>
        <w:spacing w:after="20"/>
      </w:pPr>
      <w:r>
        <w:rPr>
          <w:i/>
        </w:rPr>
        <w:t>Metabolit Metilasi Mamalia:</w:t>
      </w:r>
      <w:r>
        <w:rPr/>
        <w:t xml:space="preserve"> </w:t>
      </w:r>
      <w:r>
        <w:rPr>
          <w:b/>
        </w:rPr>
        <w:t>Asam Monometilarsonat (MMA^(V) / MMA^(III))</w:t>
      </w:r>
      <w:r>
        <w:rPr/>
        <w:t xml:space="preserve"> dan </w:t>
      </w:r>
      <w:r>
        <w:rPr>
          <w:b/>
        </w:rPr>
        <w:t>Asam Dimetilarsinat (DMA^(V) / DMA^(III) / Asam Kakodilat)</w:t>
      </w:r>
      <w:r>
        <w:rPr/>
        <w:t>.</w:t>
      </w:r>
    </w:p>
    <w:p>
      <w:pPr>
        <w:pStyle w:val="ListBullet2"/>
        <w:spacing w:after="20"/>
      </w:pPr>
      <w:r>
        <w:rPr>
          <w:i/>
        </w:rPr>
        <w:t>Senyawa Organik Bahari (Seafood Arsenicals):</w:t>
      </w:r>
      <w:r>
        <w:rPr/>
        <w:t xml:space="preserve"> </w:t>
      </w:r>
      <w:r>
        <w:rPr>
          <w:b/>
        </w:rPr>
        <w:t>Arsenobetain (</w:t>
      </w:r>
      <w:r>
        <w:rPr>
          <w:b/>
          <w:i/>
        </w:rPr>
        <w:t>Arsenobetaine</w:t>
      </w:r>
      <w:r>
        <w:rPr>
          <w:b/>
        </w:rPr>
        <w:t xml:space="preserve"> / AsB)</w:t>
      </w:r>
      <w:r>
        <w:rPr/>
        <w:t xml:space="preserve"> dan </w:t>
      </w:r>
      <w:r>
        <w:rPr>
          <w:b/>
        </w:rPr>
        <w:t>Arsenokolin (</w:t>
      </w:r>
      <w:r>
        <w:rPr>
          <w:b/>
          <w:i/>
        </w:rPr>
        <w:t>Arsenocholine</w:t>
      </w:r>
      <w:r>
        <w:rPr>
          <w:b/>
        </w:rPr>
        <w:t xml:space="preserve"> / AsC)</w:t>
      </w:r>
      <w:r>
        <w:rPr/>
        <w:t xml:space="preserve">. Terdapat melimpah pada ikan laut, udang, kepiting, dan kerang. Senyawa ini </w:t>
      </w:r>
      <w:r>
        <w:rPr>
          <w:b/>
        </w:rPr>
        <w:t>stabil secara metabolisme, tidak terurai dalam tubuh manusia, cepat diekskresikan lewat urin tanpa menimbulkan efek toksik sistemik, dan tergolong non-karsinogenik (IARC Grup 3)</w:t>
      </w:r>
      <w:r>
        <w:rPr/>
        <w:t>.</w:t>
      </w:r>
    </w:p>
    <w:p>
      <w:pPr>
        <w:spacing w:after="40"/>
        <w:ind w:left="340" w:hanging="283"/>
      </w:pPr>
      <w:r>
        <w:rPr/>
        <w:t xml:space="preserve">4. </w:t>
      </w:r>
      <w:r>
        <w:rPr>
          <w:b/>
        </w:rPr>
        <w:t>Gas Arsin (</w:t>
      </w:r>
      <w:r>
        <w:rPr>
          <w:b/>
          <w:i/>
        </w:rPr>
        <w:t>Arsine Gas</w:t>
      </w:r>
      <w:r>
        <w:rPr>
          <w:b/>
        </w:rPr>
        <w:t xml:space="preserve"> / AsH₃) [CAS 7784-42-1]:</w:t>
      </w:r>
    </w:p>
    <w:p>
      <w:pPr>
        <w:pStyle w:val="ListBullet2"/>
        <w:spacing w:after="20"/>
      </w:pPr>
      <w:r>
        <w:rPr/>
        <w:t xml:space="preserve">Gas hidrida anorganik tidak berwarna, tidak mengiritasi mata/saluran napas, dengan densitas uap lebih berat dari udara (2,69 kali udara), dan memiliki aroma khas seperti </w:t>
      </w:r>
      <w:r>
        <w:rPr>
          <w:b/>
        </w:rPr>
        <w:t>bawang putih (</w:t>
      </w:r>
      <w:r>
        <w:rPr>
          <w:b/>
          <w:i/>
        </w:rPr>
        <w:t>garlic-like odor</w:t>
      </w:r>
      <w:r>
        <w:rPr>
          <w:b/>
        </w:rPr>
        <w:t>) atau bau amis ikan pada konsentrasi tinggi</w:t>
      </w:r>
      <w:r>
        <w:rPr/>
        <w:t>.</w:t>
      </w:r>
    </w:p>
    <w:p>
      <w:pPr>
        <w:pStyle w:val="ListBullet2"/>
        <w:spacing w:after="20"/>
      </w:pPr>
      <w:r>
        <w:rPr>
          <w:i/>
        </w:rPr>
        <w:t>Sifat Toksik:</w:t>
      </w:r>
      <w:r>
        <w:rPr/>
        <w:t xml:space="preserve"> </w:t>
      </w:r>
      <w:r>
        <w:rPr>
          <w:b/>
        </w:rPr>
        <w:t>Merupakan bentuk arsenik yang paling mematikan dengan potensi intoksikasi akut tercepat</w:t>
      </w:r>
      <w:r>
        <w:rPr/>
        <w:t xml:space="preserve"> (TLV-TWA ACGIH hanya </w:t>
      </w:r>
      <w:r>
        <w:rPr>
          <w:b/>
        </w:rPr>
        <w:t>0,005 ppm</w:t>
      </w:r>
      <w:r>
        <w:rPr/>
        <w:t xml:space="preserve">). Berbeda dengan garam arsenik, gas arsin secara selektif menyerang eritrosit dan memicu </w:t>
      </w:r>
      <w:r>
        <w:rPr>
          <w:b/>
        </w:rPr>
        <w:t>hemolisis intravaskular masif yang fatal</w:t>
      </w:r>
      <w:r>
        <w:rPr/>
        <w:t>.</w:t>
      </w:r>
    </w:p>
    <w:p>
      <w:pPr>
        <w:pStyle w:val="Heading3"/>
      </w:pPr>
      <w:r>
        <w:t>1. Standar Batas Pajanan Udara (Exposure Limits): ACGIH vs. Permenaker No. 5 Tahun 2018</w:t>
      </w:r>
    </w:p>
    <w:p>
      <w:pPr>
        <w:spacing w:after="80"/>
      </w:pPr>
      <w:r>
        <w:rPr/>
        <w:t xml:space="preserve">Di lingkungan kerja industri, nilai ambang batas pajanan udara ditetapkan secara spesifik menurut </w:t>
      </w:r>
      <w:r>
        <w:rPr>
          <w:b/>
        </w:rPr>
        <w:t>spesiasi kimiawi arsenik</w:t>
      </w:r>
      <w:r>
        <w:rPr/>
        <w:t>:</w:t>
      </w:r>
    </w:p>
    <w:p>
      <w:pPr>
        <w:spacing w:after="120"/>
        <w:ind w:left="170"/>
      </w:pPr>
      <w:r>
        <w:rPr>
          <w:rFonts w:ascii="Consolas" w:hAnsi="Consolas" w:eastAsia="Consolas"/>
          <w:sz w:val="13"/>
        </w:rPr>
        <w:t xml:space="preserve">                       [ STANDAR BATAS PAJANAN ARSENIK DI UDARA KERJA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ARSENIK DAN PERSENYAWAAN ANORGANIK ]                                      [ GAS ARSIN (AsH₃) ]</w:t>
      </w:r>
      <w:r>
        <w:br/>
      </w:r>
      <w:r>
        <w:rPr>
          <w:rFonts w:ascii="Consolas" w:hAnsi="Consolas" w:eastAsia="Consolas"/>
          <w:sz w:val="13"/>
        </w:rPr>
        <w:t>• ACGIH TLV-TWA: 0,01 mg/m³ (sebagai As)                                    • ACGIH TLV-TWA: 0,005 ppm (0,016 mg/m³)</w:t>
      </w:r>
      <w:r>
        <w:br/>
      </w:r>
      <w:r>
        <w:rPr>
          <w:rFonts w:ascii="Consolas" w:hAnsi="Consolas" w:eastAsia="Consolas"/>
          <w:sz w:val="13"/>
        </w:rPr>
        <w:t xml:space="preserve">  Notasi: A1 (Karsinogen Terbukti pada Manusia); BEI                          Basis TLV: Kerusakan saraf perifer, vaskular,</w:t>
      </w:r>
      <w:r>
        <w:br/>
      </w:r>
      <w:r>
        <w:rPr>
          <w:rFonts w:ascii="Consolas" w:hAnsi="Consolas" w:eastAsia="Consolas"/>
          <w:sz w:val="13"/>
        </w:rPr>
        <w:t xml:space="preserve">  Basis TLV: Kanker Paru (Lung Cancer)                                        ginjal, dan hepar</w:t>
      </w:r>
      <w:r>
        <w:br/>
      </w:r>
      <w:r>
        <w:rPr>
          <w:rFonts w:ascii="Consolas" w:hAnsi="Consolas" w:eastAsia="Consolas"/>
          <w:sz w:val="13"/>
        </w:rPr>
        <w:t>• Permenaker No. 5 Tahun 2018 (Lampiran 3):                                • Permenaker No. 5 Tahun 2018 (Lampiran 3):</w:t>
      </w:r>
      <w:r>
        <w:br/>
      </w:r>
      <w:r>
        <w:rPr>
          <w:rFonts w:ascii="Consolas" w:hAnsi="Consolas" w:eastAsia="Consolas"/>
          <w:sz w:val="13"/>
        </w:rPr>
        <w:t xml:space="preserve">  NAB (TWA 8 jam): 0,01 mg/m³; Notasi: A1, BEI (simbol ▲)                     NAB (TWA 8 jam): 0,005 bds (ppm)</w:t>
      </w:r>
    </w:p>
    <w:p>
      <w:pPr>
        <w:pStyle w:val="Heading4"/>
      </w:pPr>
      <w:r>
        <w:t>a. Nilai Ambang Batas ACGIH (Edisi 2026)</w:t>
      </w:r>
    </w:p>
    <w:p>
      <w:pPr>
        <w:spacing w:after="40"/>
        <w:ind w:left="340" w:hanging="283"/>
      </w:pPr>
      <w:r>
        <w:rPr/>
        <w:t xml:space="preserve">1. </w:t>
      </w:r>
      <w:r>
        <w:rPr>
          <w:b/>
        </w:rPr>
        <w:t>Arsenik dan Senyawa Anorganik (</w:t>
      </w:r>
      <w:r>
        <w:rPr>
          <w:b/>
          <w:i/>
        </w:rPr>
        <w:t>Arsenic and inorganic compounds, as As</w:t>
      </w:r>
      <w:r>
        <w:rPr>
          <w:b/>
        </w:rPr>
        <w:t>) [CAS 7440-38-2]:</w:t>
      </w:r>
    </w:p>
    <w:p>
      <w:pPr>
        <w:pStyle w:val="ListBullet2"/>
        <w:spacing w:after="20"/>
      </w:pPr>
      <w:r>
        <w:rPr>
          <w:b/>
        </w:rPr>
        <w:t>TLV-TWA:</w:t>
      </w:r>
      <w:r>
        <w:rPr/>
        <w:t xml:space="preserve"> </w:t>
      </w:r>
      <w:r>
        <w:rPr>
          <w:b/>
        </w:rPr>
        <w:t>0,01 mg/m³</w:t>
      </w:r>
      <w:r>
        <w:rPr/>
        <w:t xml:space="preserve"> (sebagai elemental As).</w:t>
      </w:r>
    </w:p>
    <w:p>
      <w:pPr>
        <w:pStyle w:val="ListBullet2"/>
        <w:spacing w:after="20"/>
      </w:pPr>
      <w:r>
        <w:rPr>
          <w:i/>
        </w:rPr>
        <w:t>Notasi:</w:t>
      </w:r>
      <w:r>
        <w:rPr/>
        <w:t xml:space="preserve"> </w:t>
      </w:r>
      <w:r>
        <w:rPr>
          <w:b/>
        </w:rPr>
        <w:t>A1; BEI</w:t>
      </w:r>
      <w:r>
        <w:rPr/>
        <w:t>.</w:t>
      </w:r>
    </w:p>
    <w:p>
      <w:pPr>
        <w:pStyle w:val="ListBullet2"/>
        <w:spacing w:after="20"/>
      </w:pPr>
      <w:r>
        <w:rPr>
          <w:i/>
        </w:rPr>
        <w:t>Dasar Penetapan Efek Kritis (*TLV Basis</w:t>
      </w:r>
      <w:r>
        <w:rPr/>
        <w:t xml:space="preserve">):* </w:t>
      </w:r>
      <w:r>
        <w:rPr>
          <w:b/>
        </w:rPr>
        <w:t>Kanker Paru (</w:t>
      </w:r>
      <w:r>
        <w:rPr>
          <w:b/>
          <w:i/>
        </w:rPr>
        <w:t>Lung cancer</w:t>
      </w:r>
      <w:r>
        <w:rPr>
          <w:b/>
        </w:rPr>
        <w:t>)</w:t>
      </w:r>
      <w:r>
        <w:rPr/>
        <w:t>.</w:t>
      </w:r>
    </w:p>
    <w:p>
      <w:pPr>
        <w:spacing w:after="40"/>
        <w:ind w:left="340" w:hanging="283"/>
      </w:pPr>
      <w:r>
        <w:rPr/>
        <w:t xml:space="preserve">2. </w:t>
      </w:r>
      <w:r>
        <w:rPr>
          <w:b/>
        </w:rPr>
        <w:t>Gas Arsin (</w:t>
      </w:r>
      <w:r>
        <w:rPr>
          <w:b/>
          <w:i/>
        </w:rPr>
        <w:t>Arsine</w:t>
      </w:r>
      <w:r>
        <w:rPr>
          <w:b/>
        </w:rPr>
        <w:t>) [CAS 7784-42-1]:</w:t>
      </w:r>
    </w:p>
    <w:p>
      <w:pPr>
        <w:pStyle w:val="ListBullet2"/>
        <w:spacing w:after="20"/>
      </w:pPr>
      <w:r>
        <w:rPr>
          <w:b/>
        </w:rPr>
        <w:t>TLV-TWA:</w:t>
      </w:r>
      <w:r>
        <w:rPr/>
        <w:t xml:space="preserve"> </w:t>
      </w:r>
      <w:r>
        <w:rPr>
          <w:b/>
        </w:rPr>
        <w:t>0,005 ppm</w:t>
      </w:r>
      <w:r>
        <w:rPr/>
        <w:t xml:space="preserve"> (setara </w:t>
      </w:r>
      <w:r>
        <w:rPr>
          <w:b/>
        </w:rPr>
        <w:t>0,016 mg/m³</w:t>
      </w:r>
      <w:r>
        <w:rPr/>
        <w:t>).</w:t>
      </w:r>
    </w:p>
    <w:p>
      <w:pPr>
        <w:pStyle w:val="ListBullet2"/>
        <w:spacing w:after="20"/>
      </w:pPr>
      <w:r>
        <w:rPr>
          <w:i/>
        </w:rPr>
        <w:t>Dasar Penetapan Efek Kritis:</w:t>
      </w:r>
      <w:r>
        <w:rPr/>
        <w:t xml:space="preserve"> Kerusakan sistem saraf perifer dan sistem vaskular (</w:t>
      </w:r>
      <w:r>
        <w:rPr>
          <w:i/>
        </w:rPr>
        <w:t>PNS &amp; vascular system impairment</w:t>
      </w:r>
      <w:r>
        <w:rPr/>
        <w:t>), serta kerusakan ginjal dan hepar (</w:t>
      </w:r>
      <w:r>
        <w:rPr>
          <w:i/>
        </w:rPr>
        <w:t>kidney &amp; liver impairment</w:t>
      </w:r>
      <w:r>
        <w:rPr/>
        <w:t>).</w:t>
      </w:r>
    </w:p>
    <w:p>
      <w:pPr>
        <w:pStyle w:val="ListBullet2"/>
        <w:spacing w:after="20"/>
      </w:pPr>
      <w:r>
        <w:rPr>
          <w:i/>
        </w:rPr>
        <w:t>Perbandingan Regulasi Lain:</w:t>
      </w:r>
      <w:r>
        <w:rPr/>
        <w:t xml:space="preserve"> OSHA PEL menetapkan </w:t>
      </w:r>
      <w:r>
        <w:rPr>
          <w:b/>
        </w:rPr>
        <w:t>0,05 ppm (0,2 mg/m³)</w:t>
      </w:r>
      <w:r>
        <w:rPr/>
        <w:t xml:space="preserve">; NIOSH menetapkan batas </w:t>
      </w:r>
      <w:r>
        <w:rPr>
          <w:i/>
        </w:rPr>
        <w:t>Ceiling</w:t>
      </w:r>
      <w:r>
        <w:rPr/>
        <w:t xml:space="preserve"> </w:t>
      </w:r>
      <w:r>
        <w:rPr>
          <w:b/>
        </w:rPr>
        <w:t>0,002 mg/m³ (15 menit)</w:t>
      </w:r>
      <w:r>
        <w:rPr/>
        <w:t xml:space="preserve"> dan IDLH </w:t>
      </w:r>
      <w:r>
        <w:rPr>
          <w:b/>
        </w:rPr>
        <w:t>3 ppm</w:t>
      </w:r>
      <w:r>
        <w:rPr/>
        <w:t>.</w:t>
      </w:r>
    </w:p>
    <w:p>
      <w:pPr>
        <w:pStyle w:val="Heading4"/>
      </w:pPr>
      <w:r>
        <w:t>b. Nilai Ambang Batas Permenaker No. 5 Tahun 2018 (Lampiran 3)</w:t>
      </w:r>
    </w:p>
    <w:p>
      <w:pPr>
        <w:spacing w:after="80"/>
      </w:pPr>
      <w:r>
        <w:rPr/>
        <w:t>Regulasi keselamatan kerja nasional mengadopsi standar yang selaras dengan ACGIH:</w:t>
      </w:r>
    </w:p>
    <w:p>
      <w:pPr>
        <w:spacing w:after="40"/>
        <w:ind w:left="340" w:hanging="283"/>
      </w:pPr>
      <w:r>
        <w:rPr/>
        <w:t xml:space="preserve">1. </w:t>
      </w:r>
      <w:r>
        <w:rPr>
          <w:b/>
        </w:rPr>
        <w:t>Arsen dan Senyawa Anorganiknya, sebagai As:</w:t>
      </w:r>
    </w:p>
    <w:p>
      <w:pPr>
        <w:pStyle w:val="ListBullet2"/>
        <w:spacing w:after="20"/>
      </w:pPr>
      <w:r>
        <w:rPr>
          <w:b/>
        </w:rPr>
        <w:t>NAB (TWA 8 jam):</w:t>
      </w:r>
      <w:r>
        <w:rPr/>
        <w:t xml:space="preserve"> </w:t>
      </w:r>
      <w:r>
        <w:rPr>
          <w:b/>
        </w:rPr>
        <w:t>0,01 mg/m³</w:t>
      </w:r>
      <w:r>
        <w:rPr/>
        <w:t>.</w:t>
      </w:r>
    </w:p>
    <w:p>
      <w:pPr>
        <w:pStyle w:val="ListBullet2"/>
        <w:spacing w:after="20"/>
      </w:pPr>
      <w:r>
        <w:rPr>
          <w:i/>
        </w:rPr>
        <w:t>Notasi:</w:t>
      </w:r>
      <w:r>
        <w:rPr/>
        <w:t xml:space="preserve"> </w:t>
      </w:r>
      <w:r>
        <w:rPr>
          <w:b/>
        </w:rPr>
        <w:t>A1</w:t>
      </w:r>
      <w:r>
        <w:rPr/>
        <w:t xml:space="preserve"> (Karsinogenik Terbukti terhadap Manusia) dan </w:t>
      </w:r>
      <w:r>
        <w:rPr>
          <w:b/>
        </w:rPr>
        <w:t>BEI</w:t>
      </w:r>
      <w:r>
        <w:rPr/>
        <w:t xml:space="preserve"> (ditandai dengan </w:t>
      </w:r>
      <w:r>
        <w:rPr>
          <w:b/>
        </w:rPr>
        <w:t>simbol segitiga ▲</w:t>
      </w:r>
      <w:r>
        <w:rPr/>
        <w:t>).</w:t>
      </w:r>
    </w:p>
    <w:p>
      <w:pPr>
        <w:spacing w:after="40"/>
        <w:ind w:left="340" w:hanging="283"/>
      </w:pPr>
      <w:r>
        <w:rPr/>
        <w:t xml:space="preserve">2. </w:t>
      </w:r>
      <w:r>
        <w:rPr>
          <w:b/>
        </w:rPr>
        <w:t>Arsin (Gas AsH₃):</w:t>
      </w:r>
    </w:p>
    <w:p>
      <w:pPr>
        <w:pStyle w:val="ListBullet2"/>
        <w:spacing w:after="20"/>
      </w:pPr>
      <w:r>
        <w:rPr>
          <w:b/>
        </w:rPr>
        <w:t>NAB (TWA 8 jam):</w:t>
      </w:r>
      <w:r>
        <w:rPr/>
        <w:t xml:space="preserve"> </w:t>
      </w:r>
      <w:r>
        <w:rPr>
          <w:b/>
        </w:rPr>
        <w:t>0,005 bds</w:t>
      </w:r>
      <w:r>
        <w:rPr/>
        <w:t xml:space="preserve"> (Bagian Dalam Sejuta / ppm).</w:t>
      </w:r>
    </w:p>
    <w:p>
      <w:pPr>
        <w:pStyle w:val="Heading4"/>
      </w:pPr>
      <w:r>
        <w:t>c. Makna Toksikologis Notasi</w:t>
      </w:r>
    </w:p>
    <w:p>
      <w:pPr>
        <w:pStyle w:val="ListBullet"/>
        <w:spacing w:after="20"/>
      </w:pPr>
      <w:r>
        <w:rPr>
          <w:b/>
        </w:rPr>
        <w:t>Notasi "A1" (</w:t>
      </w:r>
      <w:r>
        <w:rPr>
          <w:b/>
          <w:i/>
        </w:rPr>
        <w:t>Confirmed Human Carcinogen</w:t>
      </w:r>
      <w:r>
        <w:rPr>
          <w:b/>
        </w:rPr>
        <w:t>):</w:t>
      </w:r>
      <w:r>
        <w:rPr/>
        <w:t xml:space="preserve"> Menandakan bahwa agen tersebut telah terbukti secara ilmiah melalui studi epidemiologi kohort manusia memicu kanker (terutama karsinoma bronkogenik paru, kanker kulit, dan karsinoma urotelial kandung kemih). Paparan di tempat kerja harus ditekan hingga level serendah mungkin (</w:t>
      </w:r>
      <w:r>
        <w:rPr>
          <w:i/>
        </w:rPr>
        <w:t>As Low As Reasonably Achievable</w:t>
      </w:r>
      <w:r>
        <w:rPr/>
        <w:t xml:space="preserve"> / ALARA).</w:t>
      </w:r>
    </w:p>
    <w:p>
      <w:pPr>
        <w:pStyle w:val="ListBullet"/>
        <w:spacing w:after="20"/>
      </w:pPr>
      <w:r>
        <w:rPr>
          <w:b/>
        </w:rPr>
        <w:t>Notasi "BEI" / Simbol Segitiga (▲):</w:t>
      </w:r>
      <w:r>
        <w:rPr/>
        <w:t xml:space="preserve"> Mewajibkan pemantauan biologis berkala terhadap spesimen tubuh tenaga kerja untuk mengukur dosis internal yang diserap.</w:t>
      </w:r>
    </w:p>
    <w:p>
      <w:pPr>
        <w:pStyle w:val="Heading3"/>
      </w:pPr>
      <w:r>
        <w:t>2. Standar BEI (ACGIH) dan IPB (Permenaker 5/2018) serta Waktu Sampling</w:t>
      </w:r>
    </w:p>
    <w:p>
      <w:pPr>
        <w:spacing w:after="80"/>
      </w:pPr>
      <w:r>
        <w:rPr/>
        <w:t xml:space="preserve">Dalam mengevaluasi pajanan arsenik di lingkungan industri, matriks biologis yang menjadi baku emas hukum adalah </w:t>
      </w:r>
      <w:r>
        <w:rPr>
          <w:b/>
        </w:rPr>
        <w:t>spesimen urin spesiasi</w:t>
      </w:r>
      <w:r>
        <w:rPr/>
        <w:t>:</w:t>
      </w:r>
    </w:p>
    <w:p>
      <w:pPr>
        <w:spacing w:after="120"/>
        <w:ind w:left="170"/>
      </w:pPr>
      <w:r>
        <w:rPr>
          <w:rFonts w:ascii="Consolas" w:hAnsi="Consolas" w:eastAsia="Consolas"/>
          <w:sz w:val="13"/>
        </w:rPr>
        <w:t xml:space="preserve">                       [ STANDAR INDEKS PAJANAN BIOLOGI ARSENIK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DETERMINAN BIOLOGIS ]             [ NILAI BAKU BEI / IPB ]           [ WAKTU PENGAMBILAN SAMPEL ]</w:t>
      </w:r>
      <w:r>
        <w:br/>
      </w:r>
      <w:r>
        <w:rPr>
          <w:rFonts w:ascii="Consolas" w:hAnsi="Consolas" w:eastAsia="Consolas"/>
          <w:sz w:val="13"/>
        </w:rPr>
        <w:t xml:space="preserve"> Arsenik Anorganik ditambah          • ACGIH BEI (2023/2026):           Akhir gilir kerja pada akhir</w:t>
      </w:r>
      <w:r>
        <w:br/>
      </w:r>
      <w:r>
        <w:rPr>
          <w:rFonts w:ascii="Consolas" w:hAnsi="Consolas" w:eastAsia="Consolas"/>
          <w:sz w:val="13"/>
        </w:rPr>
        <w:t xml:space="preserve"> Metabolit Termetilasi dalam Urin      15 µg/g kreatinin (Notasi Pop)   minggu kerja</w:t>
      </w:r>
      <w:r>
        <w:br/>
      </w:r>
      <w:r>
        <w:rPr>
          <w:rFonts w:ascii="Consolas" w:hAnsi="Consolas" w:eastAsia="Consolas"/>
          <w:sz w:val="13"/>
        </w:rPr>
        <w:t xml:space="preserve"> (Inorganic As + MMA + DMA)          • Permenaker 5/2018 (Lampiran 4):  (End of shift at end of workweek)</w:t>
      </w:r>
      <w:r>
        <w:br/>
      </w:r>
      <w:r>
        <w:rPr>
          <w:rFonts w:ascii="Consolas" w:hAnsi="Consolas" w:eastAsia="Consolas"/>
          <w:sz w:val="13"/>
        </w:rPr>
        <w:t xml:space="preserve">                                       35 µg/L (atau setara kreatinin)</w:t>
      </w:r>
    </w:p>
    <w:p>
      <w:pPr>
        <w:pStyle w:val="ListBullet"/>
        <w:spacing w:after="20"/>
      </w:pPr>
      <w:r>
        <w:rPr>
          <w:b/>
        </w:rPr>
        <w:t>Determinan Biologis Resmi:</w:t>
      </w:r>
    </w:p>
    <w:p>
      <w:pPr>
        <w:spacing w:after="80"/>
      </w:pPr>
      <w:r>
        <w:rPr>
          <w:b/>
        </w:rPr>
        <w:t>Arsenik anorganik ditambah metabolit termetilasi dalam urin (</w:t>
      </w:r>
      <w:r>
        <w:rPr>
          <w:b/>
          <w:i/>
        </w:rPr>
        <w:t>Inorganic arsenic plus methylated metabolites in urine</w:t>
      </w:r>
      <w:r>
        <w:rPr>
          <w:b/>
        </w:rPr>
        <w:t xml:space="preserve"> / Σ[iAs + MMA + DMA])</w:t>
      </w:r>
      <w:r>
        <w:rPr/>
        <w:t>.</w:t>
      </w:r>
    </w:p>
    <w:p>
      <w:pPr>
        <w:spacing w:after="80"/>
      </w:pPr>
      <w:r>
        <w:rPr>
          <w:i/>
        </w:rPr>
        <w:t xml:space="preserve">(Catatan Kritis: Determinasi ini </w:t>
      </w:r>
      <w:r>
        <w:rPr>
          <w:b/>
          <w:i/>
        </w:rPr>
        <w:t>mengecualikan galium arsenida dan gas arsi</w:t>
      </w:r>
      <w:r>
        <w:rPr/>
        <w:t>)*.</w:t>
      </w:r>
    </w:p>
    <w:p>
      <w:pPr>
        <w:pStyle w:val="ListBullet"/>
        <w:spacing w:after="20"/>
      </w:pPr>
      <w:r>
        <w:rPr>
          <w:b/>
        </w:rPr>
        <w:t>Nilai Baku BEI (ACGIH 2026 / Adopsi 2023):</w:t>
      </w:r>
    </w:p>
    <w:p>
      <w:pPr>
        <w:spacing w:after="80"/>
      </w:pPr>
      <w:r>
        <w:rPr>
          <w:b/>
        </w:rPr>
        <w:t>15 µg/g kreatinin</w:t>
      </w:r>
      <w:r>
        <w:rPr/>
        <w:t xml:space="preserve"> dengan </w:t>
      </w:r>
      <w:r>
        <w:rPr>
          <w:b/>
        </w:rPr>
        <w:t xml:space="preserve">notasi </w:t>
      </w:r>
      <w:r>
        <w:rPr>
          <w:b/>
          <w:i/>
        </w:rPr>
        <w:t>Pop</w:t>
      </w:r>
      <w:r>
        <w:rPr>
          <w:b/>
        </w:rPr>
        <w:t xml:space="preserve"> (</w:t>
      </w:r>
      <w:r>
        <w:rPr>
          <w:b/>
          <w:i/>
        </w:rPr>
        <w:t>Population-based</w:t>
      </w:r>
      <w:r>
        <w:rPr>
          <w:b/>
        </w:rPr>
        <w:t>)</w:t>
      </w:r>
      <w:r>
        <w:rPr/>
        <w:t>.</w:t>
      </w:r>
    </w:p>
    <w:p>
      <w:pPr>
        <w:spacing w:after="80"/>
      </w:pPr>
      <w:r>
        <w:rPr>
          <w:i/>
        </w:rPr>
        <w:t>(Nilai ini diturunkan untuk mendekati persentil atas populasi umum non-okupasi guna mencegah akumulasi internal toksikan karsinogenik)</w:t>
      </w:r>
      <w:r>
        <w:rPr/>
        <w:t>.</w:t>
      </w:r>
    </w:p>
    <w:p>
      <w:pPr>
        <w:pStyle w:val="ListBullet"/>
        <w:spacing w:after="20"/>
      </w:pPr>
      <w:r>
        <w:rPr>
          <w:b/>
        </w:rPr>
        <w:t>Nilai Baku IPB Permenaker No. 5 Tahun 2018 (Lampiran 4):</w:t>
      </w:r>
    </w:p>
    <w:p>
      <w:pPr>
        <w:spacing w:after="80"/>
      </w:pPr>
      <w:r>
        <w:rPr/>
        <w:t xml:space="preserve">Ditetapkan sebesar </w:t>
      </w:r>
      <w:r>
        <w:rPr>
          <w:b/>
        </w:rPr>
        <w:t>35 µg As/L</w:t>
      </w:r>
      <w:r>
        <w:rPr/>
        <w:t xml:space="preserve"> (atau setara </w:t>
      </w:r>
      <w:r>
        <w:rPr>
          <w:b/>
        </w:rPr>
        <w:t>35 µg/g kreatinin</w:t>
      </w:r>
      <w:r>
        <w:rPr/>
        <w:t xml:space="preserve"> berdasarkan standar ACGIH terdahulu).</w:t>
      </w:r>
    </w:p>
    <w:p>
      <w:pPr>
        <w:pStyle w:val="ListBullet"/>
        <w:spacing w:after="20"/>
      </w:pPr>
      <w:r>
        <w:rPr>
          <w:b/>
        </w:rPr>
        <w:t>Waktu Pengambilan Sampel (</w:t>
      </w:r>
      <w:r>
        <w:rPr>
          <w:b/>
          <w:i/>
        </w:rPr>
        <w:t>Sampling Time</w:t>
      </w:r>
      <w:r>
        <w:rPr>
          <w:b/>
        </w:rPr>
        <w:t>):</w:t>
      </w:r>
    </w:p>
    <w:p>
      <w:pPr>
        <w:spacing w:after="80"/>
      </w:pPr>
      <w:r>
        <w:rPr>
          <w:b/>
        </w:rPr>
        <w:t>Akhir gilir kerja di akhir minggu kerja (</w:t>
      </w:r>
      <w:r>
        <w:rPr>
          <w:b/>
          <w:i/>
        </w:rPr>
        <w:t>End of shift at end of workweek</w:t>
      </w:r>
      <w:r>
        <w:rPr>
          <w:b/>
        </w:rPr>
        <w:t>)</w:t>
      </w:r>
      <w:r>
        <w:rPr/>
        <w:t>.</w:t>
      </w:r>
    </w:p>
    <w:p>
      <w:pPr>
        <w:pStyle w:val="ListBullet2"/>
        <w:spacing w:after="20"/>
      </w:pPr>
      <w:r>
        <w:rPr>
          <w:i/>
        </w:rPr>
        <w:t>Rasional Toksikokinetik Okupasi:</w:t>
      </w:r>
      <w:r>
        <w:rPr/>
        <w:t xml:space="preserve"> Pengambilan sampel dilakukan setelah minimal </w:t>
      </w:r>
      <w:r>
        <w:rPr>
          <w:b/>
        </w:rPr>
        <w:t>4 atau 5 hari kerja berturut-turut dengan pajanan</w:t>
      </w:r>
      <w:r>
        <w:rPr/>
        <w:t>. Waktu paruh ekskresi urin fraksi MMA dan DMA adalah sekitar 20–40 jam, sehingga sampling di akhir minggu kerja mencerminkan akumulasi beban kerja mingguan yang stabil (</w:t>
      </w:r>
      <w:r>
        <w:rPr>
          <w:i/>
        </w:rPr>
        <w:t>steady-state weekly accumulation</w:t>
      </w:r>
      <w:r>
        <w:rPr/>
        <w:t>).</w:t>
      </w:r>
    </w:p>
    <w:p>
      <w:pPr>
        <w:pStyle w:val="ListBullet"/>
        <w:spacing w:after="20"/>
      </w:pPr>
      <w:r>
        <w:rPr>
          <w:b/>
        </w:rPr>
        <w:t>Syarat Mutlak Pra-Analitik:</w:t>
      </w:r>
      <w:r>
        <w:rPr/>
        <w:t xml:space="preserve"> Pekerja </w:t>
      </w:r>
      <w:r>
        <w:rPr>
          <w:b/>
        </w:rPr>
        <w:t>wajib berpuasa / berpantang makan segala hidangan laut (</w:t>
      </w:r>
      <w:r>
        <w:rPr>
          <w:b/>
          <w:i/>
        </w:rPr>
        <w:t>seafood abstinence</w:t>
      </w:r>
      <w:r>
        <w:rPr>
          <w:b/>
        </w:rPr>
        <w:t>) selama minimal 48–72 jam</w:t>
      </w:r>
      <w:r>
        <w:rPr/>
        <w:t xml:space="preserve"> sebelum sampel urin ditampung, untuk mencegah distorsi positif palsu dari </w:t>
      </w:r>
      <w:r>
        <w:rPr>
          <w:i/>
        </w:rPr>
        <w:t>arsenobetaine</w:t>
      </w:r>
      <w:r>
        <w:rPr/>
        <w:t>.</w:t>
      </w:r>
    </w:p>
    <w:p>
      <w:pPr>
        <w:pStyle w:val="Heading3"/>
      </w:pPr>
      <w:r>
        <w:t>3. Tatalaksana Akut, Keracunan, dan Terapi Kelasi</w:t>
      </w:r>
    </w:p>
    <w:p>
      <w:pPr>
        <w:spacing w:after="80"/>
      </w:pPr>
      <w:r>
        <w:rPr/>
        <w:t xml:space="preserve">Pendekatan terapi intoksikasi arsenik terbagi secara dikotomis: </w:t>
      </w:r>
      <w:r>
        <w:rPr>
          <w:b/>
        </w:rPr>
        <w:t>keracunan garam arsenik anorganik memerlukan terapi kelasi segera, sedangkan keracunan gas arsin menuntut tindakan resusitasi hematologi tanpa kelasi</w:t>
      </w:r>
      <w:r>
        <w:rPr/>
        <w:t>.</w:t>
      </w:r>
    </w:p>
    <w:p>
      <w:pPr>
        <w:spacing w:after="120"/>
        <w:ind w:left="170"/>
      </w:pPr>
      <w:r>
        <w:rPr>
          <w:rFonts w:ascii="Consolas" w:hAnsi="Consolas" w:eastAsia="Consolas"/>
          <w:sz w:val="13"/>
        </w:rPr>
        <w:t xml:space="preserve">                                [ ALGORITMA DIVERGENSI TERAPI AKUT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KERACUNAN GARAM ANORGANIK (As₂O₃) ]                                             [ KERACUNAN GAS ARSIN (AsH₃) ]</w:t>
      </w:r>
      <w:r>
        <w:br/>
      </w:r>
      <w:r>
        <w:rPr>
          <w:rFonts w:ascii="Consolas" w:hAnsi="Consolas" w:eastAsia="Consolas"/>
          <w:sz w:val="13"/>
        </w:rPr>
        <w:t>1. Resusitasi Cairan Agresif (Syok Distributif)                                   1. Hentikan Pajanan &amp; Oksigenasi Segera</w:t>
      </w:r>
      <w:r>
        <w:br/>
      </w:r>
      <w:r>
        <w:rPr>
          <w:rFonts w:ascii="Consolas" w:hAnsi="Consolas" w:eastAsia="Consolas"/>
          <w:sz w:val="13"/>
        </w:rPr>
        <w:t>2. Koreksi Elektrolit (K⁺, Mg²⁺) &amp; EKG Pantau QT                                  2. HIDRASI &amp; ALKALINISASI URIN:</w:t>
      </w:r>
      <w:r>
        <w:br/>
      </w:r>
      <w:r>
        <w:rPr>
          <w:rFonts w:ascii="Consolas" w:hAnsi="Consolas" w:eastAsia="Consolas"/>
          <w:sz w:val="13"/>
        </w:rPr>
        <w:t>3. TERAPI KELASI SEGERA:                                                             Target pH urin &gt; 7,5 &amp; diuresis 2–3 mL/kg/jam</w:t>
      </w:r>
      <w:r>
        <w:br/>
      </w:r>
      <w:r>
        <w:rPr>
          <w:rFonts w:ascii="Consolas" w:hAnsi="Consolas" w:eastAsia="Consolas"/>
          <w:sz w:val="13"/>
        </w:rPr>
        <w:t xml:space="preserve">   • Fase Awal / Kritis: BAL (Dimerkaprol) IM                                     3. TRANSFUSI TUKAR (EXCHANGE TRANSFUSION):</w:t>
      </w:r>
      <w:r>
        <w:br/>
      </w:r>
      <w:r>
        <w:rPr>
          <w:rFonts w:ascii="Consolas" w:hAnsi="Consolas" w:eastAsia="Consolas"/>
          <w:sz w:val="13"/>
        </w:rPr>
        <w:t xml:space="preserve">   • Pasien Stabil / Sadar: DMSA (Succimer) Oral                                     Indikasi Hb plasma &gt; 1,5 g/dL / hemolisis masif</w:t>
      </w:r>
      <w:r>
        <w:br/>
      </w:r>
      <w:r>
        <w:rPr>
          <w:rFonts w:ascii="Consolas" w:hAnsi="Consolas" w:eastAsia="Consolas"/>
          <w:sz w:val="13"/>
        </w:rPr>
        <w:t xml:space="preserve">   • Alternatif Parenteral: DMPS IV/Oral                                          4. HEMODIALISIS: Atasi ATN anurik &amp; hiperkalemia</w:t>
      </w:r>
      <w:r>
        <w:br/>
      </w:r>
      <w:r>
        <w:rPr>
          <w:rFonts w:ascii="Consolas" w:hAnsi="Consolas" w:eastAsia="Consolas"/>
          <w:sz w:val="13"/>
        </w:rPr>
        <w:t xml:space="preserve">                                                                                  5. KELASI TIDAK BERGUNA / KONTRAINDIKASI!</w:t>
      </w:r>
    </w:p>
    <w:p>
      <w:pPr>
        <w:pStyle w:val="Heading4"/>
      </w:pPr>
      <w:r>
        <w:t>a. Keracunan Akut Garam Arsenik Anorganik (misalnya As₂O₃)</w:t>
      </w:r>
    </w:p>
    <w:p>
      <w:pPr>
        <w:spacing w:after="40"/>
        <w:ind w:left="340" w:hanging="283"/>
      </w:pPr>
      <w:r>
        <w:rPr/>
        <w:t xml:space="preserve">1. </w:t>
      </w:r>
      <w:r>
        <w:rPr>
          <w:b/>
        </w:rPr>
        <w:t>Resusitasi Cairan dan Koreksi Hemodinamik Masif:</w:t>
      </w:r>
    </w:p>
    <w:p>
      <w:pPr>
        <w:pStyle w:val="ListBullet2"/>
        <w:spacing w:after="20"/>
      </w:pPr>
      <w:r>
        <w:rPr/>
        <w:t xml:space="preserve">Prioritas utama adalah </w:t>
      </w:r>
      <w:r>
        <w:rPr>
          <w:b/>
        </w:rPr>
        <w:t>resusitasi cairan intravena kristaloid agresif</w:t>
      </w:r>
      <w:r>
        <w:rPr/>
        <w:t>. Gastroenteritis cairan cucian beras memicu hipovolemia berat dan syok distributif.</w:t>
      </w:r>
    </w:p>
    <w:p>
      <w:pPr>
        <w:pStyle w:val="ListBullet2"/>
        <w:spacing w:after="20"/>
      </w:pPr>
      <w:r>
        <w:rPr/>
        <w:t>Pertahankan perfusi ginjal untuk mencegah nekrosis tubular akut sekunder akibat iskemia.</w:t>
      </w:r>
    </w:p>
    <w:p>
      <w:pPr>
        <w:spacing w:after="40"/>
        <w:ind w:left="340" w:hanging="283"/>
      </w:pPr>
      <w:r>
        <w:rPr/>
        <w:t xml:space="preserve">2. </w:t>
      </w:r>
      <w:r>
        <w:rPr>
          <w:b/>
        </w:rPr>
        <w:t>Pemantauan Elektrokardiografi (EKG) dan Koreksi Elektrolit:</w:t>
      </w:r>
    </w:p>
    <w:p>
      <w:pPr>
        <w:pStyle w:val="ListBullet2"/>
        <w:spacing w:after="20"/>
      </w:pPr>
      <w:r>
        <w:rPr/>
        <w:t>Arsenik menginduksi pemanjangan interval QT (</w:t>
      </w:r>
      <w:r>
        <w:rPr>
          <w:i/>
        </w:rPr>
        <w:t>QT prolongation</w:t>
      </w:r>
      <w:r>
        <w:rPr/>
        <w:t>).</w:t>
      </w:r>
    </w:p>
    <w:p>
      <w:pPr>
        <w:pStyle w:val="ListBullet2"/>
        <w:spacing w:after="20"/>
      </w:pPr>
      <w:r>
        <w:rPr/>
        <w:t xml:space="preserve">Wajib dilakukan </w:t>
      </w:r>
      <w:r>
        <w:rPr>
          <w:b/>
        </w:rPr>
        <w:t>pemantauan EKG kontinu di ICU</w:t>
      </w:r>
      <w:r>
        <w:rPr/>
        <w:t xml:space="preserve"> dan </w:t>
      </w:r>
      <w:r>
        <w:rPr>
          <w:b/>
        </w:rPr>
        <w:t>koreksi agresif kadar kalium serta magnesium serum</w:t>
      </w:r>
      <w:r>
        <w:rPr/>
        <w:t xml:space="preserve"> untuk mencegah degenerasi aritmia menjadi </w:t>
      </w:r>
      <w:r>
        <w:rPr>
          <w:b/>
        </w:rPr>
        <w:t>Torsades de Pointes</w:t>
      </w:r>
      <w:r>
        <w:rPr/>
        <w:t xml:space="preserve"> yang mematikan.</w:t>
      </w:r>
    </w:p>
    <w:p>
      <w:pPr>
        <w:spacing w:after="40"/>
        <w:ind w:left="340" w:hanging="283"/>
      </w:pPr>
      <w:r>
        <w:rPr/>
        <w:t xml:space="preserve">3. </w:t>
      </w:r>
      <w:r>
        <w:rPr>
          <w:b/>
        </w:rPr>
        <w:t>Protokol Terapi Kelasi Arsenik Anorganik:</w:t>
      </w:r>
    </w:p>
    <w:p>
      <w:pPr>
        <w:spacing w:after="80"/>
      </w:pPr>
      <w:r>
        <w:rPr/>
        <w:t>Kelasi harus diberikan sedini mungkin karena penundaan akan menurunkan efektivitasnya secara drastis:</w:t>
      </w:r>
    </w:p>
    <w:p>
      <w:pPr>
        <w:pStyle w:val="ListBullet2"/>
        <w:spacing w:after="20"/>
      </w:pPr>
      <w:r>
        <w:rPr>
          <w:b/>
        </w:rPr>
        <w:t>BAL (</w:t>
      </w:r>
      <w:r>
        <w:rPr>
          <w:b/>
          <w:i/>
        </w:rPr>
        <w:t>British Anti-Lewisite</w:t>
      </w:r>
      <w:r>
        <w:rPr>
          <w:b/>
        </w:rPr>
        <w:t xml:space="preserve"> / Dimerkaprol):</w:t>
      </w:r>
    </w:p>
    <w:p>
      <w:pPr>
        <w:pStyle w:val="ListBullet3"/>
        <w:spacing w:after="20"/>
      </w:pPr>
      <w:r>
        <w:rPr>
          <w:i/>
        </w:rPr>
        <w:t>Indikasi:</w:t>
      </w:r>
      <w:r>
        <w:rPr/>
        <w:t xml:space="preserve"> </w:t>
      </w:r>
      <w:r>
        <w:rPr>
          <w:b/>
        </w:rPr>
        <w:t>Pilihan lini pertama pada keracunan akut berat dengan instabilitas hemodinamik, penurunan kesadaran, atau pasien yang tidak dapat mentoleransi obat oral akibat muntah/diare hebat</w:t>
      </w:r>
      <w:r>
        <w:rPr/>
        <w:t>.</w:t>
      </w:r>
    </w:p>
    <w:p>
      <w:pPr>
        <w:pStyle w:val="ListBullet3"/>
        <w:spacing w:after="20"/>
      </w:pPr>
      <w:r>
        <w:rPr>
          <w:i/>
        </w:rPr>
        <w:t>Sediaan &amp; Rute:</w:t>
      </w:r>
      <w:r>
        <w:rPr/>
        <w:t xml:space="preserve"> Larutan dalam minyak kacang, diberikan melalui </w:t>
      </w:r>
      <w:r>
        <w:rPr>
          <w:b/>
        </w:rPr>
        <w:t>injeksi intramuskular (IM) dalam</w:t>
      </w:r>
      <w:r>
        <w:rPr/>
        <w:t>.</w:t>
      </w:r>
    </w:p>
    <w:p>
      <w:pPr>
        <w:pStyle w:val="ListBullet3"/>
        <w:spacing w:after="20"/>
      </w:pPr>
      <w:r>
        <w:rPr>
          <w:i/>
        </w:rPr>
        <w:t>Dosis Protokol:</w:t>
      </w:r>
      <w:r>
        <w:rPr/>
        <w:t xml:space="preserve"> 3–5 mg/kgBB IM setiap 4 jam selama 2 hari pertama; lalu setiap 6 jam pada hari ke-3 dan ke-4; kemudian setiap 12 jam hingga pasien stabil dan dapat ditransisikan ke kelator oral.</w:t>
      </w:r>
    </w:p>
    <w:p>
      <w:pPr>
        <w:pStyle w:val="ListBullet3"/>
        <w:spacing w:after="20"/>
      </w:pPr>
      <w:r>
        <w:rPr>
          <w:i/>
        </w:rPr>
        <w:t>Efek Samping:</w:t>
      </w:r>
      <w:r>
        <w:rPr/>
        <w:t xml:space="preserve"> Hipertensi transien, takikardia, nyeri kepala, lakrimasi, dan abses steril di lokasi suntikan.</w:t>
      </w:r>
    </w:p>
    <w:p>
      <w:pPr>
        <w:pStyle w:val="ListBullet2"/>
        <w:spacing w:after="20"/>
      </w:pPr>
      <w:r>
        <w:rPr>
          <w:b/>
        </w:rPr>
        <w:t>DMSA (</w:t>
      </w:r>
      <w:r>
        <w:rPr>
          <w:b/>
          <w:i/>
        </w:rPr>
        <w:t>meso-2,3-dimercaptosuccinic acid</w:t>
      </w:r>
      <w:r>
        <w:rPr>
          <w:b/>
        </w:rPr>
        <w:t xml:space="preserve"> / </w:t>
      </w:r>
      <w:r>
        <w:rPr>
          <w:b/>
          <w:i/>
        </w:rPr>
        <w:t>Succimer</w:t>
      </w:r>
      <w:r>
        <w:rPr>
          <w:b/>
        </w:rPr>
        <w:t>):</w:t>
      </w:r>
    </w:p>
    <w:p>
      <w:pPr>
        <w:pStyle w:val="ListBullet3"/>
        <w:spacing w:after="20"/>
      </w:pPr>
      <w:r>
        <w:rPr>
          <w:i/>
        </w:rPr>
        <w:t>Indikasi:</w:t>
      </w:r>
      <w:r>
        <w:rPr/>
        <w:t xml:space="preserve"> Pilihan utama pada </w:t>
      </w:r>
      <w:r>
        <w:rPr>
          <w:b/>
        </w:rPr>
        <w:t>keracunan derajat sedang yang sadar, atau sebagai terapi lanjutan setelah stabilisasi dengan BAL</w:t>
      </w:r>
      <w:r>
        <w:rPr/>
        <w:t>.</w:t>
      </w:r>
    </w:p>
    <w:p>
      <w:pPr>
        <w:pStyle w:val="ListBullet3"/>
        <w:spacing w:after="20"/>
      </w:pPr>
      <w:r>
        <w:rPr>
          <w:i/>
        </w:rPr>
        <w:t>Rute &amp; Dosis:</w:t>
      </w:r>
      <w:r>
        <w:rPr/>
        <w:t xml:space="preserve"> Per oral (PO), 10 mg/kgBB (atau 350 mg/m²) setiap 8 jam selama 5 hari, dilanjutkan setiap 12 jam selama 14 hari (total siklus 19 hari).</w:t>
      </w:r>
    </w:p>
    <w:p>
      <w:pPr>
        <w:pStyle w:val="ListBullet2"/>
        <w:spacing w:after="20"/>
      </w:pPr>
      <w:r>
        <w:rPr>
          <w:b/>
        </w:rPr>
        <w:t xml:space="preserve">DMPS (2,3-dimerkapto-1-propanasulfonat / </w:t>
      </w:r>
      <w:r>
        <w:rPr>
          <w:b/>
          <w:i/>
        </w:rPr>
        <w:t>Unithiol</w:t>
      </w:r>
      <w:r>
        <w:rPr>
          <w:b/>
        </w:rPr>
        <w:t>):</w:t>
      </w:r>
    </w:p>
    <w:p>
      <w:pPr>
        <w:pStyle w:val="ListBullet3"/>
        <w:spacing w:after="20"/>
      </w:pPr>
      <w:r>
        <w:rPr>
          <w:i/>
        </w:rPr>
        <w:t>Indikasi:</w:t>
      </w:r>
      <w:r>
        <w:rPr/>
        <w:t xml:space="preserve"> Kelator tiol larut air yang sangat poten, tersedia dalam bentuk IV maupun oral. Sangat efektif mengeliminasi arsenik anorganik dan metabolit termetilasi melalui urin. Dosis: 3–5 mg/kgBB IV setiap 4–6 jam pada fase akut.</w:t>
      </w:r>
    </w:p>
    <w:p>
      <w:pPr>
        <w:pStyle w:val="Heading4"/>
      </w:pPr>
      <w:r>
        <w:t>b. Tatalaksana Khusus Keracunan Gas Arsin (AsH₃)</w:t>
      </w:r>
    </w:p>
    <w:p>
      <w:pPr>
        <w:ind w:left="454"/>
      </w:pPr>
      <w:r>
        <w:rPr>
          <w:b/>
          <w:i/>
        </w:rPr>
        <w:t>Peringatan Kritis Dewan Penguji (</w:t>
      </w:r>
      <w:r>
        <w:rPr>
          <w:b/>
          <w:i/>
        </w:rPr>
        <w:t>Lethal Board Trap</w:t>
      </w:r>
      <w:r>
        <w:rPr>
          <w:b/>
          <w:i/>
        </w:rPr>
        <w:t>):</w:t>
      </w:r>
    </w:p>
    <w:p>
      <w:pPr>
        <w:ind w:left="454"/>
      </w:pPr>
      <w:r>
        <w:rPr>
          <w:b/>
          <w:i/>
        </w:rPr>
        <w:t>PADA KERACUNAN GAS ARSIN, TERAPI KELASI (BAL, DMSA, DMPS) TIDAK EFEKTIF / TIDAK BERGUNA DAN BUKAN MERUPAKAN TERAPI!</w:t>
      </w:r>
    </w:p>
    <w:p>
      <w:pPr>
        <w:pStyle w:val="ListBullet"/>
        <w:spacing w:after="20"/>
      </w:pPr>
      <w:r>
        <w:rPr>
          <w:b/>
        </w:rPr>
        <w:t>Rasional Mekanistik Kegagalan Kelasi:</w:t>
      </w:r>
    </w:p>
    <w:p>
      <w:pPr>
        <w:spacing w:after="40"/>
        <w:ind w:left="680" w:hanging="283"/>
      </w:pPr>
      <w:r>
        <w:rPr/>
        <w:t xml:space="preserve">1. Toksisitas arsin murni dipicu oleh </w:t>
      </w:r>
      <w:r>
        <w:rPr>
          <w:b/>
        </w:rPr>
        <w:t>lisis masif eritrosit akibat peroksidasi lipid membran</w:t>
      </w:r>
      <w:r>
        <w:rPr/>
        <w:t>, bukan oleh sirkulasi ion arsenik bebas.</w:t>
      </w:r>
    </w:p>
    <w:p>
      <w:pPr>
        <w:spacing w:after="40"/>
        <w:ind w:left="680" w:hanging="283"/>
      </w:pPr>
      <w:r>
        <w:rPr/>
        <w:t>2. Senyawa arsin telah berikatan secara ireversibel di dalam eritrosit dan memicu destruksi selular.</w:t>
      </w:r>
    </w:p>
    <w:p>
      <w:pPr>
        <w:spacing w:after="40"/>
        <w:ind w:left="680" w:hanging="283"/>
      </w:pPr>
      <w:r>
        <w:rPr/>
        <w:t xml:space="preserve">3. Kerusakan organ utama (gagal ginjal akut) timbul akibat </w:t>
      </w:r>
      <w:r>
        <w:rPr>
          <w:b/>
        </w:rPr>
        <w:t>badai presipitasi pigmen hemoglobin bebas di tubulus ginjal</w:t>
      </w:r>
      <w:r>
        <w:rPr/>
        <w:t>, bukan oleh ikatan arsenik pada parenkim ginjal.</w:t>
      </w:r>
    </w:p>
    <w:p>
      <w:pPr>
        <w:spacing w:after="40"/>
        <w:ind w:left="680" w:hanging="283"/>
      </w:pPr>
      <w:r>
        <w:rPr/>
        <w:t>4. Uji klinis dan pedoman kedokteran darurat ATSDR menegaskan bahwa pemberian kelator seperti BAL tidak mencegah hemolisis, tidak memulihkan sel darah merah yang hancur, dan tidak membersihkan kompleks hemoglobin-arsin di ginjal.</w:t>
      </w:r>
    </w:p>
    <w:p>
      <w:pPr>
        <w:pStyle w:val="ListBullet"/>
        <w:spacing w:after="20"/>
      </w:pPr>
      <w:r>
        <w:rPr>
          <w:b/>
        </w:rPr>
        <w:t>Pilar Terapi Definitif Keracunan Arsin:</w:t>
      </w:r>
    </w:p>
    <w:p>
      <w:pPr>
        <w:spacing w:after="40"/>
        <w:ind w:left="680" w:hanging="283"/>
      </w:pPr>
      <w:r>
        <w:rPr/>
        <w:t xml:space="preserve">1. </w:t>
      </w:r>
      <w:r>
        <w:rPr>
          <w:b/>
        </w:rPr>
        <w:t>Hidrasi Intravena Agresif dan Alkalinisasi Urin (</w:t>
      </w:r>
      <w:r>
        <w:rPr>
          <w:b/>
          <w:i/>
        </w:rPr>
        <w:t>Urinary Alkalinization</w:t>
      </w:r>
      <w:r>
        <w:rPr>
          <w:b/>
        </w:rPr>
        <w:t>):</w:t>
      </w:r>
    </w:p>
    <w:p>
      <w:pPr>
        <w:pStyle w:val="ListBullet3"/>
        <w:spacing w:after="20"/>
      </w:pPr>
      <w:r>
        <w:rPr/>
        <w:t xml:space="preserve">Segera pasang akses vena kaliber besar. Berikan cairan kristaloid (D5 dalam 0,25 normal salin) yang ditambahkan </w:t>
      </w:r>
      <w:r>
        <w:rPr>
          <w:b/>
        </w:rPr>
        <w:t>50 hingga 100 mEq Natrium Bikarbonat per liter</w:t>
      </w:r>
      <w:r>
        <w:rPr/>
        <w:t>.</w:t>
      </w:r>
    </w:p>
    <w:p>
      <w:pPr>
        <w:pStyle w:val="ListBullet3"/>
        <w:spacing w:after="20"/>
      </w:pPr>
      <w:r>
        <w:rPr>
          <w:i/>
        </w:rPr>
        <w:t>Target:</w:t>
      </w:r>
      <w:r>
        <w:rPr/>
        <w:t xml:space="preserve"> Pertahankan </w:t>
      </w:r>
      <w:r>
        <w:rPr>
          <w:b/>
        </w:rPr>
        <w:t>pH urin &gt; 7,5</w:t>
      </w:r>
      <w:r>
        <w:rPr/>
        <w:t xml:space="preserve"> dan </w:t>
      </w:r>
      <w:r>
        <w:rPr>
          <w:b/>
        </w:rPr>
        <w:t>diuresis aktif 2 hingga 3 mL/kg/jam</w:t>
      </w:r>
      <w:r>
        <w:rPr/>
        <w:t>.</w:t>
      </w:r>
    </w:p>
    <w:p>
      <w:pPr>
        <w:pStyle w:val="ListBullet3"/>
        <w:spacing w:after="20"/>
      </w:pPr>
      <w:r>
        <w:rPr>
          <w:i/>
        </w:rPr>
        <w:t>Tujuan Fisiologis:</w:t>
      </w:r>
      <w:r>
        <w:rPr/>
        <w:t xml:space="preserve"> Suasana basa mencegah presipitasi hemoglobin bebas menjadi kristal asam hematin yang menyumbat lumen tubulus ginjal.</w:t>
      </w:r>
    </w:p>
    <w:p>
      <w:pPr>
        <w:spacing w:after="40"/>
        <w:ind w:left="680" w:hanging="283"/>
      </w:pPr>
      <w:r>
        <w:rPr/>
        <w:t xml:space="preserve">2. </w:t>
      </w:r>
      <w:r>
        <w:rPr>
          <w:b/>
        </w:rPr>
        <w:t>Transfusi Tukar (</w:t>
      </w:r>
      <w:r>
        <w:rPr>
          <w:b/>
          <w:i/>
        </w:rPr>
        <w:t>Exchange Transfusion</w:t>
      </w:r>
      <w:r>
        <w:rPr>
          <w:b/>
        </w:rPr>
        <w:t>):</w:t>
      </w:r>
    </w:p>
    <w:p>
      <w:pPr>
        <w:pStyle w:val="ListBullet3"/>
        <w:spacing w:after="20"/>
      </w:pPr>
      <w:r>
        <w:rPr/>
        <w:t xml:space="preserve">Merupakan </w:t>
      </w:r>
      <w:r>
        <w:rPr>
          <w:b/>
        </w:rPr>
        <w:t>terapi penyelamat jiwa lini pertama (</w:t>
      </w:r>
      <w:r>
        <w:rPr>
          <w:b/>
          <w:i/>
        </w:rPr>
        <w:t>life-saving first-line therapy</w:t>
      </w:r>
      <w:r>
        <w:rPr>
          <w:b/>
        </w:rPr>
        <w:t>)</w:t>
      </w:r>
      <w:r>
        <w:rPr/>
        <w:t xml:space="preserve"> pada keracunan arsin dengan hemolisis signifikan.</w:t>
      </w:r>
    </w:p>
    <w:p>
      <w:pPr>
        <w:pStyle w:val="ListBullet3"/>
        <w:spacing w:after="20"/>
      </w:pPr>
      <w:r>
        <w:rPr>
          <w:i/>
        </w:rPr>
        <w:t>Indikasi:</w:t>
      </w:r>
      <w:r>
        <w:rPr/>
        <w:t xml:space="preserve"> Kadar hemoglobin bebas plasma </w:t>
      </w:r>
      <w:r>
        <w:rPr>
          <w:b/>
        </w:rPr>
        <w:t>&gt; 1,5 g/dL</w:t>
      </w:r>
      <w:r>
        <w:rPr/>
        <w:t>, oliguria mendadak, penurunan hematokrit cepat, atau tanda klinis hemolisis masif.</w:t>
      </w:r>
    </w:p>
    <w:p>
      <w:pPr>
        <w:pStyle w:val="ListBullet3"/>
        <w:spacing w:after="20"/>
      </w:pPr>
      <w:r>
        <w:rPr>
          <w:i/>
        </w:rPr>
        <w:t>Manfaat Ganda:</w:t>
      </w:r>
      <w:r>
        <w:rPr/>
        <w:t xml:space="preserve"> Membuang sisa kompleks arsin-eritrosit yang rusak, membersihkan muatan masif hemoglobin bebas dari sirkulasi vaskular sebelum terfiltrasi ke ginjal, serta mengganti kapasitas angkut oksigen jaringan dengan eritrosit donor yang utuh.</w:t>
      </w:r>
    </w:p>
    <w:p>
      <w:pPr>
        <w:spacing w:after="40"/>
        <w:ind w:left="680" w:hanging="283"/>
      </w:pPr>
      <w:r>
        <w:rPr/>
        <w:t xml:space="preserve">3. </w:t>
      </w:r>
      <w:r>
        <w:rPr>
          <w:b/>
        </w:rPr>
        <w:t>Hemodialisis Segera:</w:t>
      </w:r>
    </w:p>
    <w:p>
      <w:pPr>
        <w:pStyle w:val="ListBullet3"/>
        <w:spacing w:after="20"/>
      </w:pPr>
      <w:r>
        <w:rPr/>
        <w:t>Diindikasikan bila pasien masuk dalam fase gagal ginjal akut anurik/oligurik, timbul hiperkalemia refrakter (akibat pelepasan kalium intraseluler pasca-hemolisis masif), asidosis metabolik berat, atau kelebihan beban cairan (</w:t>
      </w:r>
      <w:r>
        <w:rPr>
          <w:i/>
        </w:rPr>
        <w:t>fluid overload</w:t>
      </w:r>
      <w:r>
        <w:rPr/>
        <w:t>).</w:t>
      </w:r>
    </w:p>
    <w:p>
      <w:pPr>
        <w:pStyle w:val="ListBullet3"/>
        <w:spacing w:after="20"/>
      </w:pPr>
      <w:r>
        <w:rPr>
          <w:i/>
        </w:rPr>
        <w:t>Catatan:</w:t>
      </w:r>
      <w:r>
        <w:rPr/>
        <w:t xml:space="preserve"> Hemodialisis menyokong fungsi ginjal pasien hingga epitel tubulus mengalami regenerasi, namun dialisis sendiri tidak dapat membersihkan silinder hemoglobin yang terlanjur membeku di tubulus.</w:t>
      </w:r>
    </w:p>
    <w:p>
      <w:pPr>
        <w:pStyle w:val="Heading3"/>
      </w:pPr>
      <w:r>
        <w:t>4. Tatalaksana Okupasi: Individu dan Komunitas</w:t>
      </w:r>
    </w:p>
    <w:p>
      <w:pPr>
        <w:spacing w:after="80"/>
      </w:pPr>
      <w:r>
        <w:rPr/>
        <w:t>Sebagai calon spesialis, Anda wajib menguasai integrasi aspek klinis dengan instrumen hukum ketenagakerjaan:</w:t>
      </w:r>
    </w:p>
    <w:p>
      <w:pPr>
        <w:spacing w:after="120"/>
        <w:ind w:left="170"/>
      </w:pPr>
      <w:r>
        <w:rPr>
          <w:rFonts w:ascii="Consolas" w:hAnsi="Consolas" w:eastAsia="Consolas"/>
          <w:sz w:val="13"/>
        </w:rPr>
        <w:t xml:space="preserve">                      [ MANAJEMEN OKUPASI KOMPREHENSIF ARSENIK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[ 7 LANGKAH PERMENKES 11/2022 ]    [ KELAIKAN KERJA (FITNESS) ]      [ HIERARKI KONTROL INDUSTRI ]</w:t>
      </w:r>
      <w:r>
        <w:br/>
      </w:r>
      <w:r>
        <w:rPr>
          <w:rFonts w:ascii="Consolas" w:hAnsi="Consolas" w:eastAsia="Consolas"/>
          <w:sz w:val="13"/>
        </w:rPr>
        <w:t>1. Diagnosis Klinis (ICD-10)       • Fit: Normal &amp; terkendali        • Eliminasi: Hapus pengawet CCA</w:t>
      </w:r>
      <w:r>
        <w:br/>
      </w:r>
      <w:r>
        <w:rPr>
          <w:rFonts w:ascii="Consolas" w:hAnsi="Consolas" w:eastAsia="Consolas"/>
          <w:sz w:val="13"/>
        </w:rPr>
        <w:t>2. Identifikasi Pajanan Lapangan   • Fit with Restriction:           • Substitusi: Gas dopan non-arsin</w:t>
      </w:r>
      <w:r>
        <w:br/>
      </w:r>
      <w:r>
        <w:rPr>
          <w:rFonts w:ascii="Consolas" w:hAnsi="Consolas" w:eastAsia="Consolas"/>
          <w:sz w:val="13"/>
        </w:rPr>
        <w:t>3. Hubungan Kausal Ilmiah (IARC 1)   Hindari area uap/debu As        • Rekayasa: Sistem vakum tertutup</w:t>
      </w:r>
      <w:r>
        <w:br/>
      </w:r>
      <w:r>
        <w:rPr>
          <w:rFonts w:ascii="Consolas" w:hAnsi="Consolas" w:eastAsia="Consolas"/>
          <w:sz w:val="13"/>
        </w:rPr>
        <w:t>4. Besaran Dosis (NAB &amp; BEI)       • Temporary Unfit: Urin &gt; BEI,      LEV HEPA filter, detektor gas</w:t>
      </w:r>
      <w:r>
        <w:br/>
      </w:r>
      <w:r>
        <w:rPr>
          <w:rFonts w:ascii="Consolas" w:hAnsi="Consolas" w:eastAsia="Consolas"/>
          <w:sz w:val="13"/>
        </w:rPr>
        <w:t>5. Faktor Host / Genetik AS3MT       lesi aktif, kelasi berjalan     • APD: Respirator P100 / SAR</w:t>
      </w:r>
      <w:r>
        <w:br/>
      </w:r>
      <w:r>
        <w:rPr>
          <w:rFonts w:ascii="Consolas" w:hAnsi="Consolas" w:eastAsia="Consolas"/>
          <w:sz w:val="13"/>
        </w:rPr>
        <w:t>6. Faktor Luar (Air sumur, Rokok)  • Unfit (Permanent): Karsinoma,   • Surveilans: Inspeksi kulit,</w:t>
      </w:r>
      <w:r>
        <w:br/>
      </w:r>
      <w:r>
        <w:rPr>
          <w:rFonts w:ascii="Consolas" w:hAnsi="Consolas" w:eastAsia="Consolas"/>
          <w:sz w:val="13"/>
        </w:rPr>
        <w:t>7. KESIMPULAN DIAGNOSIS PAK          foot drop bilateral, ESRD         uji kuku Mees, BEI urin berkala</w:t>
      </w:r>
    </w:p>
    <w:p>
      <w:pPr>
        <w:pStyle w:val="Heading4"/>
      </w:pPr>
      <w:r>
        <w:t>a. Penerapan 7 Langkah Diagnosis PAK (Permenkes No. 11 Tahun 2022)</w:t>
      </w:r>
    </w:p>
    <w:p>
      <w:pPr>
        <w:spacing w:after="80"/>
      </w:pPr>
      <w:r>
        <w:rPr/>
        <w:t>Kasus: Pekerja industri peleburan tembaga (</w:t>
      </w:r>
      <w:r>
        <w:rPr>
          <w:i/>
        </w:rPr>
        <w:t>copper smelter</w:t>
      </w:r>
      <w:r>
        <w:rPr/>
        <w:t>) atau teknisi semikonduktor dengan keluhan neuropati perifer atau lesi kulit hiperkeratotik:</w:t>
      </w:r>
    </w:p>
    <w:p>
      <w:pPr>
        <w:spacing w:after="40"/>
        <w:ind w:left="340" w:hanging="283"/>
      </w:pPr>
      <w:r>
        <w:rPr/>
        <w:t xml:space="preserve">1. </w:t>
      </w:r>
      <w:r>
        <w:rPr>
          <w:b/>
        </w:rPr>
        <w:t>Langkah 1 (Diagnosis Klinis):</w:t>
      </w:r>
    </w:p>
    <w:p>
      <w:pPr>
        <w:spacing w:after="80"/>
      </w:pPr>
      <w:r>
        <w:rPr>
          <w:i/>
        </w:rPr>
        <w:t>Toxic polyneuropathy due to arsenic</w:t>
      </w:r>
      <w:r>
        <w:rPr/>
        <w:t xml:space="preserve"> (ICD-10: G62.2), </w:t>
      </w:r>
      <w:r>
        <w:rPr>
          <w:i/>
        </w:rPr>
        <w:t>Arsenical palmar-plantar hyperkeratosis</w:t>
      </w:r>
      <w:r>
        <w:rPr/>
        <w:t xml:space="preserve"> (L85.1), </w:t>
      </w:r>
      <w:r>
        <w:rPr>
          <w:i/>
        </w:rPr>
        <w:t>Carcinoma in situ / Bowen's disease</w:t>
      </w:r>
      <w:r>
        <w:rPr/>
        <w:t xml:space="preserve"> (D09.0), atau </w:t>
      </w:r>
      <w:r>
        <w:rPr>
          <w:i/>
        </w:rPr>
        <w:t>Bronchogenic carcinoma</w:t>
      </w:r>
      <w:r>
        <w:rPr/>
        <w:t xml:space="preserve"> (C34).</w:t>
      </w:r>
    </w:p>
    <w:p>
      <w:pPr>
        <w:spacing w:after="40"/>
        <w:ind w:left="340" w:hanging="283"/>
      </w:pPr>
      <w:r>
        <w:rPr/>
        <w:t xml:space="preserve">2. </w:t>
      </w:r>
      <w:r>
        <w:rPr>
          <w:b/>
        </w:rPr>
        <w:t>Langkah 2 (Pajanan di Tempat Kerja):</w:t>
      </w:r>
    </w:p>
    <w:p>
      <w:pPr>
        <w:spacing w:after="80"/>
      </w:pPr>
      <w:r>
        <w:rPr/>
        <w:t>Pekerja terpajan debu arsenik trioksida cerobong (</w:t>
      </w:r>
      <w:r>
        <w:rPr>
          <w:i/>
        </w:rPr>
        <w:t>flue dust</w:t>
      </w:r>
      <w:r>
        <w:rPr/>
        <w:t>) saat peleburan bijih tembaga, atau terpajan aerosol residu galium arsenida tanpa sungkup hisap.</w:t>
      </w:r>
    </w:p>
    <w:p>
      <w:pPr>
        <w:spacing w:after="40"/>
        <w:ind w:left="340" w:hanging="283"/>
      </w:pPr>
      <w:r>
        <w:rPr/>
        <w:t xml:space="preserve">3. </w:t>
      </w:r>
      <w:r>
        <w:rPr>
          <w:b/>
        </w:rPr>
        <w:t>Langkah 3 (Hubungan Kausalitas Pajanan dan Klinis):</w:t>
      </w:r>
    </w:p>
    <w:p>
      <w:pPr>
        <w:spacing w:after="80"/>
      </w:pPr>
      <w:r>
        <w:rPr/>
        <w:t>Secara biologis dan toksikologis terbukti kuat (IARC Monograph 100C Grup 1): arsenit menghambat enzim tiol PDH, memicu degenerasi aksonal saraf perifer; metabolit termetilasi (MMA^(III) dan DMA^(III)) menghambat enzim perbaikan DNA PARP-1 memicu lesi hiperkeratosis dan karsinogenesis.</w:t>
      </w:r>
    </w:p>
    <w:p>
      <w:pPr>
        <w:spacing w:after="40"/>
        <w:ind w:left="340" w:hanging="283"/>
      </w:pPr>
      <w:r>
        <w:rPr/>
        <w:t xml:space="preserve">4. </w:t>
      </w:r>
      <w:r>
        <w:rPr>
          <w:b/>
        </w:rPr>
        <w:t>Langkah 4 (Besarnya Dosis Pajanan):</w:t>
      </w:r>
    </w:p>
    <w:p>
      <w:pPr>
        <w:spacing w:after="80"/>
      </w:pPr>
      <w:r>
        <w:rPr/>
        <w:t>Konsentrasi arsenik di udara kerja melampaui NAB Permenaker 5/2018 (&gt; 0,01 mg/m³); kadar metabolit arsenik urin melampaui IPB (&gt; 15 µg/g kreatinin); masa kerja &gt; 5 tahun; penggunaan masker debu biasa (bukan respirator kimia efisiensi tinggi).</w:t>
      </w:r>
    </w:p>
    <w:p>
      <w:pPr>
        <w:spacing w:after="40"/>
        <w:ind w:left="340" w:hanging="283"/>
      </w:pPr>
      <w:r>
        <w:rPr/>
        <w:t xml:space="preserve">5. </w:t>
      </w:r>
      <w:r>
        <w:rPr>
          <w:b/>
        </w:rPr>
        <w:t>Langkah 5 (Faktor Kerentanan Individu):</w:t>
      </w:r>
    </w:p>
    <w:p>
      <w:pPr>
        <w:spacing w:after="80"/>
      </w:pPr>
      <w:r>
        <w:rPr/>
        <w:t xml:space="preserve">Evaluasi polimorfisme genetik enzim </w:t>
      </w:r>
      <w:r>
        <w:rPr>
          <w:b/>
        </w:rPr>
        <w:t>AS3MT</w:t>
      </w:r>
      <w:r>
        <w:rPr/>
        <w:t xml:space="preserve"> (yang menghasilkan rasio MMA/DMA urin tinggi dengan risiko sitotoksisitas lebih besar), status gizi rendah protein/metionin, dan komorbiditas vaskular.</w:t>
      </w:r>
    </w:p>
    <w:p>
      <w:pPr>
        <w:spacing w:after="40"/>
        <w:ind w:left="340" w:hanging="283"/>
      </w:pPr>
      <w:r>
        <w:rPr/>
        <w:t xml:space="preserve">6. </w:t>
      </w:r>
      <w:r>
        <w:rPr>
          <w:b/>
        </w:rPr>
        <w:t>Langkah 6 (Faktor di Luar Tempat Kerja):</w:t>
      </w:r>
    </w:p>
    <w:p>
      <w:pPr>
        <w:spacing w:after="80"/>
      </w:pPr>
      <w:r>
        <w:rPr/>
        <w:t>Evaluasi sumber air minum rumah tangga (menyingkirkan air sumur bor yang tercemar arsenik geogenik alami) dan kebiasaan merokok (faktor perancu karsinoma paru).</w:t>
      </w:r>
    </w:p>
    <w:p>
      <w:pPr>
        <w:spacing w:after="40"/>
        <w:ind w:left="340" w:hanging="283"/>
      </w:pPr>
      <w:r>
        <w:rPr/>
        <w:t xml:space="preserve">7. </w:t>
      </w:r>
      <w:r>
        <w:rPr>
          <w:b/>
        </w:rPr>
        <w:t>Langkah 7 (Kesimpulan Diagnosis Okupasi):</w:t>
      </w:r>
    </w:p>
    <w:p>
      <w:pPr>
        <w:spacing w:after="80"/>
      </w:pPr>
      <w:r>
        <w:rPr/>
        <w:t xml:space="preserve">Ditegakkan secara sah sebagai </w:t>
      </w:r>
      <w:r>
        <w:rPr>
          <w:b/>
        </w:rPr>
        <w:t>Penyakit Akibat Kerja (PAK)</w:t>
      </w:r>
      <w:r>
        <w:rPr/>
        <w:t xml:space="preserve"> berdasarkan </w:t>
      </w:r>
      <w:r>
        <w:rPr>
          <w:b/>
        </w:rPr>
        <w:t>Perpres No. 7 Tahun 2019</w:t>
      </w:r>
      <w:r>
        <w:rPr/>
        <w:t>:</w:t>
      </w:r>
    </w:p>
    <w:p>
      <w:pPr>
        <w:pStyle w:val="ListBullet2"/>
        <w:spacing w:after="20"/>
      </w:pPr>
      <w:r>
        <w:rPr/>
        <w:t>Jika neuropati/keratosis: Lampiran I.a Butir 6 ("Penyakit yang disebabkan oleh arsen atau persenyawaannya").</w:t>
      </w:r>
    </w:p>
    <w:p>
      <w:pPr>
        <w:pStyle w:val="ListBullet2"/>
        <w:spacing w:after="20"/>
      </w:pPr>
      <w:r>
        <w:rPr/>
        <w:t>Jika kanker paru/kandung kemih/kulit: Lampiran III Butir 15 ("Arsen dan persenyawaannya").</w:t>
      </w:r>
    </w:p>
    <w:p>
      <w:pPr>
        <w:pStyle w:val="ListBullet2"/>
        <w:spacing w:after="20"/>
      </w:pPr>
      <w:r>
        <w:rPr/>
        <w:t>Pekerja berhak mendapatkan kompensasi jaminan perawatan dan kecacatan dari program JKK.</w:t>
      </w:r>
    </w:p>
    <w:p>
      <w:pPr>
        <w:pStyle w:val="Heading4"/>
      </w:pPr>
      <w:r>
        <w:t>b. Penilaian Kelaikan Kerja (Fitness for Work)</w:t>
      </w:r>
    </w:p>
    <w:p>
      <w:pPr>
        <w:pStyle w:val="ListBullet"/>
        <w:spacing w:after="20"/>
      </w:pPr>
      <w:r>
        <w:rPr>
          <w:b/>
        </w:rPr>
        <w:t>Fit (Laik Kerja Penuh):</w:t>
      </w:r>
      <w:r>
        <w:rPr/>
        <w:t xml:space="preserve"> Pekerja sehat tanpa gejala neurologis/kulit, fungsi ginjal normal, hasil urin spesiasi &lt; 15 µg/g kreatinin, dan lingkungan kerja terbukti memenuhi NAB.</w:t>
      </w:r>
    </w:p>
    <w:p>
      <w:pPr>
        <w:pStyle w:val="ListBullet"/>
        <w:spacing w:after="20"/>
      </w:pPr>
      <w:r>
        <w:rPr>
          <w:b/>
        </w:rPr>
        <w:t>Fit with Restriction (Laik Kerja dengan Pembatasan):</w:t>
      </w:r>
      <w:r>
        <w:rPr/>
        <w:t xml:space="preserve"> Pekerja dengan kadar urin mendekati BEI (10–15 µg/g kreatinin) tanpa defisit neurologis; </w:t>
      </w:r>
      <w:r>
        <w:rPr>
          <w:b/>
        </w:rPr>
        <w:t>dilarang bekerja di area pembakaran/pemanggangan suhu tinggi atau area transfer debu konsentrat</w:t>
      </w:r>
      <w:r>
        <w:rPr/>
        <w:t>; dipindahkan ke area pergudangan berventilasi baik hingga kadar urin normal.</w:t>
      </w:r>
    </w:p>
    <w:p>
      <w:pPr>
        <w:pStyle w:val="ListBullet"/>
        <w:spacing w:after="20"/>
      </w:pPr>
      <w:r>
        <w:rPr>
          <w:b/>
        </w:rPr>
        <w:t>Temporary Unfit (Tidak Laik Kerja Sementara):</w:t>
      </w:r>
    </w:p>
    <w:p>
      <w:pPr>
        <w:spacing w:after="80"/>
      </w:pPr>
      <w:r>
        <w:rPr/>
        <w:t xml:space="preserve">Pekerja dengan </w:t>
      </w:r>
      <w:r>
        <w:rPr>
          <w:b/>
        </w:rPr>
        <w:t>arsenik urin &gt; BEI</w:t>
      </w:r>
      <w:r>
        <w:rPr/>
        <w:t>, ATAU pekerja yang memperlihatkan lesi hiperkeratosis aktif, gejala neuropati perifer sensorik, atau dalam masa pengobatan kelasi.</w:t>
      </w:r>
    </w:p>
    <w:p>
      <w:pPr>
        <w:spacing w:after="80"/>
      </w:pPr>
      <w:r>
        <w:rPr>
          <w:i/>
        </w:rPr>
        <w:t>Tindakan Medis:</w:t>
      </w:r>
      <w:r>
        <w:rPr/>
        <w:t xml:space="preserve"> </w:t>
      </w:r>
      <w:r>
        <w:rPr>
          <w:b/>
        </w:rPr>
        <w:t>Wajib ditarik dari pajanan kerja (</w:t>
      </w:r>
      <w:r>
        <w:rPr>
          <w:b/>
          <w:i/>
        </w:rPr>
        <w:t>Medical Removal Protection</w:t>
      </w:r>
      <w:r>
        <w:rPr>
          <w:b/>
        </w:rPr>
        <w:t>)</w:t>
      </w:r>
      <w:r>
        <w:rPr/>
        <w:t>, diberikan terapi medis/kelasi, dan dievaluasi berkala hingga kadar urin normal dan gejala klinis pulih.</w:t>
      </w:r>
    </w:p>
    <w:p>
      <w:pPr>
        <w:pStyle w:val="ListBullet"/>
        <w:spacing w:after="20"/>
      </w:pPr>
      <w:r>
        <w:rPr>
          <w:b/>
        </w:rPr>
        <w:t>Unfit (Tidak Laik Kerja Permanen):</w:t>
      </w:r>
      <w:r>
        <w:rPr/>
        <w:t xml:space="preserve"> Pekerja yang terdiagnosis menderita karsinoma bronkogenik paru, karsinoma kandung kemih, gangren ekstremitas permanen, atau mengalami kelumpuhan motorik berat (</w:t>
      </w:r>
      <w:r>
        <w:rPr>
          <w:i/>
        </w:rPr>
        <w:t>bilateral drop foot</w:t>
      </w:r>
      <w:r>
        <w:rPr/>
        <w:t xml:space="preserve"> ireversibel). Direkomendasikan untuk terminasi pajanan permanen dan penetapan persentase kecacatan kerja JKK.</w:t>
      </w:r>
    </w:p>
    <w:p>
      <w:pPr>
        <w:pStyle w:val="Heading4"/>
      </w:pPr>
      <w:r>
        <w:t>c. Rekomendasi Manajemen dan Proteksi Komunitas</w:t>
      </w:r>
    </w:p>
    <w:p>
      <w:pPr>
        <w:spacing w:after="40"/>
        <w:ind w:left="340" w:hanging="283"/>
      </w:pPr>
      <w:r>
        <w:rPr/>
        <w:t xml:space="preserve">1. </w:t>
      </w:r>
      <w:r>
        <w:rPr>
          <w:b/>
        </w:rPr>
        <w:t>Hierarki Pengendalian Bahaya Kimiawi (Permenaker 5/2018 &amp; Kepmenaker 187/1999):</w:t>
      </w:r>
    </w:p>
    <w:p>
      <w:pPr>
        <w:pStyle w:val="ListBullet2"/>
        <w:spacing w:after="20"/>
      </w:pPr>
      <w:r>
        <w:rPr>
          <w:i/>
        </w:rPr>
        <w:t>Eliminasi:</w:t>
      </w:r>
      <w:r>
        <w:rPr/>
        <w:t xml:space="preserve"> Menghentikan penggunaan senyawa arsenik pengawet kayu CCA, menggantikannya dengan teknologi borat atau tembaga azol.</w:t>
      </w:r>
    </w:p>
    <w:p>
      <w:pPr>
        <w:pStyle w:val="ListBullet2"/>
        <w:spacing w:after="20"/>
      </w:pPr>
      <w:r>
        <w:rPr>
          <w:i/>
        </w:rPr>
        <w:t>Substitusi:</w:t>
      </w:r>
      <w:r>
        <w:rPr/>
        <w:t xml:space="preserve"> Mengganti gas dopan arsin dengan fosfin atau senyawa organoarsenik yang kurang volatil jika memungkinkan secara proses mikroelektronika.</w:t>
      </w:r>
    </w:p>
    <w:p>
      <w:pPr>
        <w:pStyle w:val="ListBullet2"/>
        <w:spacing w:after="20"/>
      </w:pPr>
      <w:r>
        <w:rPr>
          <w:i/>
        </w:rPr>
        <w:t>Rekayasa Teknis (*Engineering Controls</w:t>
      </w:r>
      <w:r>
        <w:rPr/>
        <w:t>):* Penutupan total sistem perapian (</w:t>
      </w:r>
      <w:r>
        <w:rPr>
          <w:i/>
        </w:rPr>
        <w:t>enclosed furnaces</w:t>
      </w:r>
      <w:r>
        <w:rPr/>
        <w:t>); pemasangan ventilasi hisap lokal (</w:t>
      </w:r>
      <w:r>
        <w:rPr>
          <w:i/>
        </w:rPr>
        <w:t>Local Exhaust Ventilation</w:t>
      </w:r>
      <w:r>
        <w:rPr/>
        <w:t xml:space="preserve"> / LEV) dengan </w:t>
      </w:r>
      <w:r>
        <w:rPr>
          <w:b/>
        </w:rPr>
        <w:t>sistem penyaring debu elektrostatis (</w:t>
      </w:r>
      <w:r>
        <w:rPr>
          <w:b/>
          <w:i/>
        </w:rPr>
        <w:t>electrostatic precipitator</w:t>
      </w:r>
      <w:r>
        <w:rPr>
          <w:b/>
        </w:rPr>
        <w:t>) dan filter HEPA partikulat tinggi</w:t>
      </w:r>
      <w:r>
        <w:rPr/>
        <w:t>; pemasangan sensor gas detektor kebocoran arsin otomatis dengan sistem alarm multi-titik.</w:t>
      </w:r>
    </w:p>
    <w:p>
      <w:pPr>
        <w:pStyle w:val="ListBullet2"/>
        <w:spacing w:after="20"/>
      </w:pPr>
      <w:r>
        <w:rPr>
          <w:i/>
        </w:rPr>
        <w:t>Pengendalian Administratif:</w:t>
      </w:r>
      <w:r>
        <w:rPr/>
        <w:t xml:space="preserve"> Pelatihan prosedur kerja aman, pembersihan debu menggunakan sistem vakum industri bersertifikasi (dilarang menyapu kering), larangan makan/minum/merokok di area operasional, penyediaan fasilitas mandi bilas dekontaminasi, dan rotasi kerja.</w:t>
      </w:r>
    </w:p>
    <w:p>
      <w:pPr>
        <w:pStyle w:val="ListBullet2"/>
        <w:spacing w:after="20"/>
      </w:pPr>
      <w:r>
        <w:rPr>
          <w:i/>
        </w:rPr>
        <w:t>Alat Pelindung Diri (APD):</w:t>
      </w:r>
      <w:r>
        <w:rPr/>
        <w:t xml:space="preserve"> Respirator pemurni udara bertenaga (</w:t>
      </w:r>
      <w:r>
        <w:rPr>
          <w:i/>
        </w:rPr>
        <w:t>Powered Air-Purifying Respirator</w:t>
      </w:r>
      <w:r>
        <w:rPr/>
        <w:t xml:space="preserve"> / PAPR) atau respirator pasokan udara (</w:t>
      </w:r>
      <w:r>
        <w:rPr>
          <w:i/>
        </w:rPr>
        <w:t>Supplied-Air Respirator</w:t>
      </w:r>
      <w:r>
        <w:rPr/>
        <w:t xml:space="preserve"> / SAR) bertekanan positif dengan kombinasi filter partikulat P100 dan uap kimia; pakaian pelindung kedap kimia Tyvek sekali pakai.</w:t>
      </w:r>
    </w:p>
    <w:p>
      <w:pPr>
        <w:spacing w:after="40"/>
        <w:ind w:left="340" w:hanging="283"/>
      </w:pPr>
      <w:r>
        <w:rPr/>
        <w:t xml:space="preserve">2. </w:t>
      </w:r>
      <w:r>
        <w:rPr>
          <w:b/>
        </w:rPr>
        <w:t>Surveilans Kesehatan Komprehensif:</w:t>
      </w:r>
    </w:p>
    <w:p>
      <w:pPr>
        <w:pStyle w:val="ListBullet2"/>
        <w:spacing w:after="20"/>
      </w:pPr>
      <w:r>
        <w:rPr/>
        <w:t>Pemeriksaan pra-kerja: Pemeriksaan dasar kondisi kulit seluruh tubuh, evaluasi neurologis saraf perifer (refleks achilles, tes sensorik vibrasi garputala), urinalisis, dan foto toraks.</w:t>
      </w:r>
    </w:p>
    <w:p>
      <w:pPr>
        <w:pStyle w:val="ListBullet2"/>
        <w:spacing w:after="20"/>
      </w:pPr>
      <w:r>
        <w:rPr/>
        <w:t xml:space="preserve">Pemeriksaan berkala (minimal 1 tahun sekali): Inspeksi ketat telapak tangan dan telapak kaki terhadap nodul hiperkeratosis atau perubahan pigmentasi, pemeriksaan lempeng kuku terhadap garis Mees, tes sensitivitas saraf tepi, uji fungsi paru/spirometri, serta </w:t>
      </w:r>
      <w:r>
        <w:rPr>
          <w:b/>
        </w:rPr>
        <w:t>biomonitoring kadar arsenik spesiasi urin akhir minggu kerja</w:t>
      </w:r>
      <w:r>
        <w:rPr/>
        <w:t>.</w:t>
      </w:r>
    </w:p>
    <w:p>
      <w:pPr>
        <w:pStyle w:val="Heading3"/>
      </w:pPr>
      <w:r>
        <w:t>5. Keterangan Lain: Karsinogenisitas IARC, Baku Mutu Air, dan Pengaruh Makanan Laut</w:t>
      </w:r>
    </w:p>
    <w:p>
      <w:pPr>
        <w:spacing w:after="120"/>
        <w:ind w:left="170"/>
      </w:pPr>
      <w:r>
        <w:rPr>
          <w:rFonts w:ascii="Consolas" w:hAnsi="Consolas" w:eastAsia="Consolas"/>
          <w:sz w:val="13"/>
        </w:rPr>
        <w:t xml:space="preserve">                     [ KATEGORI KARSINOGENISITAS IARC MONOGRAPH 100C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ARSENIK ANORGANIK &amp; AIR MINUM ]       [ METABOLIT METILASI ]               [ SENYAWA ORGANIK BAHARI ]</w:t>
      </w:r>
      <w:r>
        <w:br/>
      </w:r>
      <w:r>
        <w:rPr>
          <w:rFonts w:ascii="Consolas" w:hAnsi="Consolas" w:eastAsia="Consolas"/>
          <w:sz w:val="13"/>
        </w:rPr>
        <w:t>• IARC Grup 1 (Karsinogen Manusia)       • MMA &amp; DMA: IARC Grup 2B            • Arsenobetain &amp; Arsenokolin:</w:t>
      </w:r>
      <w:r>
        <w:br/>
      </w:r>
      <w:r>
        <w:rPr>
          <w:rFonts w:ascii="Consolas" w:hAnsi="Consolas" w:eastAsia="Consolas"/>
          <w:sz w:val="13"/>
        </w:rPr>
        <w:t>• Kanker Paru, Kulit, Kandung Kemih       (Possibly Carcinogenic to Humans)    IARC Grup 3 (Not Classifiable)</w:t>
      </w:r>
      <w:r>
        <w:br/>
      </w:r>
      <w:r>
        <w:rPr>
          <w:rFonts w:ascii="Consolas" w:hAnsi="Consolas" w:eastAsia="Consolas"/>
          <w:sz w:val="13"/>
        </w:rPr>
        <w:t>• Tidak ada ambang batas aman            • Bukti cukup pada hewan coba        • Stabil, diekskresi utuh, NON-TOKSIK</w:t>
      </w:r>
    </w:p>
    <w:p>
      <w:pPr>
        <w:pStyle w:val="Heading4"/>
      </w:pPr>
      <w:r>
        <w:t>a. Klasifikasi Karsinogenisitas IARC (Monograph Volume 100C)</w:t>
      </w:r>
    </w:p>
    <w:p>
      <w:pPr>
        <w:spacing w:after="80"/>
      </w:pPr>
      <w:r>
        <w:rPr/>
        <w:t>Berdasarkan tinjauan komprehensif monograf IARC 100C:</w:t>
      </w:r>
    </w:p>
    <w:p>
      <w:pPr>
        <w:pStyle w:val="ListBullet"/>
        <w:spacing w:after="20"/>
      </w:pPr>
      <w:r>
        <w:rPr>
          <w:b/>
        </w:rPr>
        <w:t>Arsenik dan Persenyawaan Arsenik Anorganik (</w:t>
      </w:r>
      <w:r>
        <w:rPr>
          <w:b/>
          <w:i/>
        </w:rPr>
        <w:t>Arsenic and inorganic arsenic compounds</w:t>
      </w:r>
      <w:r>
        <w:rPr>
          <w:b/>
        </w:rPr>
        <w:t>):</w:t>
      </w:r>
    </w:p>
    <w:p>
      <w:pPr>
        <w:pStyle w:val="ListBullet2"/>
        <w:spacing w:after="20"/>
      </w:pPr>
      <w:r>
        <w:rPr>
          <w:b/>
        </w:rPr>
        <w:t>IARC Grup 1 (</w:t>
      </w:r>
      <w:r>
        <w:rPr>
          <w:b/>
          <w:i/>
        </w:rPr>
        <w:t>Carcinogenic to humans</w:t>
      </w:r>
      <w:r>
        <w:rPr>
          <w:b/>
        </w:rPr>
        <w:t>)</w:t>
      </w:r>
      <w:r>
        <w:rPr/>
        <w:t>.</w:t>
      </w:r>
    </w:p>
    <w:p>
      <w:pPr>
        <w:pStyle w:val="ListBullet2"/>
        <w:spacing w:after="20"/>
      </w:pPr>
      <w:r>
        <w:rPr>
          <w:i/>
        </w:rPr>
        <w:t>Target Organ Keganasan:</w:t>
      </w:r>
      <w:r>
        <w:rPr/>
        <w:t xml:space="preserve"> Karsinoma Paru, Kanker Kulit (Karsinoma Sel Skuamosa dan Basal), serta Karsinoma Kandung Kemih. Hubungan positif juga teramati pada kanker ginjal, hati, dan prostat.</w:t>
      </w:r>
    </w:p>
    <w:p>
      <w:pPr>
        <w:pStyle w:val="ListBullet"/>
        <w:spacing w:after="20"/>
      </w:pPr>
      <w:r>
        <w:rPr>
          <w:b/>
        </w:rPr>
        <w:t>Arsenik dalam Air Minum (</w:t>
      </w:r>
      <w:r>
        <w:rPr>
          <w:b/>
          <w:i/>
        </w:rPr>
        <w:t>Arsenic in drinking-water</w:t>
      </w:r>
      <w:r>
        <w:rPr>
          <w:b/>
        </w:rPr>
        <w:t>):</w:t>
      </w:r>
    </w:p>
    <w:p>
      <w:pPr>
        <w:pStyle w:val="ListBullet2"/>
        <w:spacing w:after="20"/>
      </w:pPr>
      <w:r>
        <w:rPr>
          <w:b/>
        </w:rPr>
        <w:t>IARC Grup 1 (</w:t>
      </w:r>
      <w:r>
        <w:rPr>
          <w:b/>
          <w:i/>
        </w:rPr>
        <w:t>Carcinogenic to humans</w:t>
      </w:r>
      <w:r>
        <w:rPr>
          <w:b/>
        </w:rPr>
        <w:t>)</w:t>
      </w:r>
      <w:r>
        <w:rPr/>
        <w:t>.</w:t>
      </w:r>
    </w:p>
    <w:p>
      <w:pPr>
        <w:pStyle w:val="ListBullet"/>
        <w:spacing w:after="20"/>
      </w:pPr>
      <w:r>
        <w:rPr>
          <w:b/>
        </w:rPr>
        <w:t>Metabolit Termetilasi (MMA dan DMA / Asam Kakodilat):</w:t>
      </w:r>
    </w:p>
    <w:p>
      <w:pPr>
        <w:pStyle w:val="ListBullet2"/>
        <w:spacing w:after="20"/>
      </w:pPr>
      <w:r>
        <w:rPr>
          <w:b/>
        </w:rPr>
        <w:t>IARC Grup 2B (</w:t>
      </w:r>
      <w:r>
        <w:rPr>
          <w:b/>
          <w:i/>
        </w:rPr>
        <w:t>Possibly carcinogenic to humans</w:t>
      </w:r>
      <w:r>
        <w:rPr>
          <w:b/>
        </w:rPr>
        <w:t>)</w:t>
      </w:r>
      <w:r>
        <w:rPr/>
        <w:t>.</w:t>
      </w:r>
    </w:p>
    <w:p>
      <w:pPr>
        <w:pStyle w:val="ListBullet"/>
        <w:spacing w:after="20"/>
      </w:pPr>
      <w:r>
        <w:rPr>
          <w:b/>
        </w:rPr>
        <w:t>Arsenobetain dan Senyawa Organik Laut Lainnya yang Tidak Dimetabolisme:</w:t>
      </w:r>
    </w:p>
    <w:p>
      <w:pPr>
        <w:pStyle w:val="ListBullet2"/>
        <w:spacing w:after="20"/>
      </w:pPr>
      <w:r>
        <w:rPr>
          <w:b/>
        </w:rPr>
        <w:t>IARC Grup 3 (</w:t>
      </w:r>
      <w:r>
        <w:rPr>
          <w:b/>
          <w:i/>
        </w:rPr>
        <w:t>Not classifiable as to its carcinogenicity to humans</w:t>
      </w:r>
      <w:r>
        <w:rPr>
          <w:b/>
        </w:rPr>
        <w:t>)</w:t>
      </w:r>
      <w:r>
        <w:rPr/>
        <w:t>.</w:t>
      </w:r>
    </w:p>
    <w:p>
      <w:pPr>
        <w:pStyle w:val="Heading4"/>
      </w:pPr>
      <w:r>
        <w:t>b. Baku Mutu Standar Air Minum (WHO dan Regulasi Nasional)</w:t>
      </w:r>
    </w:p>
    <w:p>
      <w:pPr>
        <w:pStyle w:val="ListBullet"/>
        <w:spacing w:after="20"/>
      </w:pPr>
      <w:r>
        <w:rPr>
          <w:b/>
        </w:rPr>
        <w:t>Standar Baku Mutu Internasional (WHO Guidelines for Drinking-water Quality):</w:t>
      </w:r>
    </w:p>
    <w:p>
      <w:pPr>
        <w:spacing w:after="80"/>
      </w:pPr>
      <w:r>
        <w:rPr/>
        <w:t xml:space="preserve">Batas konsentrasi maksimum arsenik dalam air minum ditetapkan sebesar </w:t>
      </w:r>
      <w:r>
        <w:rPr>
          <w:b/>
        </w:rPr>
        <w:t>0,01 mg/L</w:t>
      </w:r>
      <w:r>
        <w:rPr/>
        <w:t xml:space="preserve"> (atau </w:t>
      </w:r>
      <w:r>
        <w:rPr>
          <w:b/>
        </w:rPr>
        <w:t>10 µg/L / 10 ppb</w:t>
      </w:r>
      <w:r>
        <w:rPr/>
        <w:t>). Batas ini merupakan nilai panduan sementara (</w:t>
      </w:r>
      <w:r>
        <w:rPr>
          <w:i/>
        </w:rPr>
        <w:t>provisional guideline value</w:t>
      </w:r>
      <w:r>
        <w:rPr/>
        <w:t>) berdasarkan kelayakan deteksi analitis laboratorium dan teknologi pengolahan air, meskipun risiko kanker teoritis tetap ada pada konsentrasi rendah.</w:t>
      </w:r>
    </w:p>
    <w:p>
      <w:pPr>
        <w:pStyle w:val="ListBullet"/>
        <w:spacing w:after="20"/>
      </w:pPr>
      <w:r>
        <w:rPr>
          <w:b/>
        </w:rPr>
        <w:t>Standar Regulasi Nasional Indonesia (Permenkes No. 2 Tahun 2023):</w:t>
      </w:r>
    </w:p>
    <w:p>
      <w:pPr>
        <w:spacing w:after="80"/>
      </w:pPr>
      <w:r>
        <w:rPr/>
        <w:t xml:space="preserve">Menetapkan Parameter Wajib Standar Baku Mutu Kesehatan Lingkungan untuk Media Air Minum dengan kadar maksimum arsenik sebesar </w:t>
      </w:r>
      <w:r>
        <w:rPr>
          <w:b/>
        </w:rPr>
        <w:t>0,01 mg/L</w:t>
      </w:r>
      <w:r>
        <w:rPr/>
        <w:t>. Konsumsi air tanah melebihi ambang ini secara bertahun-tahun merupakan penyebab utama timbulnya lesi arsenikosis dan Penyakit Kaki Hitam (</w:t>
      </w:r>
      <w:r>
        <w:rPr>
          <w:i/>
        </w:rPr>
        <w:t>Blackfoot disease</w:t>
      </w:r>
      <w:r>
        <w:rPr/>
        <w:t>) pada populasi pedesaan.</w:t>
      </w:r>
    </w:p>
    <w:p>
      <w:pPr>
        <w:pStyle w:val="Heading4"/>
      </w:pPr>
      <w:r>
        <w:t>c. Fenomena Interferensi Makanan Laut (Seafood / Arsenobetaine Interference)</w:t>
      </w:r>
    </w:p>
    <w:p>
      <w:pPr>
        <w:pStyle w:val="ListBullet"/>
        <w:spacing w:after="20"/>
      </w:pPr>
      <w:r>
        <w:rPr/>
        <w:t xml:space="preserve">Hewan laut (udang, kepiting, kerang-kerangan, ikan laut dalam) mengakumulasi arsenik dari rantai makanan fitoplankton dalam bentuk senyawa organometalik </w:t>
      </w:r>
      <w:r>
        <w:rPr>
          <w:b/>
        </w:rPr>
        <w:t>Arsenobetain (AsB / "fish arsenic")</w:t>
      </w:r>
      <w:r>
        <w:rPr/>
        <w:t>.</w:t>
      </w:r>
    </w:p>
    <w:p>
      <w:pPr>
        <w:pStyle w:val="ListBullet"/>
        <w:spacing w:after="20"/>
      </w:pPr>
      <w:r>
        <w:rPr/>
        <w:t xml:space="preserve">Struktur arsenobetain sangat stabil, tidak larut dalam lipid membran, tidak berinteraksi dengan gugus sulfhidril jaringan, tidak mengalami metabolisme atau metilasi di hepar manusia, dan </w:t>
      </w:r>
      <w:r>
        <w:rPr>
          <w:b/>
        </w:rPr>
        <w:t>diekskresikan 100% dalam bentuk utuh melalui filtrasi ginjal dalam waktu 24–48 jam tanpa efek toksik</w:t>
      </w:r>
      <w:r>
        <w:rPr/>
        <w:t>.</w:t>
      </w:r>
    </w:p>
    <w:p>
      <w:pPr>
        <w:pStyle w:val="ListBullet"/>
        <w:spacing w:after="20"/>
      </w:pPr>
      <w:r>
        <w:rPr>
          <w:i/>
        </w:rPr>
        <w:t>Distorsi Laboratorium:</w:t>
      </w:r>
      <w:r>
        <w:rPr/>
        <w:t xml:space="preserve"> Pengukuran arsenik urin tanpa metode spesiasi (</w:t>
      </w:r>
      <w:r>
        <w:rPr>
          <w:i/>
        </w:rPr>
        <w:t>Total Urinary Arsenic</w:t>
      </w:r>
      <w:r>
        <w:rPr/>
        <w:t>) akan membaca arsenobetain sebagai arsenik elemental, sehingga menghasilkan angka lonjakan semu yang dramatis (mencapai 500–2.000 µg/L). Hal ini kerap memicu salah diagnosis intoksikasi industri dan pemberian terapi kelasi yang tidak perlu.</w:t>
      </w:r>
    </w:p>
    <w:p>
      <w:pPr>
        <w:pStyle w:val="Heading3"/>
      </w:pPr>
      <w:r>
        <w:t>6. Clinical Pearls dan Jebakan Ujian Khusus Arsenik</w:t>
      </w:r>
    </w:p>
    <w:p>
      <w:pPr>
        <w:spacing w:after="80"/>
      </w:pPr>
      <w:r>
        <w:rPr/>
        <w:t>Dewan penguji ujian spesialis kerap menguji integrasi antara konsep laboratorium analitis dengan kegawatdaruratan klinis. Pahami jebakan-jebakan klasik berikut:</w:t>
      </w:r>
    </w:p>
    <w:p>
      <w:pPr>
        <w:spacing w:after="120"/>
        <w:ind w:left="170"/>
      </w:pPr>
      <w:r>
        <w:rPr>
          <w:rFonts w:ascii="Consolas" w:hAnsi="Consolas" w:eastAsia="Consolas"/>
          <w:sz w:val="13"/>
        </w:rPr>
        <w:t xml:space="preserve">                             [ JEBAKAN UJIAN DEWAN SPESIALIS ARSENIK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JEBAKAN 1: TERAPI ARSIN ]             [ JEBAKAN 2: KONTAMINASI SEAFOOD ]      [ JEBAKAN 3: GARIS MEES KUKU ]</w:t>
      </w:r>
      <w:r>
        <w:br/>
      </w:r>
      <w:r>
        <w:rPr>
          <w:rFonts w:ascii="Consolas" w:hAnsi="Consolas" w:eastAsia="Consolas"/>
          <w:sz w:val="13"/>
        </w:rPr>
        <w:t xml:space="preserve">  JANGAN PERNAH berikan kelasi            JANGAN PERIKSA Total As Urin!           Garis Mees TIDAK MUNCUL di IGD!</w:t>
      </w:r>
      <w:r>
        <w:br/>
      </w:r>
      <w:r>
        <w:rPr>
          <w:rFonts w:ascii="Consolas" w:hAnsi="Consolas" w:eastAsia="Consolas"/>
          <w:sz w:val="13"/>
        </w:rPr>
        <w:t xml:space="preserve">  pada keracunan gas arsin!               Pasien makan udang/ikan ──►             Garis putih transversal kuku</w:t>
      </w:r>
      <w:r>
        <w:br/>
      </w:r>
      <w:r>
        <w:rPr>
          <w:rFonts w:ascii="Consolas" w:hAnsi="Consolas" w:eastAsia="Consolas"/>
          <w:sz w:val="13"/>
        </w:rPr>
        <w:t xml:space="preserve">  Kelator TIDAK MENGOBATI hemolisis.      Total As urin melonjak ribuan µg/L      baru bermanifestasi klinis</w:t>
      </w:r>
      <w:r>
        <w:br/>
      </w:r>
      <w:r>
        <w:rPr>
          <w:rFonts w:ascii="Consolas" w:hAnsi="Consolas" w:eastAsia="Consolas"/>
          <w:sz w:val="13"/>
        </w:rPr>
        <w:t xml:space="preserve">  Pilihan mutlak:                         positif palsu. Wajib puasa seafood      2–6 MINGGU PASCA-KERACUNAN AKUT</w:t>
      </w:r>
      <w:r>
        <w:br/>
      </w:r>
      <w:r>
        <w:rPr>
          <w:rFonts w:ascii="Consolas" w:hAnsi="Consolas" w:eastAsia="Consolas"/>
          <w:sz w:val="13"/>
        </w:rPr>
        <w:t xml:space="preserve">  TRANSFUSI TUKAR + ALKALINISASI          48–72 jam &amp; uji SPESIASI (iAs+MMA+DMA). mengikuti pertumbuhan kuku.</w:t>
      </w:r>
    </w:p>
    <w:p>
      <w:pPr>
        <w:pStyle w:val="ListBullet"/>
        <w:spacing w:after="20"/>
      </w:pPr>
      <w:r>
        <w:rPr>
          <w:b/>
        </w:rPr>
        <w:t>Clinical Pearl 1: Trias Patognomonik Intoksikasi Gas Arsin (AsH₃)</w:t>
      </w:r>
    </w:p>
    <w:p>
      <w:pPr>
        <w:spacing w:after="80"/>
      </w:pPr>
      <w:r>
        <w:rPr/>
        <w:t xml:space="preserve">Hafalkan di luar kepala: Bila seorang pekerja semikonduktor atau pembersih tangki peleburan datang dengan riwayat menghirup gas berbau bawang putih, perhatikan trias khas: </w:t>
      </w:r>
      <w:r>
        <w:rPr>
          <w:b/>
        </w:rPr>
        <w:t>(1) Hemolisis intravaskular masif (anemia berat, pucat)</w:t>
      </w:r>
      <w:r>
        <w:rPr/>
        <w:t xml:space="preserve">, </w:t>
      </w:r>
      <w:r>
        <w:rPr>
          <w:b/>
        </w:rPr>
        <w:t>(2) Hemoglobinuria (urin hitam/kola)</w:t>
      </w:r>
      <w:r>
        <w:rPr/>
        <w:t xml:space="preserve">, dan </w:t>
      </w:r>
      <w:r>
        <w:rPr>
          <w:b/>
        </w:rPr>
        <w:t>(3) Gagal Ginjal Akut (ATN anuria)</w:t>
      </w:r>
      <w:r>
        <w:rPr/>
        <w:t>, yang disertai diskolorasi kulit tembaga (</w:t>
      </w:r>
      <w:r>
        <w:rPr>
          <w:i/>
        </w:rPr>
        <w:t>bronze skin</w:t>
      </w:r>
      <w:r>
        <w:rPr/>
        <w:t>).</w:t>
      </w:r>
    </w:p>
    <w:p>
      <w:pPr>
        <w:pStyle w:val="ListBullet"/>
        <w:spacing w:after="20"/>
      </w:pPr>
      <w:r>
        <w:rPr>
          <w:b/>
        </w:rPr>
        <w:t>Clinical Pearl 2: Mengapa Transfusi Tukar, Bukan Kelasi pada Arsin?</w:t>
      </w:r>
    </w:p>
    <w:p>
      <w:pPr>
        <w:spacing w:after="80"/>
      </w:pPr>
      <w:r>
        <w:rPr/>
        <w:t xml:space="preserve">Kelator bekerja dengan mengikat ion logam yang berada di kompartemen cairan bebas. Pada keracunan arsin, kerusakan sel darah merah telah selesai terjadi, dan toksikan yang mengancam jiwa pasien adalah </w:t>
      </w:r>
      <w:r>
        <w:rPr>
          <w:b/>
        </w:rPr>
        <w:t>badai hemoglobin bebas plasma yang membeku di dalam tubulus ginjal</w:t>
      </w:r>
      <w:r>
        <w:rPr/>
        <w:t xml:space="preserve">. Hanya </w:t>
      </w:r>
      <w:r>
        <w:rPr>
          <w:b/>
        </w:rPr>
        <w:t>Transfusi Tukar (</w:t>
      </w:r>
      <w:r>
        <w:rPr>
          <w:b/>
          <w:i/>
        </w:rPr>
        <w:t>Exchange Transfusion</w:t>
      </w:r>
      <w:r>
        <w:rPr>
          <w:b/>
        </w:rPr>
        <w:t>)</w:t>
      </w:r>
      <w:r>
        <w:rPr/>
        <w:t xml:space="preserve"> yang mampu secara instan membuang massa hemoglobin lisis tersebut dari peredaran darah sebelum meremukkan nefron ginjal.</w:t>
      </w:r>
    </w:p>
    <w:p>
      <w:pPr>
        <w:pStyle w:val="ListBullet"/>
        <w:spacing w:after="20"/>
      </w:pPr>
      <w:r>
        <w:rPr>
          <w:b/>
        </w:rPr>
        <w:t>Board Trap 1: Resep Kelator pada Pasien Arsin</w:t>
      </w:r>
    </w:p>
    <w:p>
      <w:pPr>
        <w:spacing w:after="80"/>
      </w:pPr>
      <w:r>
        <w:rPr/>
        <w:t xml:space="preserve">Jika di skenario ujian lisan penguji bertanya: </w:t>
      </w:r>
      <w:r>
        <w:rPr>
          <w:i/>
        </w:rPr>
        <w:t>"Seorang teknisi pabrik chip semikonduktor terpajan arsin dengan urin berwarna kola dan sesak, obat kelasi apa yang Anda resepkan pertama kali?"</w:t>
      </w:r>
    </w:p>
    <w:p>
      <w:pPr>
        <w:spacing w:after="80"/>
      </w:pPr>
      <w:r>
        <w:rPr>
          <w:b/>
        </w:rPr>
        <w:t>Jawab dengan tegas:</w:t>
      </w:r>
      <w:r>
        <w:rPr/>
        <w:t xml:space="preserve"> </w:t>
      </w:r>
      <w:r>
        <w:rPr>
          <w:i/>
        </w:rPr>
        <w:t>"Tidak ada indikasi terapi kelasi, Dokter. Terapi kelasi seperti BAL atau DMSA tidak terbukti efektif dan tidak bermanfaat pada keracunan gas arsin. Tatalaksana utama adalah stabilisasi ABC, hidrasi agresif dengan alkalinisasi urin (target pH &gt; 7,5), evaluasi segera untuk Transfusi Tukar, dan hemodialisis bila timbul gagal ginjal anurik"</w:t>
      </w:r>
      <w:r>
        <w:rPr/>
        <w:t>.</w:t>
      </w:r>
    </w:p>
    <w:p>
      <w:pPr>
        <w:pStyle w:val="ListBullet"/>
        <w:spacing w:after="20"/>
      </w:pPr>
      <w:r>
        <w:rPr>
          <w:b/>
        </w:rPr>
        <w:t>Board Trap 2: Waktu Penilaian Garis Mees Kuku</w:t>
      </w:r>
    </w:p>
    <w:p>
      <w:pPr>
        <w:spacing w:after="80"/>
      </w:pPr>
      <w:r>
        <w:rPr/>
        <w:t xml:space="preserve">Penguji sering bertanya: </w:t>
      </w:r>
      <w:r>
        <w:rPr>
          <w:i/>
        </w:rPr>
        <w:t>"Pasien datang 6 jam pasca-tertelan racun arsenik trioksida, apakah Anda dapat menemukan Garis Mees pada kuku tangannya?"</w:t>
      </w:r>
    </w:p>
    <w:p>
      <w:pPr>
        <w:spacing w:after="80"/>
      </w:pPr>
      <w:r>
        <w:rPr>
          <w:b/>
        </w:rPr>
        <w:t>Jawab:</w:t>
      </w:r>
      <w:r>
        <w:rPr/>
        <w:t xml:space="preserve"> </w:t>
      </w:r>
      <w:r>
        <w:rPr>
          <w:i/>
        </w:rPr>
        <w:t>"Tidak mungkin, Dokter. Garis Mees adalah pita leukonikia transversal akibat gangguan keratinisasi pada matriks kuku selama fase toksik akut, dan garis tersebut baru akan tumbuh tampak keluar dari balik lipatan kutikula proksimal kuku setelah 2 hingga 6 minggu pasca-kejadian intoksikasi akut"</w:t>
      </w:r>
      <w:r>
        <w:rPr/>
        <w:t>.</w:t>
      </w:r>
    </w:p>
    <w:p>
      <w:pPr>
        <w:pStyle w:val="ListBullet"/>
        <w:spacing w:after="20"/>
      </w:pPr>
      <w:r>
        <w:rPr>
          <w:b/>
        </w:rPr>
        <w:t>Board Trap 3: Uji Total Arsenik Urin vs. Spesiasi Makanan Laut</w:t>
      </w:r>
    </w:p>
    <w:p>
      <w:pPr>
        <w:spacing w:after="80"/>
      </w:pPr>
      <w:r>
        <w:rPr/>
        <w:t xml:space="preserve">Bila dijumpai hasil laboratorium pekerja pabrik peleburan dengan Total Arsenik Urin mencapai 450 µg/L namun pekerja tampak sehat bugar tanpa kelainan kulit atau gejala neurologis, </w:t>
      </w:r>
      <w:r>
        <w:rPr>
          <w:b/>
        </w:rPr>
        <w:t>jangan terburu-buru meresepkan DMSA atau melaporkan PAK</w:t>
      </w:r>
      <w:r>
        <w:rPr/>
        <w:t xml:space="preserve">. Tanyakan riwayat makan malam sebelumnya: jika pekerja mengonsumsi hidangan laut, itu adalah </w:t>
      </w:r>
      <w:r>
        <w:rPr>
          <w:b/>
        </w:rPr>
        <w:t>Arsenobetain non-toksik</w:t>
      </w:r>
      <w:r>
        <w:rPr/>
        <w:t xml:space="preserve">. Lakukan penundaan, minta pekerja puasa makanan laut selama 3 hari, dan ulangi penampungan spesimen dengan </w:t>
      </w:r>
      <w:r>
        <w:rPr>
          <w:b/>
        </w:rPr>
        <w:t>pemeriksaan spesiasi metabolit termetilasi (Σ[iAs + MMA + DMA])</w:t>
      </w:r>
      <w:r>
        <w:rPr/>
        <w:t>.</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Arsenic and inorganic compounds, as As</w:t>
      </w:r>
      <w:r>
        <w:rPr>
          <w:color w:val="595959"/>
          <w:sz w:val="16"/>
        </w:rPr>
        <w:t xml:space="preserve"> [CAS 7440-38-2] (TLV-TWA 0,01 mg/m³, Notasi A1, BEI, TLV Basis: Lung cancer); </w:t>
      </w:r>
      <w:r>
        <w:rPr>
          <w:i/>
          <w:color w:val="595959"/>
          <w:sz w:val="16"/>
        </w:rPr>
        <w:t>Arsine</w:t>
      </w:r>
      <w:r>
        <w:rPr>
          <w:color w:val="595959"/>
          <w:sz w:val="16"/>
        </w:rPr>
        <w:t xml:space="preserve"> [CAS 7784-42-1] (TLV-TWA 0,005 ppm, TLV Basis: PNS &amp; vascular system impair; kidney &amp; liver impair).</w:t>
      </w:r>
    </w:p>
    <w:p>
      <w:pPr>
        <w:spacing w:after="0"/>
        <w:ind w:left="283"/>
      </w:pPr>
      <w:r>
        <w:rPr>
          <w:color w:val="595959"/>
          <w:sz w:val="16"/>
        </w:rPr>
        <w:t>Definisi dan Signifikansi Notasi A1 (</w:t>
      </w:r>
      <w:r>
        <w:rPr>
          <w:i/>
          <w:color w:val="595959"/>
          <w:sz w:val="16"/>
        </w:rPr>
        <w:t>Confirmed Human Carcinogen</w:t>
      </w:r>
      <w:r>
        <w:rPr>
          <w:color w:val="595959"/>
          <w:sz w:val="16"/>
        </w:rPr>
        <w:t>).</w:t>
      </w:r>
    </w:p>
    <w:p>
      <w:pPr>
        <w:spacing w:after="0"/>
        <w:ind w:left="283"/>
      </w:pPr>
      <w:r>
        <w:rPr>
          <w:color w:val="595959"/>
          <w:sz w:val="16"/>
        </w:rPr>
        <w:t xml:space="preserve">Tabel Adopsi BEI: </w:t>
      </w:r>
      <w:r>
        <w:rPr>
          <w:i/>
          <w:color w:val="595959"/>
          <w:sz w:val="16"/>
        </w:rPr>
        <w:t>Arsenic (and soluble compounds, excluding gallium arsenide and arsine)</w:t>
      </w:r>
      <w:r>
        <w:rPr>
          <w:color w:val="595959"/>
          <w:sz w:val="16"/>
        </w:rPr>
        <w:t xml:space="preserve"> [CAS 7440-38-2] (Adopsi 2023) — </w:t>
      </w:r>
      <w:r>
        <w:rPr>
          <w:i/>
          <w:color w:val="595959"/>
          <w:sz w:val="16"/>
        </w:rPr>
        <w:t>Inorganic arsenic plus methylated metabolites in urine</w:t>
      </w:r>
      <w:r>
        <w:rPr>
          <w:color w:val="595959"/>
          <w:sz w:val="16"/>
        </w:rPr>
        <w:t xml:space="preserve">, Waktu: </w:t>
      </w:r>
      <w:r>
        <w:rPr>
          <w:i/>
          <w:color w:val="595959"/>
          <w:sz w:val="16"/>
        </w:rPr>
        <w:t>End of shift at end of workweek</w:t>
      </w:r>
      <w:r>
        <w:rPr>
          <w:color w:val="595959"/>
          <w:sz w:val="16"/>
        </w:rPr>
        <w:t xml:space="preserve">, Nilai: </w:t>
      </w:r>
      <w:r>
        <w:rPr>
          <w:b/>
          <w:color w:val="595959"/>
          <w:sz w:val="16"/>
        </w:rPr>
        <w:t>15 µg/g kreatinin</w:t>
      </w:r>
      <w:r>
        <w:rPr>
          <w:color w:val="595959"/>
          <w:sz w:val="16"/>
        </w:rPr>
        <w:t xml:space="preserve"> (Notasi Pop).</w:t>
      </w:r>
    </w:p>
    <w:p>
      <w:pPr>
        <w:spacing w:after="0"/>
        <w:ind w:left="283"/>
      </w:pPr>
      <w:r>
        <w:rPr>
          <w:color w:val="595959"/>
          <w:sz w:val="16"/>
        </w:rPr>
        <w:t xml:space="preserve">Definisi Waktu Pengambilan Sampel </w:t>
      </w:r>
      <w:r>
        <w:rPr>
          <w:i/>
          <w:color w:val="595959"/>
          <w:sz w:val="16"/>
        </w:rPr>
        <w:t>End of shift at end of workweek</w:t>
      </w:r>
      <w:r>
        <w:rPr>
          <w:color w:val="595959"/>
          <w:sz w:val="16"/>
        </w:rPr>
        <w:t xml:space="preserve"> (setelah 4–5 hari kerja berturut-turut).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Arsen dan Senyawa Anorganiknya, sebagai As (NAB 0,01 mg/m³, Notasi A1, Simbol Segitiga BEI ▲); Arsin (NAB 0,005 bds).</w:t>
      </w:r>
    </w:p>
    <w:p>
      <w:pPr>
        <w:spacing w:after="0"/>
        <w:ind w:left="283"/>
      </w:pPr>
      <w:r>
        <w:rPr>
          <w:color w:val="595959"/>
          <w:sz w:val="16"/>
        </w:rPr>
        <w:t>Lampiran 4: Tabel Indeks Pajanan Biologi (IPB) — Arsen, Senyawa Anorganik (Spesies anorganik dan metabolit termetilasi dalam urin, Waktu Akhir shift pada akhir minggu kerja, Nilai rujukan IPB).</w:t>
      </w:r>
    </w:p>
    <w:p>
      <w:pPr>
        <w:spacing w:after="0"/>
        <w:ind w:left="283"/>
      </w:pPr>
      <w:r>
        <w:rPr>
          <w:b/>
          <w:color w:val="595959"/>
          <w:sz w:val="16"/>
        </w:rPr>
        <w:t>Agency for Toxic Substances and Disease Registry (ATSDR) / MMG Series:</w:t>
      </w:r>
    </w:p>
    <w:p>
      <w:pPr>
        <w:spacing w:after="0"/>
        <w:ind w:left="283"/>
      </w:pPr>
      <w:r>
        <w:rPr>
          <w:i/>
          <w:color w:val="595959"/>
          <w:sz w:val="16"/>
        </w:rPr>
        <w:t>Medical Management Guidelines for Arsine (AsH3)</w:t>
      </w:r>
      <w:r>
        <w:rPr>
          <w:color w:val="595959"/>
          <w:sz w:val="16"/>
        </w:rPr>
        <w:t xml:space="preserve"> [CAS 7784-42-1]: Sifat Gas Bawang Putih; Absorpsi Paru Cepat Tanpa Iritasi Awal; Mekanisme Inhibisi Katalase Eritrosit &amp; Akumulasi H2O2; Hemolisis Intravaskular Akut Masif &amp; ARDS; Trias Hemolisis, Hemoglobinuria, Gagal Ginjal Akut; Tatalaksana Suportif, Hidrasi Agresif, dan Alkalinisasi Urin (pH &gt; 7,5 dengan NaHCO3); Transfusi Tukar (</w:t>
      </w:r>
      <w:r>
        <w:rPr>
          <w:i/>
          <w:color w:val="595959"/>
          <w:sz w:val="16"/>
        </w:rPr>
        <w:t>Exchange Transfusion</w:t>
      </w:r>
      <w:r>
        <w:rPr>
          <w:color w:val="595959"/>
          <w:sz w:val="16"/>
        </w:rPr>
        <w:t xml:space="preserve">) sebagai Pilihan Utama Pembuangan Hemoglobin Bebas; Hemodialisis untuk ATN; serta </w:t>
      </w:r>
      <w:r>
        <w:rPr>
          <w:b/>
          <w:color w:val="595959"/>
          <w:sz w:val="16"/>
        </w:rPr>
        <w:t>Pernyataan Mutlak Bahwa BAL dan Kelator Lainnya Tidak Efektif / Bukan Antidotum Arsin</w:t>
      </w:r>
      <w:r>
        <w:rPr>
          <w:color w:val="595959"/>
          <w:sz w:val="16"/>
        </w:rPr>
        <w:t>.</w:t>
      </w:r>
    </w:p>
    <w:p>
      <w:pPr>
        <w:spacing w:after="0"/>
        <w:ind w:left="283"/>
      </w:pPr>
      <w:r>
        <w:rPr>
          <w:b/>
          <w:color w:val="595959"/>
          <w:sz w:val="16"/>
        </w:rPr>
        <w:t>Dib Chakif &amp; Julien Furrer (2026).</w:t>
      </w:r>
      <w:r>
        <w:rPr>
          <w:color w:val="595959"/>
          <w:sz w:val="16"/>
        </w:rPr>
        <w:t xml:space="preserve"> </w:t>
      </w:r>
      <w:r>
        <w:rPr>
          <w:i/>
          <w:color w:val="595959"/>
          <w:sz w:val="16"/>
        </w:rPr>
        <w:t>Heavy Metal Toxicity in Clinical and Environmental Health.</w:t>
      </w:r>
      <w:r>
        <w:rPr>
          <w:color w:val="595959"/>
          <w:sz w:val="16"/>
        </w:rPr>
        <w:t xml:space="preserve"> International Journal of Molecular Sciences, 27(3): 03513:</w:t>
      </w:r>
    </w:p>
    <w:p>
      <w:pPr>
        <w:spacing w:after="0"/>
        <w:ind w:left="283"/>
      </w:pPr>
      <w:r>
        <w:rPr>
          <w:color w:val="595959"/>
          <w:sz w:val="16"/>
        </w:rPr>
        <w:t>Tinjauan Toksikologi Komprehensif Arsenik: Farmakologi Thiol Chelators (BAL, DMSA, DMPS); Indikasi Kelasi Cito pada Keracunan Akut Simtomatik iAs; Resusitasi Cairan Agresif dan Koreksi Pemanjangan Interval QT EKG; Protokol DMSA Oral vs DMPS IV/Oral vs BAL IM; Matriks Biomonitoring Spesiasi Urin (iAs + MMA + DMA); Bahaya Makanan Laut (</w:t>
      </w:r>
      <w:r>
        <w:rPr>
          <w:i/>
          <w:color w:val="595959"/>
          <w:sz w:val="16"/>
        </w:rPr>
        <w:t>Seafood Interference</w:t>
      </w:r>
      <w:r>
        <w:rPr>
          <w:color w:val="595959"/>
          <w:sz w:val="16"/>
        </w:rPr>
        <w:t xml:space="preserve"> / Arsenobetaine) dan Wajib Puasa Seafood; serta Peran Genetik Polimorfisme AS3MT.</w:t>
      </w:r>
    </w:p>
    <w:p>
      <w:pPr>
        <w:spacing w:after="0"/>
        <w:ind w:left="283"/>
      </w:pPr>
      <w:r>
        <w:rPr>
          <w:b/>
          <w:color w:val="595959"/>
          <w:sz w:val="16"/>
        </w:rPr>
        <w:t>IARC (2012).</w:t>
      </w:r>
      <w:r>
        <w:rPr>
          <w:color w:val="595959"/>
          <w:sz w:val="16"/>
        </w:rPr>
        <w:t xml:space="preserve"> </w:t>
      </w:r>
      <w:r>
        <w:rPr>
          <w:i/>
          <w:color w:val="595959"/>
          <w:sz w:val="16"/>
        </w:rPr>
        <w:t>A Review of Human Carcinogens: Arsenic, Metals, Fibres, and Dusts (IARC Monographs Vol. 100C)</w:t>
      </w:r>
      <w:r>
        <w:rPr>
          <w:color w:val="595959"/>
          <w:sz w:val="16"/>
        </w:rPr>
        <w:t>:</w:t>
      </w:r>
    </w:p>
    <w:p>
      <w:pPr>
        <w:spacing w:after="0"/>
        <w:ind w:left="283"/>
      </w:pPr>
      <w:r>
        <w:rPr>
          <w:color w:val="595959"/>
          <w:sz w:val="16"/>
        </w:rPr>
        <w:t>Evaluasi Karsinogenisitas Arsenik: Arsenik dan Persenyawaan Anorganik (Grup 1); Arsenik dalam Air Minum (Grup 1); Metabolit DMA dan MMA (Grup 2B); Arsenobetain Organik Laut Tak Termetabolisme (Grup 3); serta Studi Epidemiologi Kanker Paru, Kulit, dan Kandung Kemih.</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4 &amp; Bab 22: Karakteristik Gas Arsin AsH3 dan TLV 0,05 ppm; Sejarah Pengembangan BAL (British Anti-Lewisite / 2,3-dimerkaptopropanol) sebagai Antagonis Gas Perang Arsenik Lewisite; Struktur Ditiol dan Efek Samping Toksik BAL; Pengembangan Analog DMSA (Succimer) dan DMPS; Terapi Suportif Bilas Lambung, Whole Bowel Irrigation, Hemodialisis; serta Batas Pajanan Kerja.</w:t>
      </w:r>
    </w:p>
    <w:p>
      <w:pPr>
        <w:spacing w:after="0"/>
        <w:ind w:left="283"/>
      </w:pPr>
      <w:r>
        <w:rPr>
          <w:b/>
          <w:color w:val="595959"/>
          <w:sz w:val="16"/>
        </w:rPr>
        <w:t>Peraturan Presiden Republik Indonesia Nomor 7 Tahun 2019</w:t>
      </w:r>
      <w:r>
        <w:rPr>
          <w:color w:val="595959"/>
          <w:sz w:val="16"/>
        </w:rPr>
        <w:t xml:space="preserve"> </w:t>
      </w:r>
      <w:r>
        <w:rPr>
          <w:i/>
          <w:color w:val="595959"/>
          <w:sz w:val="16"/>
        </w:rPr>
        <w:t>tentang Penyakit Akibat Kerja</w:t>
      </w:r>
      <w:r>
        <w:rPr>
          <w:color w:val="595959"/>
          <w:sz w:val="16"/>
        </w:rPr>
        <w:t>:</w:t>
      </w:r>
    </w:p>
    <w:p>
      <w:pPr>
        <w:spacing w:after="0"/>
        <w:ind w:left="283"/>
      </w:pPr>
      <w:r>
        <w:rPr>
          <w:color w:val="595959"/>
          <w:sz w:val="16"/>
        </w:rPr>
        <w:t>Pasal 2 (Hak Manfaat JKK hingga 3 Tahun Pasca-Kerja); Lampiran I.a Butir 6 (Penyakit Akibat Pajanan Arsen dan Persenyawaannya); serta Lampiran III Butir 15 (Kanker Akibat Kerja: Arsen dan Persenyawaannya).</w:t>
      </w:r>
    </w:p>
    <w:p>
      <w:pPr>
        <w:spacing w:after="0"/>
        <w:ind w:left="283"/>
      </w:pPr>
      <w:r>
        <w:rPr>
          <w:b/>
          <w:color w:val="595959"/>
          <w:sz w:val="16"/>
        </w:rPr>
        <w:t>Peraturan Menteri Kesehatan Republik Indonesia Nomor 11 Tahun 2022</w:t>
      </w:r>
      <w:r>
        <w:rPr>
          <w:color w:val="595959"/>
          <w:sz w:val="16"/>
        </w:rPr>
        <w:t xml:space="preserve"> </w:t>
      </w:r>
      <w:r>
        <w:rPr>
          <w:i/>
          <w:color w:val="595959"/>
          <w:sz w:val="16"/>
        </w:rPr>
        <w:t>tentang Pelayanan Kesehatan Penyakit Akibat Kerja</w:t>
      </w:r>
      <w:r>
        <w:rPr>
          <w:color w:val="595959"/>
          <w:sz w:val="16"/>
        </w:rPr>
        <w:t>:</w:t>
      </w:r>
    </w:p>
    <w:p>
      <w:pPr>
        <w:spacing w:after="0"/>
        <w:ind w:left="283"/>
      </w:pPr>
      <w:r>
        <w:rPr>
          <w:color w:val="595959"/>
          <w:sz w:val="16"/>
        </w:rPr>
        <w:t>Pasal 5 (Tujuh Langkah Penegakan Diagnosis Okupasi); Tata Laksana Medis Kuratif dan Tata Laksana Okupasi Komunitas.</w:t>
      </w:r>
    </w:p>
    <w:p>
      <w:pPr>
        <w:spacing w:after="0"/>
        <w:ind w:left="283"/>
      </w:pPr>
      <w:r>
        <w:rPr>
          <w:b/>
          <w:color w:val="595959"/>
          <w:sz w:val="16"/>
        </w:rPr>
        <w:t>Peraturan Menteri Kesehatan Republik Indonesia Nomor 2 Tahun 2023</w:t>
      </w:r>
      <w:r>
        <w:rPr>
          <w:color w:val="595959"/>
          <w:sz w:val="16"/>
        </w:rPr>
        <w:t xml:space="preserve"> </w:t>
      </w:r>
      <w:r>
        <w:rPr>
          <w:i/>
          <w:color w:val="595959"/>
          <w:sz w:val="16"/>
        </w:rPr>
        <w:t>tentang Peraturan Pelaksanaan PP No. 66 Tahun 2014 tentang Kesehatan Lingkungan</w:t>
      </w:r>
      <w:r>
        <w:rPr>
          <w:color w:val="595959"/>
          <w:sz w:val="16"/>
        </w:rPr>
        <w:t>:</w:t>
      </w:r>
    </w:p>
    <w:p>
      <w:pPr>
        <w:spacing w:after="0"/>
        <w:ind w:left="283"/>
      </w:pPr>
      <w:r>
        <w:rPr>
          <w:color w:val="595959"/>
          <w:sz w:val="16"/>
        </w:rPr>
        <w:t xml:space="preserve">Standar Baku Mutu Kesehatan Lingkungan untuk Media Air Minum: Batas Maksimum Kadar Arsenik Sebesar </w:t>
      </w:r>
      <w:r>
        <w:rPr>
          <w:b/>
          <w:color w:val="595959"/>
          <w:sz w:val="16"/>
        </w:rPr>
        <w:t>0,01 mg/L (10 µg/L)</w:t>
      </w:r>
      <w:r>
        <w:rPr>
          <w:color w:val="595959"/>
          <w:sz w:val="16"/>
        </w:rPr>
        <w:t>.</w:t>
      </w:r>
    </w:p>
    <w:p>
      <w:r>
        <w:br w:type="page"/>
      </w:r>
    </w:p>
    <w:p>
      <w:pPr>
        <w:pStyle w:val="Heading2"/>
      </w:pPr>
      <w:bookmarkStart w:id="123" w:name="toc_023"/>
      <w:r>
        <w:t>3A.4 Timbal (Pb)</w:t>
      </w:r>
      <w:bookmarkEnd w:id="123"/>
    </w:p>
    <w:p>
      <w:pPr>
        <w:pStyle w:val="Heading3"/>
      </w:pPr>
      <w:r>
        <w:t>1. Sifat Fisik-Kimia dan Klasifikasi Spesiasi Timbal</w:t>
      </w:r>
    </w:p>
    <w:p>
      <w:pPr>
        <w:spacing w:after="80"/>
      </w:pPr>
      <w:r>
        <w:rPr/>
        <w:t xml:space="preserve">Timbal (nomor atom 82, berat atom 207,2 g/mol) adalah logam berat lunak berwarna abu-abu kebiruan dengan titik lebur relatif rendah (327,5°C) dan densitas tinggi (11,34 g/cm³). Dalam konteks kedokteran okupasi, timbal diklasifikasikan ke dalam </w:t>
      </w:r>
      <w:r>
        <w:rPr>
          <w:b/>
        </w:rPr>
        <w:t>dua kategori kimiawi utama</w:t>
      </w:r>
      <w:r>
        <w:rPr/>
        <w:t>:</w:t>
      </w:r>
    </w:p>
    <w:p>
      <w:pPr>
        <w:spacing w:after="120"/>
        <w:ind w:left="170"/>
      </w:pPr>
      <w:r>
        <w:rPr>
          <w:rFonts w:ascii="Consolas" w:hAnsi="Consolas" w:eastAsia="Consolas"/>
          <w:sz w:val="13"/>
        </w:rPr>
        <w:t xml:space="preserve">                                [ KLASIFIKASI SPESIASI TIMBAL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TIMBAL ANORGANIK (Inorganic Pb) ]                                         [ TIMBAL ORGANIK (Alkil Timbal) ]</w:t>
      </w:r>
      <w:r>
        <w:br/>
      </w:r>
      <w:r>
        <w:rPr>
          <w:rFonts w:ascii="Consolas" w:hAnsi="Consolas" w:eastAsia="Consolas"/>
          <w:sz w:val="13"/>
        </w:rPr>
        <w:t>• Bentuk Valensi: Logam murni Pb(0), Pb(II) [dominan], Pb(IV)              • Senyawa organologam kovalen</w:t>
      </w:r>
      <w:r>
        <w:br/>
      </w:r>
      <w:r>
        <w:rPr>
          <w:rFonts w:ascii="Consolas" w:hAnsi="Consolas" w:eastAsia="Consolas"/>
          <w:sz w:val="13"/>
        </w:rPr>
        <w:t>• Garam Anorganik:                                                          • Tetraetil timbal / TEL [Pb(C₂H₅)₄]</w:t>
      </w:r>
      <w:r>
        <w:br/>
      </w:r>
      <w:r>
        <w:rPr>
          <w:rFonts w:ascii="Consolas" w:hAnsi="Consolas" w:eastAsia="Consolas"/>
          <w:sz w:val="13"/>
        </w:rPr>
        <w:t xml:space="preserve">  - Timbal oksida: PbO (litharge), Pb₃O₄ (red lead / minium)                 • Tetrametil timbal / TML [Pb(CH₃)₄]</w:t>
      </w:r>
      <w:r>
        <w:br/>
      </w:r>
      <w:r>
        <w:rPr>
          <w:rFonts w:ascii="Consolas" w:hAnsi="Consolas" w:eastAsia="Consolas"/>
          <w:sz w:val="13"/>
        </w:rPr>
        <w:t xml:space="preserve">  - Timbal sulfida: PbS (galena)                                            • Sifat: Cairan berminyak, volatil, SANGAT LIPOFILIK</w:t>
      </w:r>
      <w:r>
        <w:br/>
      </w:r>
      <w:r>
        <w:rPr>
          <w:rFonts w:ascii="Consolas" w:hAnsi="Consolas" w:eastAsia="Consolas"/>
          <w:sz w:val="13"/>
        </w:rPr>
        <w:t xml:space="preserve">  - Timbal karbonat: 2PbCO₃·Pb(OH)₂ (white lead)                            • Penetrasi Dermal: SANGAT TINGGI (Kulit utuh)</w:t>
      </w:r>
      <w:r>
        <w:br/>
      </w:r>
      <w:r>
        <w:rPr>
          <w:rFonts w:ascii="Consolas" w:hAnsi="Consolas" w:eastAsia="Consolas"/>
          <w:sz w:val="13"/>
        </w:rPr>
        <w:t xml:space="preserve">  - Timbal kromat (pigmen kuning), Timbal arsenat                           • Menembus Sawar Darah Otak (BBB) secara bebas</w:t>
      </w:r>
      <w:r>
        <w:br/>
      </w:r>
      <w:r>
        <w:rPr>
          <w:rFonts w:ascii="Consolas" w:hAnsi="Consolas" w:eastAsia="Consolas"/>
          <w:sz w:val="13"/>
        </w:rPr>
        <w:t>• Sifat: Padatan, tidak volatil pada suhu kamar (membentuk aerosol debu/fume)• Mengalami dealkilasi di hepar menjadi Trietil Timbal</w:t>
      </w:r>
      <w:r>
        <w:br/>
      </w:r>
      <w:r>
        <w:rPr>
          <w:rFonts w:ascii="Consolas" w:hAnsi="Consolas" w:eastAsia="Consolas"/>
          <w:sz w:val="13"/>
        </w:rPr>
        <w:t>• Penetrasi Dermal: SANGAT RENDAH pada kulit utuh (&lt; 1%)                    • Target primer: Neurotoksisitas SSP Akut / Fulminan</w:t>
      </w:r>
      <w:r>
        <w:br/>
      </w:r>
      <w:r>
        <w:rPr>
          <w:rFonts w:ascii="Consolas" w:hAnsi="Consolas" w:eastAsia="Consolas"/>
          <w:sz w:val="13"/>
        </w:rPr>
        <w:t>• Target primer: Sistem hematopoietik, ginjal, saraf perifer                • Penggunaan: Zat aditif anti-ketuk (antiknock) bensin</w:t>
      </w:r>
    </w:p>
    <w:p>
      <w:pPr>
        <w:spacing w:after="40"/>
        <w:ind w:left="340" w:hanging="283"/>
      </w:pPr>
      <w:r>
        <w:rPr/>
        <w:t xml:space="preserve">1. </w:t>
      </w:r>
      <w:r>
        <w:rPr>
          <w:b/>
        </w:rPr>
        <w:t>Timbal Anorganik (</w:t>
      </w:r>
      <w:r>
        <w:rPr>
          <w:b/>
          <w:i/>
        </w:rPr>
        <w:t>Inorganic Lead</w:t>
      </w:r>
      <w:r>
        <w:rPr>
          <w:b/>
        </w:rPr>
        <w:t>):</w:t>
      </w:r>
    </w:p>
    <w:p>
      <w:pPr>
        <w:pStyle w:val="ListBullet2"/>
        <w:spacing w:after="20"/>
      </w:pPr>
      <w:r>
        <w:rPr>
          <w:i/>
        </w:rPr>
        <w:t>Senyawa Kunci:</w:t>
      </w:r>
      <w:r>
        <w:rPr/>
        <w:t xml:space="preserve"> Timbal elemental [Pb(0)], Timbal monoksida [PbO], Timbal tetroksida [Pb₃O₄], Timbal sulfat [PbSO₄], Timbal klorida [PbCl₂], dan Timbal karbonat basa.</w:t>
      </w:r>
    </w:p>
    <w:p>
      <w:pPr>
        <w:pStyle w:val="ListBullet2"/>
        <w:spacing w:after="20"/>
      </w:pPr>
      <w:r>
        <w:rPr>
          <w:i/>
        </w:rPr>
        <w:t>Karakteristik Biologis:</w:t>
      </w:r>
      <w:r>
        <w:rPr/>
        <w:t xml:space="preserve"> Dalam larutan fisiologis berada sebagai kation divalen (</w:t>
      </w:r>
      <w:r>
        <w:rPr>
          <w:b/>
        </w:rPr>
        <w:t>Pb²⁺</w:t>
      </w:r>
      <w:r>
        <w:rPr/>
        <w:t>) yang bertindak sebagai mimetik kalsium (</w:t>
      </w:r>
      <w:r>
        <w:rPr>
          <w:b/>
        </w:rPr>
        <w:t>Ca²⁺</w:t>
      </w:r>
      <w:r>
        <w:rPr/>
        <w:t>) dan bersaing pada situs pengikatan protein. Bentuk ini praktis tidak mampu menembus kulit utuh, tidak mengalami metabolisme enzimatik, dan memiliki target utama pada sistem hematopoietik, tubulus ginjal, dan saraf motorik perifer.</w:t>
      </w:r>
    </w:p>
    <w:p>
      <w:pPr>
        <w:spacing w:after="40"/>
        <w:ind w:left="340" w:hanging="283"/>
      </w:pPr>
      <w:r>
        <w:rPr/>
        <w:t xml:space="preserve">2. </w:t>
      </w:r>
      <w:r>
        <w:rPr>
          <w:b/>
        </w:rPr>
        <w:t>Timbal Organik (</w:t>
      </w:r>
      <w:r>
        <w:rPr>
          <w:b/>
          <w:i/>
        </w:rPr>
        <w:t>Organic / Alkyl Lead</w:t>
      </w:r>
      <w:r>
        <w:rPr>
          <w:b/>
        </w:rPr>
        <w:t>):</w:t>
      </w:r>
    </w:p>
    <w:p>
      <w:pPr>
        <w:pStyle w:val="ListBullet2"/>
        <w:spacing w:after="20"/>
      </w:pPr>
      <w:r>
        <w:rPr>
          <w:i/>
        </w:rPr>
        <w:t>Senyawa Kunci:</w:t>
      </w:r>
      <w:r>
        <w:rPr/>
        <w:t xml:space="preserve"> </w:t>
      </w:r>
      <w:r>
        <w:rPr>
          <w:b/>
        </w:rPr>
        <w:t>Tetraetil timbal (</w:t>
      </w:r>
      <w:r>
        <w:rPr>
          <w:b/>
          <w:i/>
        </w:rPr>
        <w:t>Tetraethyl lead</w:t>
      </w:r>
      <w:r>
        <w:rPr>
          <w:b/>
        </w:rPr>
        <w:t xml:space="preserve"> / TEL)</w:t>
      </w:r>
      <w:r>
        <w:rPr/>
        <w:t xml:space="preserve"> dan </w:t>
      </w:r>
      <w:r>
        <w:rPr>
          <w:b/>
        </w:rPr>
        <w:t>Tetrametil timbal (</w:t>
      </w:r>
      <w:r>
        <w:rPr>
          <w:b/>
          <w:i/>
        </w:rPr>
        <w:t>Tetramethyl lead</w:t>
      </w:r>
      <w:r>
        <w:rPr>
          <w:b/>
        </w:rPr>
        <w:t xml:space="preserve"> / TML)</w:t>
      </w:r>
      <w:r>
        <w:rPr/>
        <w:t>.</w:t>
      </w:r>
    </w:p>
    <w:p>
      <w:pPr>
        <w:pStyle w:val="ListBullet2"/>
        <w:spacing w:after="20"/>
      </w:pPr>
      <w:r>
        <w:rPr>
          <w:i/>
        </w:rPr>
        <w:t>Karakteristik Biologis:</w:t>
      </w:r>
      <w:r>
        <w:rPr/>
        <w:t xml:space="preserve"> Merupakan cairan berminyak yang mudah menguap dan </w:t>
      </w:r>
      <w:r>
        <w:rPr>
          <w:b/>
        </w:rPr>
        <w:t>sangat larut dalam lipid (</w:t>
      </w:r>
      <w:r>
        <w:rPr>
          <w:b/>
          <w:i/>
        </w:rPr>
        <w:t>highly lipophilic</w:t>
      </w:r>
      <w:r>
        <w:rPr>
          <w:b/>
        </w:rPr>
        <w:t>)</w:t>
      </w:r>
      <w:r>
        <w:rPr/>
        <w:t xml:space="preserve">. Senyawa ini </w:t>
      </w:r>
      <w:r>
        <w:rPr>
          <w:b/>
        </w:rPr>
        <w:t>diserap secara masif dan cepat melalui kontak kulit utuh (</w:t>
      </w:r>
      <w:r>
        <w:rPr>
          <w:b/>
          <w:i/>
        </w:rPr>
        <w:t>percutaneous absorption</w:t>
      </w:r>
      <w:r>
        <w:rPr>
          <w:b/>
        </w:rPr>
        <w:t>)</w:t>
      </w:r>
      <w:r>
        <w:rPr/>
        <w:t>, serta melintasi membran kapiler alveoli dan sawar darah otak (</w:t>
      </w:r>
      <w:r>
        <w:rPr>
          <w:i/>
        </w:rPr>
        <w:t>blood-brain barrier</w:t>
      </w:r>
      <w:r>
        <w:rPr/>
        <w:t xml:space="preserve"> / BBB) dengan sangat bebas.</w:t>
      </w:r>
    </w:p>
    <w:p>
      <w:pPr>
        <w:pStyle w:val="ListBullet2"/>
        <w:spacing w:after="20"/>
      </w:pPr>
      <w:r>
        <w:rPr>
          <w:i/>
        </w:rPr>
        <w:t>Bioaktivasi Hepatik:</w:t>
      </w:r>
      <w:r>
        <w:rPr/>
        <w:t xml:space="preserve"> Di dalam hepar, TEL dimetabolisme oleh enzim mikrosomal sitokrom P450 mengalami dealkilasi menjadi metabolit </w:t>
      </w:r>
      <w:r>
        <w:rPr>
          <w:b/>
        </w:rPr>
        <w:t>Trietil timbal [Et₃Pb⁺]</w:t>
      </w:r>
      <w:r>
        <w:rPr/>
        <w:t>, yang merupakan racun neurotoksik protoplasma yang jauh lebih destruktif terhadap neuron korteks serebri dibandingkan timbal anorganik.</w:t>
      </w:r>
    </w:p>
    <w:p>
      <w:pPr>
        <w:pStyle w:val="Heading3"/>
      </w:pPr>
      <w:r>
        <w:t>1. Standar Batas Pajanan Udara (Exposure Limits): ACGIH vs. Permenaker No. 5 Tahun 2018</w:t>
      </w:r>
    </w:p>
    <w:p>
      <w:pPr>
        <w:spacing w:after="80"/>
      </w:pPr>
      <w:r>
        <w:rPr/>
        <w:t>Di udara lingkungan kerja, batas pajanan inhalasi timbal anorganik diatur secara ketat untuk mencegah penumpukan racun kumulatif pada sistem hematopoietik dan susunan saraf:</w:t>
      </w:r>
    </w:p>
    <w:p>
      <w:pPr>
        <w:spacing w:after="120"/>
        <w:ind w:left="170"/>
      </w:pPr>
      <w:r>
        <w:rPr>
          <w:rFonts w:ascii="Consolas" w:hAnsi="Consolas" w:eastAsia="Consolas"/>
          <w:sz w:val="13"/>
        </w:rPr>
        <w:t xml:space="preserve">                       [ STANDAR BATAS PAJANAN TIMBAL DI UDARA KERJA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ACGIH TLV-TWA (EDISI 2026) ]                                              [ PERMENAKER NO. 5 TAHUN 2018 ]</w:t>
      </w:r>
      <w:r>
        <w:br/>
      </w:r>
      <w:r>
        <w:rPr>
          <w:rFonts w:ascii="Consolas" w:hAnsi="Consolas" w:eastAsia="Consolas"/>
          <w:sz w:val="13"/>
        </w:rPr>
        <w:t>• Nilai: 0,05 mg/m³ (sebagai Pb)                                            • Nilai NAB (TWA 8 jam): 0,05 mg/m³</w:t>
      </w:r>
      <w:r>
        <w:br/>
      </w:r>
      <w:r>
        <w:rPr>
          <w:rFonts w:ascii="Consolas" w:hAnsi="Consolas" w:eastAsia="Consolas"/>
          <w:sz w:val="13"/>
        </w:rPr>
        <w:t>• Notasi: A3; BEI                                                           • Notasi: A3; BEI (simbol segitiga ▲)</w:t>
      </w:r>
      <w:r>
        <w:br/>
      </w:r>
      <w:r>
        <w:rPr>
          <w:rFonts w:ascii="Consolas" w:hAnsi="Consolas" w:eastAsia="Consolas"/>
          <w:sz w:val="13"/>
        </w:rPr>
        <w:t>• Basis TLV: Kerusakan SSP &amp; Saraf Tepi                                     • Target Organ: Gangguan saraf pusat &amp; tepi,</w:t>
      </w:r>
      <w:r>
        <w:br/>
      </w:r>
      <w:r>
        <w:rPr>
          <w:rFonts w:ascii="Consolas" w:hAnsi="Consolas" w:eastAsia="Consolas"/>
          <w:sz w:val="13"/>
        </w:rPr>
        <w:t xml:space="preserve">  (CNS &amp; PNS impairment); Efek Hematologi                                     efek hematologi (Lampiran 3)</w:t>
      </w:r>
    </w:p>
    <w:p>
      <w:pPr>
        <w:pStyle w:val="Heading4"/>
      </w:pPr>
      <w:r>
        <w:t>a. Nilai Ambang Batas ACGIH (Edisi 2026)</w:t>
      </w:r>
    </w:p>
    <w:p>
      <w:pPr>
        <w:pStyle w:val="ListBullet"/>
        <w:spacing w:after="20"/>
      </w:pPr>
      <w:r>
        <w:rPr>
          <w:b/>
        </w:rPr>
        <w:t>Substansi:</w:t>
      </w:r>
      <w:r>
        <w:rPr/>
        <w:t xml:space="preserve"> </w:t>
      </w:r>
      <w:r>
        <w:rPr>
          <w:i/>
        </w:rPr>
        <w:t>Lead and inorganic compounds, as Pb</w:t>
      </w:r>
      <w:r>
        <w:rPr/>
        <w:t xml:space="preserve"> [CAS 7439-92-1].</w:t>
      </w:r>
    </w:p>
    <w:p>
      <w:pPr>
        <w:pStyle w:val="ListBullet"/>
        <w:spacing w:after="20"/>
      </w:pPr>
      <w:r>
        <w:rPr>
          <w:b/>
        </w:rPr>
        <w:t>TLV-TWA:</w:t>
      </w:r>
      <w:r>
        <w:rPr/>
        <w:t xml:space="preserve"> </w:t>
      </w:r>
      <w:r>
        <w:rPr>
          <w:b/>
        </w:rPr>
        <w:t>0,05 mg/m³</w:t>
      </w:r>
      <w:r>
        <w:rPr/>
        <w:t xml:space="preserve"> (setara </w:t>
      </w:r>
      <w:r>
        <w:rPr>
          <w:b/>
        </w:rPr>
        <w:t>50 µg/m³</w:t>
      </w:r>
      <w:r>
        <w:rPr/>
        <w:t>).</w:t>
      </w:r>
    </w:p>
    <w:p>
      <w:pPr>
        <w:pStyle w:val="ListBullet"/>
        <w:spacing w:after="20"/>
      </w:pPr>
      <w:r>
        <w:rPr>
          <w:i/>
        </w:rPr>
        <w:t>Notasi Resmi:</w:t>
      </w:r>
      <w:r>
        <w:rPr/>
        <w:t xml:space="preserve"> </w:t>
      </w:r>
      <w:r>
        <w:rPr>
          <w:b/>
        </w:rPr>
        <w:t>A3; BEI</w:t>
      </w:r>
      <w:r>
        <w:rPr/>
        <w:t>.</w:t>
      </w:r>
    </w:p>
    <w:p>
      <w:pPr>
        <w:pStyle w:val="ListBullet"/>
        <w:spacing w:after="20"/>
      </w:pPr>
      <w:r>
        <w:rPr>
          <w:i/>
        </w:rPr>
        <w:t>Dasar Penetapan Efek Kritis (*TLV Basis</w:t>
      </w:r>
      <w:r>
        <w:rPr/>
        <w:t xml:space="preserve">):* </w:t>
      </w:r>
      <w:r>
        <w:rPr>
          <w:b/>
        </w:rPr>
        <w:t>Kerusakan sistem saraf pusat dan saraf tepi (</w:t>
      </w:r>
      <w:r>
        <w:rPr>
          <w:b/>
          <w:i/>
        </w:rPr>
        <w:t>CNS &amp; PNS impairment</w:t>
      </w:r>
      <w:r>
        <w:rPr>
          <w:b/>
        </w:rPr>
        <w:t>)</w:t>
      </w:r>
      <w:r>
        <w:rPr/>
        <w:t xml:space="preserve"> serta </w:t>
      </w:r>
      <w:r>
        <w:rPr>
          <w:b/>
        </w:rPr>
        <w:t>efek hematologi (</w:t>
      </w:r>
      <w:r>
        <w:rPr>
          <w:b/>
          <w:i/>
        </w:rPr>
        <w:t>hematologic effects</w:t>
      </w:r>
      <w:r>
        <w:rPr>
          <w:b/>
        </w:rPr>
        <w:t>)</w:t>
      </w:r>
      <w:r>
        <w:rPr/>
        <w:t>.</w:t>
      </w:r>
    </w:p>
    <w:p>
      <w:pPr>
        <w:pStyle w:val="ListBullet"/>
        <w:spacing w:after="20"/>
      </w:pPr>
      <w:r>
        <w:rPr>
          <w:i/>
        </w:rPr>
        <w:t>Bentuk Khusus:</w:t>
      </w:r>
      <w:r>
        <w:rPr/>
        <w:t xml:space="preserve"> Timbal kromat (</w:t>
      </w:r>
      <w:r>
        <w:rPr>
          <w:i/>
        </w:rPr>
        <w:t>lead chromate</w:t>
      </w:r>
      <w:r>
        <w:rPr/>
        <w:t>) memiliki batas tersendiri berbasis karsinogenisitas Cr(VI) (TLV-TWA 0,0002 mg/m³, Notasi A1, BEI, DSEN, RSEN).</w:t>
      </w:r>
    </w:p>
    <w:p>
      <w:pPr>
        <w:pStyle w:val="Heading4"/>
      </w:pPr>
      <w:r>
        <w:t>b. Nilai Ambang Batas Permenaker No. 5 Tahun 2018 (Lampiran 3)</w:t>
      </w:r>
    </w:p>
    <w:p>
      <w:pPr>
        <w:spacing w:after="80"/>
      </w:pPr>
      <w:r>
        <w:rPr/>
        <w:t>Regulasi keselamatan dan kesehatan kerja nasional menetapkan batas yang selaras dengan standar internasional:</w:t>
      </w:r>
    </w:p>
    <w:p>
      <w:pPr>
        <w:pStyle w:val="ListBullet"/>
        <w:spacing w:after="20"/>
      </w:pPr>
      <w:r>
        <w:rPr>
          <w:b/>
        </w:rPr>
        <w:t>Nama Bahan Kimia:</w:t>
      </w:r>
      <w:r>
        <w:rPr/>
        <w:t xml:space="preserve"> Timbal hitam dan persenyawaan anorganik, sebagai Pb.</w:t>
      </w:r>
    </w:p>
    <w:p>
      <w:pPr>
        <w:pStyle w:val="ListBullet"/>
        <w:spacing w:after="20"/>
      </w:pPr>
      <w:r>
        <w:rPr>
          <w:b/>
        </w:rPr>
        <w:t>NAB (TWA 8 jam):</w:t>
      </w:r>
      <w:r>
        <w:rPr/>
        <w:t xml:space="preserve"> </w:t>
      </w:r>
      <w:r>
        <w:rPr>
          <w:b/>
        </w:rPr>
        <w:t>0,05 mg/m³</w:t>
      </w:r>
      <w:r>
        <w:rPr/>
        <w:t>.</w:t>
      </w:r>
    </w:p>
    <w:p>
      <w:pPr>
        <w:pStyle w:val="ListBullet"/>
        <w:spacing w:after="20"/>
      </w:pPr>
      <w:r>
        <w:rPr>
          <w:i/>
        </w:rPr>
        <w:t>Notasi:</w:t>
      </w:r>
      <w:r>
        <w:rPr/>
        <w:t xml:space="preserve"> </w:t>
      </w:r>
      <w:r>
        <w:rPr>
          <w:b/>
        </w:rPr>
        <w:t>A3</w:t>
      </w:r>
      <w:r>
        <w:rPr/>
        <w:t xml:space="preserve"> dan </w:t>
      </w:r>
      <w:r>
        <w:rPr>
          <w:b/>
        </w:rPr>
        <w:t>BEI</w:t>
      </w:r>
      <w:r>
        <w:rPr/>
        <w:t xml:space="preserve"> (ditandai dengan </w:t>
      </w:r>
      <w:r>
        <w:rPr>
          <w:b/>
        </w:rPr>
        <w:t>simbol segitiga ▲</w:t>
      </w:r>
      <w:r>
        <w:rPr/>
        <w:t>).</w:t>
      </w:r>
    </w:p>
    <w:p>
      <w:pPr>
        <w:pStyle w:val="ListBullet"/>
        <w:spacing w:after="20"/>
      </w:pPr>
      <w:r>
        <w:rPr>
          <w:i/>
        </w:rPr>
        <w:t>Efek Toksik Kritis:</w:t>
      </w:r>
      <w:r>
        <w:rPr/>
        <w:t xml:space="preserve"> Gangguan saraf pusat dan tepi, efek hematologi.</w:t>
      </w:r>
    </w:p>
    <w:p>
      <w:pPr>
        <w:pStyle w:val="Heading4"/>
      </w:pPr>
      <w:r>
        <w:t>c. Makna Toksikologis Notasi "A3"</w:t>
      </w:r>
    </w:p>
    <w:p>
      <w:pPr>
        <w:pStyle w:val="ListBullet"/>
        <w:spacing w:after="20"/>
      </w:pPr>
      <w:r>
        <w:rPr>
          <w:b/>
        </w:rPr>
        <w:t>Notasi "A3" (</w:t>
      </w:r>
      <w:r>
        <w:rPr>
          <w:b/>
          <w:i/>
        </w:rPr>
        <w:t>Confirmed Animal Carcinogen with Unknown Relevance to Humans</w:t>
      </w:r>
      <w:r>
        <w:rPr>
          <w:b/>
        </w:rPr>
        <w:t>):</w:t>
      </w:r>
      <w:r>
        <w:rPr/>
        <w:t xml:space="preserve"> Menandakan bahwa agen tersebut </w:t>
      </w:r>
      <w:r>
        <w:rPr>
          <w:b/>
        </w:rPr>
        <w:t>terbukti memicu kanker pada hewan coba (</w:t>
      </w:r>
      <w:r>
        <w:rPr>
          <w:b/>
          <w:i/>
        </w:rPr>
        <w:t>carcinogenic in experimental animals</w:t>
      </w:r>
      <w:r>
        <w:rPr>
          <w:b/>
        </w:rPr>
        <w:t>)</w:t>
      </w:r>
      <w:r>
        <w:rPr/>
        <w:t xml:space="preserve"> pada dosis dan jalur tertentu, namun data epidemiologi pada pekerja manusia saat ini belum memadai untuk mengonfirmasi peningkatan risiko kanker yang serupa pada manusia. Pajanan di tempat kerja harus dikendalikan secara ketat di bawah NAB.</w:t>
      </w:r>
    </w:p>
    <w:p>
      <w:pPr>
        <w:pStyle w:val="Heading3"/>
      </w:pPr>
      <w:r>
        <w:t>2. Standar BEI, Rekomendasi Terkini, dan Batas Regulasi Pelepasan Medis (Medical Removal)</w:t>
      </w:r>
    </w:p>
    <w:p>
      <w:pPr>
        <w:spacing w:after="80"/>
      </w:pPr>
      <w:r>
        <w:rPr/>
        <w:t>Biomonitoring kadar timbal darah lengkap adalah parameter paling objektif untuk mengukur dosis internal pekerja:</w:t>
      </w:r>
    </w:p>
    <w:p>
      <w:pPr>
        <w:spacing w:after="120"/>
        <w:ind w:left="170"/>
      </w:pPr>
      <w:r>
        <w:rPr>
          <w:rFonts w:ascii="Consolas" w:hAnsi="Consolas" w:eastAsia="Consolas"/>
          <w:sz w:val="13"/>
        </w:rPr>
        <w:t xml:space="preserve">                      [ REKOMENDASI BIOLOGIS &amp; BATAS MEDICAL REMOVAL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STANDAR BEI ACGIH TERKINI ]        [ MEDICAL REMOVAL (OSHA) ]          [ RETURN TO WORK (OSHA) ]</w:t>
      </w:r>
      <w:r>
        <w:br/>
      </w:r>
      <w:r>
        <w:rPr>
          <w:rFonts w:ascii="Consolas" w:hAnsi="Consolas" w:eastAsia="Consolas"/>
          <w:sz w:val="13"/>
        </w:rPr>
        <w:t>• BLL Darah Lengkap: 200 µg/L        • Penarikan pekerja dari pajanan    • Bekerja kembali HANYA bila</w:t>
      </w:r>
      <w:r>
        <w:br/>
      </w:r>
      <w:r>
        <w:rPr>
          <w:rFonts w:ascii="Consolas" w:hAnsi="Consolas" w:eastAsia="Consolas"/>
          <w:sz w:val="13"/>
        </w:rPr>
        <w:t xml:space="preserve">  (setara 20 µg/dL)                    jika BLL ≥ 60 µg/dL (tes tunggal)   BLL &lt; 40 µg/dL</w:t>
      </w:r>
      <w:r>
        <w:br/>
      </w:r>
      <w:r>
        <w:rPr>
          <w:rFonts w:ascii="Consolas" w:hAnsi="Consolas" w:eastAsia="Consolas"/>
          <w:sz w:val="13"/>
        </w:rPr>
        <w:t>• Waktu: Not Critical / Bebas          ATAU rata-rata BLL ≥ 50 µg/dL       (pada tes konfirmasi ulang)</w:t>
      </w:r>
      <w:r>
        <w:br/>
      </w:r>
      <w:r>
        <w:rPr>
          <w:rFonts w:ascii="Consolas" w:hAnsi="Consolas" w:eastAsia="Consolas"/>
          <w:sz w:val="13"/>
        </w:rPr>
        <w:t>• Konseling proteksi wanita subur      (pada 3 tes berturut-turut)       • NIOSH/CDC lebih protektif:</w:t>
      </w:r>
      <w:r>
        <w:br/>
      </w:r>
      <w:r>
        <w:rPr>
          <w:rFonts w:ascii="Consolas" w:hAnsi="Consolas" w:eastAsia="Consolas"/>
          <w:sz w:val="13"/>
        </w:rPr>
        <w:t xml:space="preserve">  (risiko janin &gt; nilai CDC)         • Konstruksi: BLL ≥ 50 µg/dL          rekomendasi BLL &lt; 10–20 µg/dL</w:t>
      </w:r>
    </w:p>
    <w:p>
      <w:pPr>
        <w:pStyle w:val="Heading4"/>
      </w:pPr>
      <w:r>
        <w:t>a. Standar Indeks Pajanan Biologi (ACGIH BEI Edisi Terkini)</w:t>
      </w:r>
    </w:p>
    <w:p>
      <w:pPr>
        <w:pStyle w:val="ListBullet"/>
        <w:spacing w:after="20"/>
      </w:pPr>
      <w:r>
        <w:rPr>
          <w:b/>
        </w:rPr>
        <w:t>Determinan Biologis:</w:t>
      </w:r>
      <w:r>
        <w:rPr/>
        <w:t xml:space="preserve"> Timbal dalam darah lengkap (</w:t>
      </w:r>
      <w:r>
        <w:rPr>
          <w:i/>
        </w:rPr>
        <w:t>Lead in blood</w:t>
      </w:r>
      <w:r>
        <w:rPr/>
        <w:t xml:space="preserve"> / BLL / Pb-B).</w:t>
      </w:r>
    </w:p>
    <w:p>
      <w:pPr>
        <w:pStyle w:val="ListBullet"/>
        <w:spacing w:after="20"/>
      </w:pPr>
      <w:r>
        <w:rPr>
          <w:b/>
        </w:rPr>
        <w:t>Nilai Baku BEI:</w:t>
      </w:r>
      <w:r>
        <w:rPr/>
        <w:t xml:space="preserve"> </w:t>
      </w:r>
      <w:r>
        <w:rPr>
          <w:b/>
        </w:rPr>
        <w:t>200 µg/L</w:t>
      </w:r>
      <w:r>
        <w:rPr/>
        <w:t xml:space="preserve"> (atau setara </w:t>
      </w:r>
      <w:r>
        <w:rPr>
          <w:b/>
        </w:rPr>
        <w:t>20 µg/dL</w:t>
      </w:r>
      <w:r>
        <w:rPr/>
        <w:t>).</w:t>
      </w:r>
    </w:p>
    <w:p>
      <w:pPr>
        <w:pStyle w:val="ListBullet"/>
        <w:spacing w:after="20"/>
      </w:pPr>
      <w:r>
        <w:rPr>
          <w:b/>
        </w:rPr>
        <w:t>Waktu Pengambilan Sampel (</w:t>
      </w:r>
      <w:r>
        <w:rPr>
          <w:b/>
          <w:i/>
        </w:rPr>
        <w:t>Sampling Time</w:t>
      </w:r>
      <w:r>
        <w:rPr>
          <w:b/>
        </w:rPr>
        <w:t>):</w:t>
      </w:r>
      <w:r>
        <w:rPr/>
        <w:t xml:space="preserve"> </w:t>
      </w:r>
      <w:r>
        <w:rPr>
          <w:b/>
        </w:rPr>
        <w:t>Tidak Kritis / Bebas (</w:t>
      </w:r>
      <w:r>
        <w:rPr>
          <w:b/>
          <w:i/>
        </w:rPr>
        <w:t>Not critical / Discretionary</w:t>
      </w:r>
      <w:r>
        <w:rPr>
          <w:b/>
        </w:rPr>
        <w:t>)</w:t>
      </w:r>
      <w:r>
        <w:rPr/>
        <w:t>.</w:t>
      </w:r>
    </w:p>
    <w:p>
      <w:pPr>
        <w:pStyle w:val="ListBullet2"/>
        <w:spacing w:after="20"/>
      </w:pPr>
      <w:r>
        <w:rPr>
          <w:i/>
        </w:rPr>
        <w:t>Rasional Toksikokinetik:</w:t>
      </w:r>
      <w:r>
        <w:rPr/>
        <w:t xml:space="preserve"> Karena waktu paruh timbal darah relatif panjang (sekitar 28–36 hari), fluktuasi harian selama shift kerja tidak mengubah konsentrasi darah secara signifikan, sehingga sampel darah vena bebas diambil kapan saja.</w:t>
      </w:r>
    </w:p>
    <w:p>
      <w:pPr>
        <w:pStyle w:val="ListBullet"/>
        <w:spacing w:after="20"/>
      </w:pPr>
      <w:r>
        <w:rPr>
          <w:i/>
        </w:rPr>
        <w:t>Catatan Khusus Reproduksi Wanita (*ACGIH Note</w:t>
      </w:r>
      <w:r>
        <w:rPr/>
        <w:t xml:space="preserve">):* ACGIH mewajibkan dokter okupasi memberikan </w:t>
      </w:r>
      <w:r>
        <w:rPr>
          <w:b/>
        </w:rPr>
        <w:t>konseling khusus kepada pekerja wanita usia subur (</w:t>
      </w:r>
      <w:r>
        <w:rPr>
          <w:b/>
          <w:i/>
        </w:rPr>
        <w:t>female workers of child-bearing age</w:t>
      </w:r>
      <w:r>
        <w:rPr>
          <w:b/>
        </w:rPr>
        <w:t>)</w:t>
      </w:r>
      <w:r>
        <w:rPr/>
        <w:t xml:space="preserve"> mengenai risiko melahirkan anak dengan BLL melampaui nilai referensi CDC jika BLL ibu di tempat kerja melampaui level dasar.</w:t>
      </w:r>
    </w:p>
    <w:p>
      <w:pPr>
        <w:pStyle w:val="Heading4"/>
      </w:pPr>
      <w:r>
        <w:t>b. Nilai Zinc Protoporphyrin (ZPP)</w:t>
      </w:r>
    </w:p>
    <w:p>
      <w:pPr>
        <w:pStyle w:val="ListBullet"/>
        <w:spacing w:after="20"/>
      </w:pPr>
      <w:r>
        <w:rPr>
          <w:i/>
        </w:rPr>
        <w:t>Nilai Normal:</w:t>
      </w:r>
      <w:r>
        <w:rPr/>
        <w:t xml:space="preserve"> Pada populasi yang tidak terpapar timbal, kadar ZPP darah normal adalah </w:t>
      </w:r>
      <w:r>
        <w:rPr>
          <w:b/>
        </w:rPr>
        <w:t>&lt; 35--40 µg/dL</w:t>
      </w:r>
      <w:r>
        <w:rPr/>
        <w:t xml:space="preserve"> eritrosit.</w:t>
      </w:r>
    </w:p>
    <w:p>
      <w:pPr>
        <w:pStyle w:val="ListBullet"/>
        <w:spacing w:after="20"/>
      </w:pPr>
      <w:r>
        <w:rPr>
          <w:i/>
        </w:rPr>
        <w:t>Karakteristik Kinetik:</w:t>
      </w:r>
      <w:r>
        <w:rPr/>
        <w:t xml:space="preserve"> Kenaikan ZPP </w:t>
      </w:r>
      <w:r>
        <w:rPr>
          <w:b/>
        </w:rPr>
        <w:t>mengalami jeda waktu (</w:t>
      </w:r>
      <w:r>
        <w:rPr>
          <w:b/>
          <w:i/>
        </w:rPr>
        <w:t>time lag</w:t>
      </w:r>
      <w:r>
        <w:rPr>
          <w:b/>
        </w:rPr>
        <w:t>) sekitar 8 hingga 12 minggu (2–3 bulan) di belakang peningkatan BLL</w:t>
      </w:r>
      <w:r>
        <w:rPr/>
        <w:t>. Oleh karena itu, ZPP mencerminkan efek toksik kronis timbal pada sumsum tulang dalam 2–3 bulan terakhir, tetapi tidak dapat digunakan sebagai alat skrining pajanan akut.</w:t>
      </w:r>
    </w:p>
    <w:p>
      <w:pPr>
        <w:pStyle w:val="Heading4"/>
      </w:pPr>
      <w:r>
        <w:t>c. Standar Pelepasan Medis (Medical Removal Protection) dan Pemulihan Kerja (OSHA Lead Standard)</w:t>
      </w:r>
    </w:p>
    <w:p>
      <w:pPr>
        <w:spacing w:after="80"/>
      </w:pPr>
      <w:r>
        <w:rPr/>
        <w:t xml:space="preserve">Berdasarkan </w:t>
      </w:r>
      <w:r>
        <w:rPr>
          <w:i/>
        </w:rPr>
        <w:t>OSHA General Industry Standard</w:t>
      </w:r>
      <w:r>
        <w:rPr/>
        <w:t xml:space="preserve"> (29 CFR 1910.1025):</w:t>
      </w:r>
    </w:p>
    <w:p>
      <w:pPr>
        <w:spacing w:after="40"/>
        <w:ind w:left="340" w:hanging="283"/>
      </w:pPr>
      <w:r>
        <w:rPr/>
        <w:t xml:space="preserve">1. </w:t>
      </w:r>
      <w:r>
        <w:rPr>
          <w:b/>
        </w:rPr>
        <w:t>Ambang Batas Tindakan Udara (</w:t>
      </w:r>
      <w:r>
        <w:rPr>
          <w:b/>
          <w:i/>
        </w:rPr>
        <w:t>Action Level</w:t>
      </w:r>
      <w:r>
        <w:rPr>
          <w:b/>
        </w:rPr>
        <w:t>):</w:t>
      </w:r>
    </w:p>
    <w:p>
      <w:pPr>
        <w:spacing w:after="80"/>
      </w:pPr>
      <w:r>
        <w:rPr/>
        <w:t xml:space="preserve">Konsentrasi timbal udara sebesar </w:t>
      </w:r>
      <w:r>
        <w:rPr>
          <w:b/>
        </w:rPr>
        <w:t>30 µg/m³</w:t>
      </w:r>
      <w:r>
        <w:rPr/>
        <w:t xml:space="preserve"> (TWA 8 jam). Jika pekerja terpajan di atas </w:t>
      </w:r>
      <w:r>
        <w:rPr>
          <w:i/>
        </w:rPr>
        <w:t>action level</w:t>
      </w:r>
      <w:r>
        <w:rPr/>
        <w:t xml:space="preserve"> selama &gt; 30 hari per tahun, pengusaha </w:t>
      </w:r>
      <w:r>
        <w:rPr>
          <w:b/>
        </w:rPr>
        <w:t>wajib menyelenggarakan program surveilans medis berkala dan pemeriksaan BLL</w:t>
      </w:r>
      <w:r>
        <w:rPr/>
        <w:t>.</w:t>
      </w:r>
    </w:p>
    <w:p>
      <w:pPr>
        <w:spacing w:after="40"/>
        <w:ind w:left="340" w:hanging="283"/>
      </w:pPr>
      <w:r>
        <w:rPr/>
        <w:t xml:space="preserve">2. </w:t>
      </w:r>
      <w:r>
        <w:rPr>
          <w:b/>
        </w:rPr>
        <w:t>Notifikasi Tertulis &amp; Evaluasi Medis Khusus:</w:t>
      </w:r>
    </w:p>
    <w:p>
      <w:pPr>
        <w:spacing w:after="80"/>
      </w:pPr>
      <w:r>
        <w:rPr/>
        <w:t xml:space="preserve">Pekerja wajib diberitahu secara tertulis dalam waktu 15 hari dan diberikan pemeriksaan medis berkala jika BLL ditemukan </w:t>
      </w:r>
      <w:r>
        <w:rPr>
          <w:b/>
        </w:rPr>
        <w:t>&gt; 40 µg/dL</w:t>
      </w:r>
      <w:r>
        <w:rPr/>
        <w:t>.</w:t>
      </w:r>
    </w:p>
    <w:p>
      <w:pPr>
        <w:spacing w:after="40"/>
        <w:ind w:left="340" w:hanging="283"/>
      </w:pPr>
      <w:r>
        <w:rPr/>
        <w:t xml:space="preserve">3. </w:t>
      </w:r>
      <w:r>
        <w:rPr>
          <w:b/>
        </w:rPr>
        <w:t>Kriteria Pelepasan Medis dari Area Kerja (</w:t>
      </w:r>
      <w:r>
        <w:rPr>
          <w:b/>
          <w:i/>
        </w:rPr>
        <w:t>Medical Removal</w:t>
      </w:r>
      <w:r>
        <w:rPr>
          <w:b/>
        </w:rPr>
        <w:t>):</w:t>
      </w:r>
    </w:p>
    <w:p>
      <w:pPr>
        <w:spacing w:after="80"/>
      </w:pPr>
      <w:r>
        <w:rPr/>
        <w:t xml:space="preserve">Pengusaha diwajibkan secara hukum untuk </w:t>
      </w:r>
      <w:r>
        <w:rPr>
          <w:b/>
        </w:rPr>
        <w:t>menarik pekerja dari area kerja terpajan timbal (dengan tetap mempertahankan gaji, tunjangan, dan senioritas kerja)</w:t>
      </w:r>
      <w:r>
        <w:rPr/>
        <w:t xml:space="preserve"> bila:</w:t>
      </w:r>
    </w:p>
    <w:p>
      <w:pPr>
        <w:pStyle w:val="ListBullet2"/>
        <w:spacing w:after="20"/>
      </w:pPr>
      <w:r>
        <w:rPr/>
        <w:t xml:space="preserve">Kadar BLL mencapai </w:t>
      </w:r>
      <w:r>
        <w:rPr>
          <w:b/>
        </w:rPr>
        <w:t>≥ 60 µg/dL</w:t>
      </w:r>
      <w:r>
        <w:rPr/>
        <w:t xml:space="preserve"> pada satu kali pemeriksaan laboratorium; </w:t>
      </w:r>
      <w:r>
        <w:rPr>
          <w:b/>
        </w:rPr>
        <w:t>ATAU</w:t>
      </w:r>
    </w:p>
    <w:p>
      <w:pPr>
        <w:pStyle w:val="ListBullet2"/>
        <w:spacing w:after="20"/>
      </w:pPr>
      <w:r>
        <w:rPr/>
        <w:t xml:space="preserve">Rata-rata BLL mencapai </w:t>
      </w:r>
      <w:r>
        <w:rPr>
          <w:b/>
        </w:rPr>
        <w:t>≥ 50 µg/dL</w:t>
      </w:r>
      <w:r>
        <w:rPr/>
        <w:t xml:space="preserve"> pada 3 kali pemeriksaan berturut-turut (atau selama pemantauan 6 bulan) di industri umum dan galangan kapal; </w:t>
      </w:r>
      <w:r>
        <w:rPr>
          <w:b/>
        </w:rPr>
        <w:t>ATAU</w:t>
      </w:r>
    </w:p>
    <w:p>
      <w:pPr>
        <w:pStyle w:val="ListBullet2"/>
        <w:spacing w:after="20"/>
      </w:pPr>
      <w:r>
        <w:rPr/>
        <w:t xml:space="preserve">Kadar BLL mencapai </w:t>
      </w:r>
      <w:r>
        <w:rPr>
          <w:b/>
        </w:rPr>
        <w:t>≥ 50 µg/dL</w:t>
      </w:r>
      <w:r>
        <w:rPr/>
        <w:t xml:space="preserve"> pada pekerja sektor konstruksi.</w:t>
      </w:r>
    </w:p>
    <w:p>
      <w:pPr>
        <w:spacing w:after="40"/>
        <w:ind w:left="340" w:hanging="283"/>
      </w:pPr>
      <w:r>
        <w:rPr/>
        <w:t xml:space="preserve">4. </w:t>
      </w:r>
      <w:r>
        <w:rPr>
          <w:b/>
        </w:rPr>
        <w:t>Kriteria Kembali Bekerja (</w:t>
      </w:r>
      <w:r>
        <w:rPr>
          <w:b/>
          <w:i/>
        </w:rPr>
        <w:t>Return to Work</w:t>
      </w:r>
      <w:r>
        <w:rPr>
          <w:b/>
        </w:rPr>
        <w:t>):</w:t>
      </w:r>
    </w:p>
    <w:p>
      <w:pPr>
        <w:spacing w:after="80"/>
      </w:pPr>
      <w:r>
        <w:rPr/>
        <w:t xml:space="preserve">Pekerja yang telah ditarik </w:t>
      </w:r>
      <w:r>
        <w:rPr>
          <w:b/>
        </w:rPr>
        <w:t>hanya diizinkan kembali bekerja di area pajanan timbal setelah kadar BLL terbukti turun di bawah 40 µg/dL</w:t>
      </w:r>
      <w:r>
        <w:rPr/>
        <w:t xml:space="preserve"> pada dua kali tes konfirmasi berturut-turut.</w:t>
      </w:r>
    </w:p>
    <w:p>
      <w:pPr>
        <w:spacing w:after="80"/>
      </w:pPr>
      <w:r>
        <w:rPr>
          <w:i/>
        </w:rPr>
        <w:t>(Perhatian Klinis: NIOSH dan pedoman kedokteran okupasi modern merekomendasikan target yang jauh lebih protektif, yaitu mempertahankan BLL seluruh pekerja dewasa &lt; 10–20 µg/dL)</w:t>
      </w:r>
      <w:r>
        <w:rPr/>
        <w:t>.</w:t>
      </w:r>
    </w:p>
    <w:p>
      <w:pPr>
        <w:pStyle w:val="Heading3"/>
      </w:pPr>
      <w:r>
        <w:t>3. Tatalaksana Akut, Keracunan, dan Terapi Kelasi</w:t>
      </w:r>
    </w:p>
    <w:p>
      <w:pPr>
        <w:spacing w:after="80"/>
      </w:pPr>
      <w:r>
        <w:rPr/>
        <w:t>Tatalaksana keracunan timbal harus mengintegrasikan penarikan dari sumber paparan, terapi suportif agresif, dan pemberian antidotum kelasi selektif:</w:t>
      </w:r>
    </w:p>
    <w:p>
      <w:pPr>
        <w:spacing w:after="120"/>
        <w:ind w:left="170"/>
      </w:pPr>
      <w:r>
        <w:rPr>
          <w:rFonts w:ascii="Consolas" w:hAnsi="Consolas" w:eastAsia="Consolas"/>
          <w:sz w:val="13"/>
        </w:rPr>
        <w:t xml:space="preserve">                                [ ALGORITMA TERAPI KELASI TIMBAL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DERAJAT BERAT / ENSEFALOPATI AKUT ]                                         [ DERAJAT SEDANG SIMTOMATIK ]</w:t>
      </w:r>
      <w:r>
        <w:br/>
      </w:r>
      <w:r>
        <w:rPr>
          <w:rFonts w:ascii="Consolas" w:hAnsi="Consolas" w:eastAsia="Consolas"/>
          <w:sz w:val="13"/>
        </w:rPr>
        <w:t>(BLL Ekstrem / Kejang / Koma / Edema Otak)                                    (BLL 50–80 µg/dL tanpa ensefalopati)</w:t>
      </w:r>
      <w:r>
        <w:br/>
      </w:r>
      <w:r>
        <w:rPr>
          <w:rFonts w:ascii="Consolas" w:hAnsi="Consolas" w:eastAsia="Consolas"/>
          <w:sz w:val="13"/>
        </w:rPr>
        <w:t>1. ICU, stabilisasi jalan napas, antikonvulsan                                1. Pilihan Utama: DMSA (Succimer) Oral</w:t>
      </w:r>
      <w:r>
        <w:br/>
      </w:r>
      <w:r>
        <w:rPr>
          <w:rFonts w:ascii="Consolas" w:hAnsi="Consolas" w:eastAsia="Consolas"/>
          <w:sz w:val="13"/>
        </w:rPr>
        <w:t>2. KELASI KOMBINASI GANDA:                                                       Dosis: 10 mg/kgBB PO q8h (5 hari),</w:t>
      </w:r>
      <w:r>
        <w:br/>
      </w:r>
      <w:r>
        <w:rPr>
          <w:rFonts w:ascii="Consolas" w:hAnsi="Consolas" w:eastAsia="Consolas"/>
          <w:sz w:val="13"/>
        </w:rPr>
        <w:t xml:space="preserve">   • Berikan BAL (Dimerkaprol) IM DULUAN                                         lalu q12h (14 hari)</w:t>
      </w:r>
      <w:r>
        <w:br/>
      </w:r>
      <w:r>
        <w:rPr>
          <w:rFonts w:ascii="Consolas" w:hAnsi="Consolas" w:eastAsia="Consolas"/>
          <w:sz w:val="13"/>
        </w:rPr>
        <w:t xml:space="preserve">   • 4 jam kemudian: mulai CaNa₂EDTA IV                                       2. Alternatif Lini Kedua: D-Penisilamin</w:t>
      </w:r>
      <w:r>
        <w:br/>
      </w:r>
      <w:r>
        <w:rPr>
          <w:rFonts w:ascii="Consolas" w:hAnsi="Consolas" w:eastAsia="Consolas"/>
          <w:sz w:val="13"/>
        </w:rPr>
        <w:t xml:space="preserve">   • Rasional: Mencegah translokasi Pb ke otak                                3. Hentikan paparan &amp; pantau rebound BLL</w:t>
      </w:r>
    </w:p>
    <w:p>
      <w:pPr>
        <w:pStyle w:val="Heading4"/>
      </w:pPr>
      <w:r>
        <w:t>a. Ambang Batas BLL untuk Inisiasi Terapi Kelasi</w:t>
      </w:r>
    </w:p>
    <w:p>
      <w:pPr>
        <w:pStyle w:val="ListBullet"/>
        <w:spacing w:after="20"/>
      </w:pPr>
      <w:r>
        <w:rPr>
          <w:b/>
        </w:rPr>
        <w:t>Pada Pasien Dewasa Okupasi:</w:t>
      </w:r>
    </w:p>
    <w:p>
      <w:pPr>
        <w:pStyle w:val="ListBullet2"/>
        <w:spacing w:after="20"/>
      </w:pPr>
      <w:r>
        <w:rPr>
          <w:i/>
        </w:rPr>
        <w:t>BLL &lt; 50 µg/dL:</w:t>
      </w:r>
      <w:r>
        <w:rPr/>
        <w:t xml:space="preserve"> </w:t>
      </w:r>
      <w:r>
        <w:rPr>
          <w:b/>
        </w:rPr>
        <w:t>Kelasi TIDAK diindikasikan</w:t>
      </w:r>
      <w:r>
        <w:rPr/>
        <w:t>; intervensi berfokus pada pengendalian sumber pajanan di tempat kerja (</w:t>
      </w:r>
      <w:r>
        <w:rPr>
          <w:i/>
        </w:rPr>
        <w:t>source control</w:t>
      </w:r>
      <w:r>
        <w:rPr/>
        <w:t>) dan edukasi higiene.</w:t>
      </w:r>
    </w:p>
    <w:p>
      <w:pPr>
        <w:pStyle w:val="ListBullet2"/>
        <w:spacing w:after="20"/>
      </w:pPr>
      <w:r>
        <w:rPr>
          <w:i/>
        </w:rPr>
        <w:t>BLL 50–79 µg/dL:</w:t>
      </w:r>
      <w:r>
        <w:rPr/>
        <w:t xml:space="preserve"> Kelasi dipertimbangkan </w:t>
      </w:r>
      <w:r>
        <w:rPr>
          <w:b/>
        </w:rPr>
        <w:t>hanya jika pasien memperlihatkan gejala keracunan timbal aktif</w:t>
      </w:r>
      <w:r>
        <w:rPr/>
        <w:t xml:space="preserve"> (seperti kolik abdomen parah, neuropati motorik, atau anemia progresif) setelah pekerja ditarik dari pajanan.</w:t>
      </w:r>
    </w:p>
    <w:p>
      <w:pPr>
        <w:pStyle w:val="ListBullet2"/>
        <w:spacing w:after="20"/>
      </w:pPr>
      <w:r>
        <w:rPr>
          <w:i/>
        </w:rPr>
        <w:t>BLL ≥ 80–100 µg/dL (atau Ensefalopati Klinis):</w:t>
      </w:r>
      <w:r>
        <w:rPr/>
        <w:t xml:space="preserve"> </w:t>
      </w:r>
      <w:r>
        <w:rPr>
          <w:b/>
        </w:rPr>
        <w:t>Indikasi rawat inap segera dan terapi kelasi agresif</w:t>
      </w:r>
      <w:r>
        <w:rPr/>
        <w:t>.</w:t>
      </w:r>
    </w:p>
    <w:p>
      <w:pPr>
        <w:pStyle w:val="ListBullet"/>
        <w:spacing w:after="20"/>
      </w:pPr>
      <w:r>
        <w:rPr>
          <w:b/>
        </w:rPr>
        <w:t>Pada Pasien Anak-anak:</w:t>
      </w:r>
    </w:p>
    <w:p>
      <w:pPr>
        <w:pStyle w:val="ListBullet2"/>
        <w:spacing w:after="20"/>
      </w:pPr>
      <w:r>
        <w:rPr/>
        <w:t xml:space="preserve">Berdasarkan pedoman CDC/ACCLPP, terapi kelasi diindikasikan pada kadar </w:t>
      </w:r>
      <w:r>
        <w:rPr>
          <w:b/>
        </w:rPr>
        <w:t>BLL ≥ 45 µg/dL</w:t>
      </w:r>
      <w:r>
        <w:rPr/>
        <w:t>.</w:t>
      </w:r>
    </w:p>
    <w:p>
      <w:pPr>
        <w:pStyle w:val="Heading4"/>
      </w:pPr>
      <w:r>
        <w:t>b. Modalitas Agen Kelator Spesifik</w:t>
      </w:r>
    </w:p>
    <w:p>
      <w:pPr>
        <w:spacing w:after="40"/>
        <w:ind w:left="340" w:hanging="283"/>
      </w:pPr>
      <w:r>
        <w:rPr/>
        <w:t xml:space="preserve">1. </w:t>
      </w:r>
      <w:r>
        <w:rPr>
          <w:b/>
        </w:rPr>
        <w:t>Dimerkaprol (</w:t>
      </w:r>
      <w:r>
        <w:rPr>
          <w:b/>
          <w:i/>
        </w:rPr>
        <w:t>British Anti-Lewisite</w:t>
      </w:r>
      <w:r>
        <w:rPr>
          <w:b/>
        </w:rPr>
        <w:t xml:space="preserve"> / BAL):</w:t>
      </w:r>
    </w:p>
    <w:p>
      <w:pPr>
        <w:pStyle w:val="ListBullet2"/>
        <w:spacing w:after="20"/>
      </w:pPr>
      <w:r>
        <w:rPr>
          <w:i/>
        </w:rPr>
        <w:t>Sediaan:</w:t>
      </w:r>
      <w:r>
        <w:rPr/>
        <w:t xml:space="preserve"> Larutan ditiol dalam minyak kacang, diberikan via </w:t>
      </w:r>
      <w:r>
        <w:rPr>
          <w:b/>
        </w:rPr>
        <w:t>injeksi intramuskular (IM) dalam</w:t>
      </w:r>
      <w:r>
        <w:rPr/>
        <w:t>.</w:t>
      </w:r>
    </w:p>
    <w:p>
      <w:pPr>
        <w:pStyle w:val="ListBullet2"/>
        <w:spacing w:after="20"/>
      </w:pPr>
      <w:r>
        <w:rPr>
          <w:i/>
        </w:rPr>
        <w:t>Karakteristik Unik:</w:t>
      </w:r>
      <w:r>
        <w:rPr/>
        <w:t xml:space="preserve"> </w:t>
      </w:r>
      <w:r>
        <w:rPr>
          <w:b/>
        </w:rPr>
        <w:t>BAL bersifat sangat lipofilik dan mampu menembus Sawar Darah Otak (</w:t>
      </w:r>
      <w:r>
        <w:rPr>
          <w:b/>
          <w:i/>
        </w:rPr>
        <w:t>Blood-Brain Barrier</w:t>
      </w:r>
      <w:r>
        <w:rPr>
          <w:b/>
        </w:rPr>
        <w:t xml:space="preserve"> / BBB)</w:t>
      </w:r>
      <w:r>
        <w:rPr/>
        <w:t>.</w:t>
      </w:r>
    </w:p>
    <w:p>
      <w:pPr>
        <w:pStyle w:val="ListBullet2"/>
        <w:spacing w:after="20"/>
      </w:pPr>
      <w:r>
        <w:rPr>
          <w:i/>
        </w:rPr>
        <w:t>Indikasi Mutlak:</w:t>
      </w:r>
      <w:r>
        <w:rPr/>
        <w:t xml:space="preserve"> </w:t>
      </w:r>
      <w:r>
        <w:rPr>
          <w:b/>
        </w:rPr>
        <w:t>Terapi kombinasi wajib pada Ensefalopati Timbal Berat (</w:t>
      </w:r>
      <w:r>
        <w:rPr>
          <w:b/>
          <w:i/>
        </w:rPr>
        <w:t>Severe Lead Encephalopathy</w:t>
      </w:r>
      <w:r>
        <w:rPr>
          <w:b/>
        </w:rPr>
        <w:t>)</w:t>
      </w:r>
      <w:r>
        <w:rPr/>
        <w:t>.</w:t>
      </w:r>
    </w:p>
    <w:p>
      <w:pPr>
        <w:spacing w:after="40"/>
        <w:ind w:left="340" w:hanging="283"/>
      </w:pPr>
      <w:r>
        <w:rPr/>
        <w:t xml:space="preserve">2. </w:t>
      </w:r>
      <w:r>
        <w:rPr>
          <w:b/>
        </w:rPr>
        <w:t xml:space="preserve">Kalsium Disodium Edetat (CaNa₂EDTA / </w:t>
      </w:r>
      <w:r>
        <w:rPr>
          <w:b/>
          <w:i/>
        </w:rPr>
        <w:t>Edetate Calcium Disodium</w:t>
      </w:r>
      <w:r>
        <w:rPr>
          <w:b/>
        </w:rPr>
        <w:t>):</w:t>
      </w:r>
    </w:p>
    <w:p>
      <w:pPr>
        <w:pStyle w:val="ListBullet2"/>
        <w:spacing w:after="20"/>
      </w:pPr>
      <w:r>
        <w:rPr>
          <w:i/>
        </w:rPr>
        <w:t>Sediaan:</w:t>
      </w:r>
      <w:r>
        <w:rPr/>
        <w:t xml:space="preserve"> Diberikan melalui </w:t>
      </w:r>
      <w:r>
        <w:rPr>
          <w:b/>
        </w:rPr>
        <w:t>infus intravena (IV) lambat</w:t>
      </w:r>
      <w:r>
        <w:rPr/>
        <w:t xml:space="preserve"> (atau IM yang dilarutkan dengan prokain).</w:t>
      </w:r>
    </w:p>
    <w:p>
      <w:pPr>
        <w:pStyle w:val="ListBullet2"/>
        <w:spacing w:after="20"/>
      </w:pPr>
      <w:r>
        <w:rPr>
          <w:i/>
        </w:rPr>
        <w:t>Mekanisme:</w:t>
      </w:r>
      <w:r>
        <w:rPr/>
        <w:t xml:space="preserve"> Membentuk ikatan cincin kelat heterosiklik larut air dengan timbal (menggantikan kalsium) yang diekskresikan melalui filtrasi ginjal.</w:t>
      </w:r>
    </w:p>
    <w:p>
      <w:pPr>
        <w:pStyle w:val="ListBullet2"/>
        <w:spacing w:after="20"/>
      </w:pPr>
      <w:r>
        <w:rPr>
          <w:i/>
        </w:rPr>
        <w:t>Peringatan Kritis Kematian (*Black Box Warning</w:t>
      </w:r>
      <w:r>
        <w:rPr/>
        <w:t xml:space="preserve">):* </w:t>
      </w:r>
      <w:r>
        <w:rPr>
          <w:b/>
        </w:rPr>
        <w:t>Wajib menggunakan garam kalsium (CaNa₂EDTA), BUKAN garam dinatrium (Na₂EDTA)!</w:t>
      </w:r>
      <w:r>
        <w:rPr/>
        <w:t xml:space="preserve"> Pemberian Na₂EDTA mengikat kalsium bebas serum secara instan dan memicu </w:t>
      </w:r>
      <w:r>
        <w:rPr>
          <w:b/>
        </w:rPr>
        <w:t>hipokalsemia berat yang mematikan (tetani, kejang, dan henti jantung)</w:t>
      </w:r>
      <w:r>
        <w:rPr/>
        <w:t>.</w:t>
      </w:r>
    </w:p>
    <w:p>
      <w:pPr>
        <w:spacing w:after="40"/>
        <w:ind w:left="340" w:hanging="283"/>
      </w:pPr>
      <w:r>
        <w:rPr/>
        <w:t xml:space="preserve">3. </w:t>
      </w:r>
      <w:r>
        <w:rPr>
          <w:b/>
        </w:rPr>
        <w:t>DMSA (</w:t>
      </w:r>
      <w:r>
        <w:rPr>
          <w:b/>
          <w:i/>
        </w:rPr>
        <w:t>meso-2,3-dimercaptosuccinic acid</w:t>
      </w:r>
      <w:r>
        <w:rPr>
          <w:b/>
        </w:rPr>
        <w:t xml:space="preserve"> / </w:t>
      </w:r>
      <w:r>
        <w:rPr>
          <w:b/>
          <w:i/>
        </w:rPr>
        <w:t>Succimer</w:t>
      </w:r>
      <w:r>
        <w:rPr>
          <w:b/>
        </w:rPr>
        <w:t>):</w:t>
      </w:r>
    </w:p>
    <w:p>
      <w:pPr>
        <w:pStyle w:val="ListBullet2"/>
        <w:spacing w:after="20"/>
      </w:pPr>
      <w:r>
        <w:rPr>
          <w:i/>
        </w:rPr>
        <w:t>Sediaan:</w:t>
      </w:r>
      <w:r>
        <w:rPr/>
        <w:t xml:space="preserve"> Kapsul oral.</w:t>
      </w:r>
    </w:p>
    <w:p>
      <w:pPr>
        <w:pStyle w:val="ListBullet2"/>
        <w:spacing w:after="20"/>
      </w:pPr>
      <w:r>
        <w:rPr>
          <w:i/>
        </w:rPr>
        <w:t>Indikasi:</w:t>
      </w:r>
      <w:r>
        <w:rPr/>
        <w:t xml:space="preserve"> </w:t>
      </w:r>
      <w:r>
        <w:rPr>
          <w:b/>
        </w:rPr>
        <w:t>Agen kelator per oral lini pertama (</w:t>
      </w:r>
      <w:r>
        <w:rPr>
          <w:b/>
          <w:i/>
        </w:rPr>
        <w:t>first-line oral chelator</w:t>
      </w:r>
      <w:r>
        <w:rPr>
          <w:b/>
        </w:rPr>
        <w:t>)</w:t>
      </w:r>
      <w:r>
        <w:rPr/>
        <w:t xml:space="preserve"> untuk keracunan timbal tanpa komplikasi ensefalopati.</w:t>
      </w:r>
    </w:p>
    <w:p>
      <w:pPr>
        <w:pStyle w:val="ListBullet2"/>
        <w:spacing w:after="20"/>
      </w:pPr>
      <w:r>
        <w:rPr>
          <w:i/>
        </w:rPr>
        <w:t>Keunggulan:</w:t>
      </w:r>
      <w:r>
        <w:rPr/>
        <w:t xml:space="preserve"> Sifatnya hidrofilik, ditoleransi dengan sangat baik secara gastrointestinal, memiliki spesifisitas tinggi terhadap timbal, dan tidak mengekskresikan mineral esensial (seperti seng dan tembaga) secara berlebihan.</w:t>
      </w:r>
    </w:p>
    <w:p>
      <w:pPr>
        <w:pStyle w:val="ListBullet2"/>
        <w:spacing w:after="20"/>
      </w:pPr>
      <w:r>
        <w:rPr>
          <w:i/>
        </w:rPr>
        <w:t>Dosis Protokol:</w:t>
      </w:r>
      <w:r>
        <w:rPr/>
        <w:t xml:space="preserve"> 10 mg/kgBB (atau 350 mg/m²) setiap 8 jam selama 5 hari, dilanjutkan setiap 12 jam selama 14 hari (total durasi siklus 19 hari).</w:t>
      </w:r>
    </w:p>
    <w:p>
      <w:pPr>
        <w:spacing w:after="40"/>
        <w:ind w:left="340" w:hanging="283"/>
      </w:pPr>
      <w:r>
        <w:rPr/>
        <w:t xml:space="preserve">4. </w:t>
      </w:r>
      <w:r>
        <w:rPr>
          <w:b/>
        </w:rPr>
        <w:t>D-Penisilamin (</w:t>
      </w:r>
      <w:r>
        <w:rPr>
          <w:b/>
          <w:i/>
        </w:rPr>
        <w:t>D-Penicillamine</w:t>
      </w:r>
      <w:r>
        <w:rPr>
          <w:b/>
        </w:rPr>
        <w:t>):</w:t>
      </w:r>
    </w:p>
    <w:p>
      <w:pPr>
        <w:pStyle w:val="ListBullet2"/>
        <w:spacing w:after="20"/>
      </w:pPr>
      <w:r>
        <w:rPr>
          <w:i/>
        </w:rPr>
        <w:t>Sediaan:</w:t>
      </w:r>
      <w:r>
        <w:rPr/>
        <w:t xml:space="preserve"> Agen oral lini kedua (</w:t>
      </w:r>
      <w:r>
        <w:rPr>
          <w:i/>
        </w:rPr>
        <w:t>second-line oral agent</w:t>
      </w:r>
      <w:r>
        <w:rPr/>
        <w:t>).</w:t>
      </w:r>
    </w:p>
    <w:p>
      <w:pPr>
        <w:pStyle w:val="ListBullet2"/>
        <w:spacing w:after="20"/>
      </w:pPr>
      <w:r>
        <w:rPr>
          <w:i/>
        </w:rPr>
        <w:t>Indikasi:</w:t>
      </w:r>
      <w:r>
        <w:rPr/>
        <w:t xml:space="preserve"> Hanya dipertimbangkan pada keracunan timbal kronis ringan-sedang bila DMSA tidak tersedia atau pasien alergi terhadap suksimer.</w:t>
      </w:r>
    </w:p>
    <w:p>
      <w:pPr>
        <w:pStyle w:val="ListBullet2"/>
        <w:spacing w:after="20"/>
      </w:pPr>
      <w:r>
        <w:rPr>
          <w:i/>
        </w:rPr>
        <w:t>Risiko:</w:t>
      </w:r>
      <w:r>
        <w:rPr/>
        <w:t xml:space="preserve"> Efek samping tinggi (reaksi anafilaksis silang pada pasien alergi penisilin, nefrotoksisitas proteinuria, dan supresi sumsum tulang/leukopenia).</w:t>
      </w:r>
    </w:p>
    <w:p>
      <w:pPr>
        <w:pStyle w:val="Heading4"/>
      </w:pPr>
      <w:r>
        <w:t>c. Protokol Khusus Ensefalopati Timbal Berat: Urutan Pemberian BAL dan CaNa₂EDTA</w:t>
      </w:r>
    </w:p>
    <w:p>
      <w:pPr>
        <w:ind w:left="454"/>
      </w:pPr>
      <w:r>
        <w:rPr>
          <w:b/>
          <w:i/>
        </w:rPr>
        <w:t>Peringatan Kritis Dewan Penguji (</w:t>
      </w:r>
      <w:r>
        <w:rPr>
          <w:b/>
          <w:i/>
        </w:rPr>
        <w:t>The Golden Lead Encephalopathy Rule</w:t>
      </w:r>
      <w:r>
        <w:rPr>
          <w:b/>
          <w:i/>
        </w:rPr>
        <w:t>):</w:t>
      </w:r>
    </w:p>
    <w:p>
      <w:pPr>
        <w:ind w:left="454"/>
      </w:pPr>
      <w:r>
        <w:rPr>
          <w:i/>
        </w:rPr>
        <w:t xml:space="preserve">Pada kasus ensefalopati timbal berat, </w:t>
      </w:r>
      <w:r>
        <w:rPr>
          <w:b/>
          <w:i/>
        </w:rPr>
        <w:t>DIMERKAPROL (BAL) WAJIB DIBERIKAN SEBAGAI DOSIS PERTAMA, MINIMAL 4 JAM SEBELUM DOSIS PERTAMA CaNa₂EDTA DIMULAI!</w:t>
      </w:r>
    </w:p>
    <w:p>
      <w:pPr>
        <w:pStyle w:val="ListBullet"/>
        <w:spacing w:after="20"/>
      </w:pPr>
      <w:r>
        <w:rPr>
          <w:b/>
        </w:rPr>
        <w:t>Rasional Mekanistik Farmakologi:</w:t>
      </w:r>
    </w:p>
    <w:p>
      <w:pPr>
        <w:spacing w:after="40"/>
        <w:ind w:left="680" w:hanging="283"/>
      </w:pPr>
      <w:r>
        <w:rPr/>
        <w:t xml:space="preserve">1. CaNa₂EDTA bersifat sangat hidrofilik dan </w:t>
      </w:r>
      <w:r>
        <w:rPr>
          <w:b/>
        </w:rPr>
        <w:t>tidak mampu menembus sawar darah otak (BBB) secara efektif</w:t>
      </w:r>
      <w:r>
        <w:rPr/>
        <w:t>.</w:t>
      </w:r>
    </w:p>
    <w:p>
      <w:pPr>
        <w:spacing w:after="40"/>
        <w:ind w:left="680" w:hanging="283"/>
      </w:pPr>
      <w:r>
        <w:rPr/>
        <w:t>2. Jika CaNa₂EDTA diberikan sendirian atau mendahului BAL pada pasien dengan beban timbal tinggi, molekul EDTA akan memobilisasi deposit timbal dalam jumlah masif dari tulang dan jaringan lunak perifer ke dalam kompartemen vaskular.</w:t>
      </w:r>
    </w:p>
    <w:p>
      <w:pPr>
        <w:spacing w:after="40"/>
        <w:ind w:left="680" w:hanging="283"/>
      </w:pPr>
      <w:r>
        <w:rPr/>
        <w:t xml:space="preserve">3. Lonjakan timbal bebas di dalam sirkulasi darah ini akan </w:t>
      </w:r>
      <w:r>
        <w:rPr>
          <w:b/>
        </w:rPr>
        <w:t>berdifusi melintasi barier kapiler serebral yang sudah rusak, memicu translokasi timbal secara masif langsung ke dalam jaringan otak (</w:t>
      </w:r>
      <w:r>
        <w:rPr>
          <w:b/>
          <w:i/>
        </w:rPr>
        <w:t>lead redistribution to the brain</w:t>
      </w:r>
      <w:r>
        <w:rPr>
          <w:b/>
        </w:rPr>
        <w:t>)</w:t>
      </w:r>
      <w:r>
        <w:rPr/>
        <w:t>.</w:t>
      </w:r>
    </w:p>
    <w:p>
      <w:pPr>
        <w:spacing w:after="40"/>
        <w:ind w:left="680" w:hanging="283"/>
      </w:pPr>
      <w:r>
        <w:rPr/>
        <w:t xml:space="preserve">4. Akibatnya, pemberian EDTA secara tunggal dapat </w:t>
      </w:r>
      <w:r>
        <w:rPr>
          <w:b/>
        </w:rPr>
        <w:t>memperburuk edema serebral, memicu kejang tonik-klonik berulang, koma mendalam, dan kematian herniasi otak</w:t>
      </w:r>
      <w:r>
        <w:rPr/>
        <w:t>.</w:t>
      </w:r>
    </w:p>
    <w:p>
      <w:pPr>
        <w:spacing w:after="40"/>
        <w:ind w:left="680" w:hanging="283"/>
      </w:pPr>
      <w:r>
        <w:rPr/>
        <w:t>5. Sebaliknya, pemberian BAL dosis awal (yang mampu menembus BBB) memastikan timbal di parenkim otak telah diikat menjadi kelat netral sebelum klirens vaskular oleh CaNa₂EDTA diaktifkan.</w:t>
      </w:r>
    </w:p>
    <w:p>
      <w:pPr>
        <w:pStyle w:val="Heading3"/>
      </w:pPr>
      <w:r>
        <w:t>4. Tatalaksana Okupasi: Individu dan Komunitas</w:t>
      </w:r>
    </w:p>
    <w:p>
      <w:pPr>
        <w:spacing w:after="80"/>
      </w:pPr>
      <w:r>
        <w:rPr/>
        <w:t>Sebagai dokter spesialis, pendekatan Anda wajib mengintegrasikan aspek hukum penetapan diagnosis, kelaikan kerja, dan pengendalian hierarki industri:</w:t>
      </w:r>
    </w:p>
    <w:p>
      <w:pPr>
        <w:spacing w:after="120"/>
        <w:ind w:left="170"/>
      </w:pPr>
      <w:r>
        <w:rPr>
          <w:rFonts w:ascii="Consolas" w:hAnsi="Consolas" w:eastAsia="Consolas"/>
          <w:sz w:val="13"/>
        </w:rPr>
        <w:t xml:space="preserve">                      [ PENEGAKAN DIAGNOSIS DAN MANAJEMEN OKUPASI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[ 7 LANGKAH PERMENKES 11/2022 ]      [ KELAIKAN KERJA (FITNESS) ]        [ HIERARKI KONTROL INDUSTRI ]</w:t>
      </w:r>
      <w:r>
        <w:br/>
      </w:r>
      <w:r>
        <w:rPr>
          <w:rFonts w:ascii="Consolas" w:hAnsi="Consolas" w:eastAsia="Consolas"/>
          <w:sz w:val="13"/>
        </w:rPr>
        <w:t>1. Diagnosis Klinis (ICD-10)         • Fit: BLL &lt; 20 µg/dL, sehat        • Eliminasi: Solder bebas timbal</w:t>
      </w:r>
      <w:r>
        <w:br/>
      </w:r>
      <w:r>
        <w:rPr>
          <w:rFonts w:ascii="Consolas" w:hAnsi="Consolas" w:eastAsia="Consolas"/>
          <w:sz w:val="13"/>
        </w:rPr>
        <w:t>2. Identifikasi Pajanan Lapangan     • Fit with Restriction: BLL 20–40,  • Substitusi: Cat pigmen non-Pb</w:t>
      </w:r>
      <w:r>
        <w:br/>
      </w:r>
      <w:r>
        <w:rPr>
          <w:rFonts w:ascii="Consolas" w:hAnsi="Consolas" w:eastAsia="Consolas"/>
          <w:sz w:val="13"/>
        </w:rPr>
        <w:t>3. Hubungan Kausal Toksikologi         hindari area pemotongan/furnace   • Rekayasa: LEV bertudung,</w:t>
      </w:r>
      <w:r>
        <w:br/>
      </w:r>
      <w:r>
        <w:rPr>
          <w:rFonts w:ascii="Consolas" w:hAnsi="Consolas" w:eastAsia="Consolas"/>
          <w:sz w:val="13"/>
        </w:rPr>
        <w:t>4. Besaran Dosis (NAB, BLL, masa)    • Temporary Unfit: BLL ≥ 50–60,       sistem vakum HEPA (no dry sweep)</w:t>
      </w:r>
      <w:r>
        <w:br/>
      </w:r>
      <w:r>
        <w:rPr>
          <w:rFonts w:ascii="Consolas" w:hAnsi="Consolas" w:eastAsia="Consolas"/>
          <w:sz w:val="13"/>
        </w:rPr>
        <w:t>5. Faktor Host (Higiene mulut, Fe)     kolik/paresis, kelasi berjalan    • Proteksi take-home lead</w:t>
      </w:r>
      <w:r>
        <w:br/>
      </w:r>
      <w:r>
        <w:rPr>
          <w:rFonts w:ascii="Consolas" w:hAnsi="Consolas" w:eastAsia="Consolas"/>
          <w:sz w:val="13"/>
        </w:rPr>
        <w:t>6. Pajanan Luar (Cat rumah, hobi)    • Unfit (Permanent): ESRD, stroke   • Larangan hamil di area Pb!</w:t>
      </w:r>
      <w:r>
        <w:br/>
      </w:r>
      <w:r>
        <w:rPr>
          <w:rFonts w:ascii="Consolas" w:hAnsi="Consolas" w:eastAsia="Consolas"/>
          <w:sz w:val="13"/>
        </w:rPr>
        <w:t>7. KESIMPULAN DIAGNOSIS PAK          • PEKERJA HAMIL: Segera ditarik!      (Immediate transfer BLL ≥ 10)</w:t>
      </w:r>
    </w:p>
    <w:p>
      <w:pPr>
        <w:pStyle w:val="Heading4"/>
      </w:pPr>
      <w:r>
        <w:t>a. Penerapan 7 Langkah Diagnosis PAK (Permenkes No. 11 Tahun 2022)</w:t>
      </w:r>
    </w:p>
    <w:p>
      <w:pPr>
        <w:spacing w:after="80"/>
      </w:pPr>
      <w:r>
        <w:rPr/>
        <w:t>Kasus: Seorang teknisi pemotongan baja jembatan (</w:t>
      </w:r>
      <w:r>
        <w:rPr>
          <w:i/>
        </w:rPr>
        <w:t>torch cutter</w:t>
      </w:r>
      <w:r>
        <w:rPr/>
        <w:t>) atau operator pabrik aki yang datang dengan kelemahan pergelangan tangan (</w:t>
      </w:r>
      <w:r>
        <w:rPr>
          <w:i/>
        </w:rPr>
        <w:t>wrist drop</w:t>
      </w:r>
      <w:r>
        <w:rPr/>
        <w:t>) dan anemia mikrositik:</w:t>
      </w:r>
    </w:p>
    <w:p>
      <w:pPr>
        <w:spacing w:after="40"/>
        <w:ind w:left="340" w:hanging="283"/>
      </w:pPr>
      <w:r>
        <w:rPr/>
        <w:t xml:space="preserve">1. </w:t>
      </w:r>
      <w:r>
        <w:rPr>
          <w:b/>
        </w:rPr>
        <w:t>Langkah 1 (Diagnosis Klinis):</w:t>
      </w:r>
    </w:p>
    <w:p>
      <w:pPr>
        <w:spacing w:after="80"/>
      </w:pPr>
      <w:r>
        <w:rPr>
          <w:i/>
        </w:rPr>
        <w:t>Toxic motor neuropathy due to lead / Wrist drop</w:t>
      </w:r>
      <w:r>
        <w:rPr/>
        <w:t xml:space="preserve"> (ICD-10: G62.2), </w:t>
      </w:r>
      <w:r>
        <w:rPr>
          <w:i/>
        </w:rPr>
        <w:t>Saturnine colic</w:t>
      </w:r>
      <w:r>
        <w:rPr/>
        <w:t xml:space="preserve"> (K59.8), dan </w:t>
      </w:r>
      <w:r>
        <w:rPr>
          <w:i/>
        </w:rPr>
        <w:t>Anemia induced by lead poisoning</w:t>
      </w:r>
      <w:r>
        <w:rPr/>
        <w:t xml:space="preserve"> (D64.8).</w:t>
      </w:r>
    </w:p>
    <w:p>
      <w:pPr>
        <w:spacing w:after="40"/>
        <w:ind w:left="340" w:hanging="283"/>
      </w:pPr>
      <w:r>
        <w:rPr/>
        <w:t xml:space="preserve">2. </w:t>
      </w:r>
      <w:r>
        <w:rPr>
          <w:b/>
        </w:rPr>
        <w:t>Langkah 2 (Pajanan di Tempat Kerja):</w:t>
      </w:r>
    </w:p>
    <w:p>
      <w:pPr>
        <w:spacing w:after="80"/>
      </w:pPr>
      <w:r>
        <w:rPr/>
        <w:t>Pekerja memotong struktur baja berlapis cat timbal menggunakan las asetilen bersuhu tinggi (</w:t>
      </w:r>
      <w:r>
        <w:rPr>
          <w:i/>
        </w:rPr>
        <w:t>torch cutting</w:t>
      </w:r>
      <w:r>
        <w:rPr/>
        <w:t>), terpajan uap timbal (</w:t>
      </w:r>
      <w:r>
        <w:rPr>
          <w:i/>
        </w:rPr>
        <w:t>lead fumes</w:t>
      </w:r>
      <w:r>
        <w:rPr/>
        <w:t>) pekat tanpa respirator yang sesuai.</w:t>
      </w:r>
    </w:p>
    <w:p>
      <w:pPr>
        <w:spacing w:after="40"/>
        <w:ind w:left="340" w:hanging="283"/>
      </w:pPr>
      <w:r>
        <w:rPr/>
        <w:t xml:space="preserve">3. </w:t>
      </w:r>
      <w:r>
        <w:rPr>
          <w:b/>
        </w:rPr>
        <w:t>Langkah 3 (Hubungan Kausalitas Pajanan dan Klinis):</w:t>
      </w:r>
    </w:p>
    <w:p>
      <w:pPr>
        <w:spacing w:after="80"/>
      </w:pPr>
      <w:r>
        <w:rPr/>
        <w:t>Secara biologis terbukti kuat: timbal menghambat enzim ALAD dan ferrochelatase memicu anemia mikrositik hipokromik dengan basophilic stippling; timbal menginduksi demielinisasi segmental saraf motorik nervus radialis.</w:t>
      </w:r>
    </w:p>
    <w:p>
      <w:pPr>
        <w:spacing w:after="40"/>
        <w:ind w:left="340" w:hanging="283"/>
      </w:pPr>
      <w:r>
        <w:rPr/>
        <w:t xml:space="preserve">4. </w:t>
      </w:r>
      <w:r>
        <w:rPr>
          <w:b/>
        </w:rPr>
        <w:t>Langkah 4 (Besarnya Dosis Pajanan):</w:t>
      </w:r>
    </w:p>
    <w:p>
      <w:pPr>
        <w:spacing w:after="80"/>
      </w:pPr>
      <w:r>
        <w:rPr/>
        <w:t>Konsentrasi timbal udara melebihi NAB Permenaker 5/2018 (&gt; 0,05 mg/m³); kadar BLL melampaui batas kritis (misalnya mencapai 80–130 µg/dL); masa kerja &gt; 1 tahun; jam kerja berlebih.</w:t>
      </w:r>
    </w:p>
    <w:p>
      <w:pPr>
        <w:spacing w:after="40"/>
        <w:ind w:left="340" w:hanging="283"/>
      </w:pPr>
      <w:r>
        <w:rPr/>
        <w:t xml:space="preserve">5. </w:t>
      </w:r>
      <w:r>
        <w:rPr>
          <w:b/>
        </w:rPr>
        <w:t>Langkah 5 (Faktor Kerentanan Individu):</w:t>
      </w:r>
    </w:p>
    <w:p>
      <w:pPr>
        <w:spacing w:after="80"/>
      </w:pPr>
      <w:r>
        <w:rPr/>
        <w:t>Evaluasi defisiensi zat besi atau kalsium (yang meningkatkan absorpsi timbal usus), polimorfisme genetik ALAD, serta higiene mulut buruk yang memicu presipitasi garis Burton.</w:t>
      </w:r>
    </w:p>
    <w:p>
      <w:pPr>
        <w:spacing w:after="40"/>
        <w:ind w:left="340" w:hanging="283"/>
      </w:pPr>
      <w:r>
        <w:rPr/>
        <w:t xml:space="preserve">6. </w:t>
      </w:r>
      <w:r>
        <w:rPr>
          <w:b/>
        </w:rPr>
        <w:t>Langkah 6 (Faktor di Luar Tempat Kerja):</w:t>
      </w:r>
    </w:p>
    <w:p>
      <w:pPr>
        <w:spacing w:after="80"/>
      </w:pPr>
      <w:r>
        <w:rPr/>
        <w:t>Menyingkirkan paparan cat rumah tua terkelupas (pre-1978), hobi menembak di lapangan tembak tertutup tanpa ventilasi, konsumsi obat herbal tradisional yang terkontaminasi, dan pipa air timbal domestik.</w:t>
      </w:r>
    </w:p>
    <w:p>
      <w:pPr>
        <w:spacing w:after="40"/>
        <w:ind w:left="340" w:hanging="283"/>
      </w:pPr>
      <w:r>
        <w:rPr/>
        <w:t xml:space="preserve">7. </w:t>
      </w:r>
      <w:r>
        <w:rPr>
          <w:b/>
        </w:rPr>
        <w:t>Langkah 7 (Kesimpulan Diagnosis Okupasi):</w:t>
      </w:r>
    </w:p>
    <w:p>
      <w:pPr>
        <w:spacing w:after="80"/>
      </w:pPr>
      <w:r>
        <w:rPr/>
        <w:t xml:space="preserve">Ditetapkan secara sah sebagai </w:t>
      </w:r>
      <w:r>
        <w:rPr>
          <w:b/>
        </w:rPr>
        <w:t>Penyakit Akibat Kerja (PAK)</w:t>
      </w:r>
      <w:r>
        <w:rPr/>
        <w:t xml:space="preserve"> berdasarkan </w:t>
      </w:r>
      <w:r>
        <w:rPr>
          <w:b/>
        </w:rPr>
        <w:t>Perpres No. 7 Tahun 2019 Lampiran I.a Butir 5</w:t>
      </w:r>
      <w:r>
        <w:rPr/>
        <w:t xml:space="preserve"> ("Penyakit yang disebabkan oleh timbal atau persenyawaannya"). Berhak memperoleh pembiayaan perawatan medis dan kompensasi kecacatan JKK.</w:t>
      </w:r>
    </w:p>
    <w:p>
      <w:pPr>
        <w:pStyle w:val="Heading4"/>
      </w:pPr>
      <w:r>
        <w:t>b. Penilaian Kelaikan Kerja (Fitness for Work)</w:t>
      </w:r>
    </w:p>
    <w:p>
      <w:pPr>
        <w:pStyle w:val="ListBullet"/>
        <w:spacing w:after="20"/>
      </w:pPr>
      <w:r>
        <w:rPr>
          <w:b/>
        </w:rPr>
        <w:t>Fit (Laik Kerja Penuh):</w:t>
      </w:r>
      <w:r>
        <w:rPr/>
        <w:t xml:space="preserve"> Pekerja sehat tanpa gejala klinis, fungsi neurologis utuh, hemoglobin normal, dan kadar BLL memenuhi standar BEI (&lt; 20 µg/dL atau &lt; 200 µg/L).</w:t>
      </w:r>
    </w:p>
    <w:p>
      <w:pPr>
        <w:pStyle w:val="ListBullet"/>
        <w:spacing w:after="20"/>
      </w:pPr>
      <w:r>
        <w:rPr>
          <w:b/>
        </w:rPr>
        <w:t>Fit with Restriction (Laik dengan Pembatasan):</w:t>
      </w:r>
      <w:r>
        <w:rPr/>
        <w:t xml:space="preserve"> Pekerja dengan BLL 20–40 µg/dL tanpa keluhan neurologis/ginjal; </w:t>
      </w:r>
      <w:r>
        <w:rPr>
          <w:b/>
        </w:rPr>
        <w:t>dilarang bekerja di area bersuhu panas tinggi (</w:t>
      </w:r>
      <w:r>
        <w:rPr>
          <w:b/>
          <w:i/>
        </w:rPr>
        <w:t>furnace/torch cutting</w:t>
      </w:r>
      <w:r>
        <w:rPr>
          <w:b/>
        </w:rPr>
        <w:t>) atau area berdebu pekat</w:t>
      </w:r>
      <w:r>
        <w:rPr/>
        <w:t>; dipindahkan ke area pergudangan logistik tertutup berventilasi baik dengan evaluasi BLL setiap bulan.</w:t>
      </w:r>
    </w:p>
    <w:p>
      <w:pPr>
        <w:pStyle w:val="ListBullet"/>
        <w:spacing w:after="20"/>
      </w:pPr>
      <w:r>
        <w:rPr>
          <w:b/>
        </w:rPr>
        <w:t xml:space="preserve">Temporary Unfit (Tidak Laik Sementara / </w:t>
      </w:r>
      <w:r>
        <w:rPr>
          <w:b/>
          <w:i/>
        </w:rPr>
        <w:t>Medical Removal</w:t>
      </w:r>
      <w:r>
        <w:rPr>
          <w:b/>
        </w:rPr>
        <w:t>):</w:t>
      </w:r>
    </w:p>
    <w:p>
      <w:pPr>
        <w:spacing w:after="80"/>
      </w:pPr>
      <w:r>
        <w:rPr/>
        <w:t xml:space="preserve">Pekerja dengan </w:t>
      </w:r>
      <w:r>
        <w:rPr>
          <w:b/>
        </w:rPr>
        <w:t>BLL ≥ 50--60 µg/dL</w:t>
      </w:r>
      <w:r>
        <w:rPr/>
        <w:t>, ATAU pekerja yang menunjukkan gejala aktif (kolik timbal, parese nervus radialis, anemia berat, atau sedang menjalani siklus terapi kelasi).</w:t>
      </w:r>
    </w:p>
    <w:p>
      <w:pPr>
        <w:spacing w:after="80"/>
      </w:pPr>
      <w:r>
        <w:rPr>
          <w:i/>
        </w:rPr>
        <w:t>Tindakan Medis:</w:t>
      </w:r>
      <w:r>
        <w:rPr/>
        <w:t xml:space="preserve"> Wajib ditarik dari area kerja berpotensi pajanan timbal, diobati hingga sembuh klinis, dan baru diizinkan kembali bekerja setelah BLL terbukti turun di bawah </w:t>
      </w:r>
      <w:r>
        <w:rPr>
          <w:b/>
        </w:rPr>
        <w:t>40 µg/dL</w:t>
      </w:r>
      <w:r>
        <w:rPr/>
        <w:t>.</w:t>
      </w:r>
    </w:p>
    <w:p>
      <w:pPr>
        <w:pStyle w:val="ListBullet"/>
        <w:spacing w:after="20"/>
      </w:pPr>
      <w:r>
        <w:rPr>
          <w:b/>
        </w:rPr>
        <w:t>Unfit (Tidak Laik Permanen):</w:t>
      </w:r>
      <w:r>
        <w:rPr/>
        <w:t xml:space="preserve"> Pekerja dengan kerusakan ginjal interstisial ireversibel stadium akhir (ESRD), ensefalopati kronis permanen, atau kelumpuhan motorik berat yang tidak pulih. Direkomendasikan untuk terminasi pajanan tetap dan evaluasi kecacatan permanen JKK.</w:t>
      </w:r>
    </w:p>
    <w:p>
      <w:pPr>
        <w:pStyle w:val="Heading4"/>
      </w:pPr>
      <w:r>
        <w:t>c. Kebijakan Khusus Pekerja Wanita Hamil dan Menyusui (Pregnant and Lactating Workers)</w:t>
      </w:r>
    </w:p>
    <w:p>
      <w:pPr>
        <w:ind w:left="454"/>
      </w:pPr>
      <w:r>
        <w:rPr>
          <w:b/>
          <w:i/>
        </w:rPr>
        <w:t>Prinsip Fundamental Toksikologi Reproduksi:</w:t>
      </w:r>
    </w:p>
    <w:p>
      <w:pPr>
        <w:ind w:left="454"/>
      </w:pPr>
      <w:r>
        <w:rPr>
          <w:b/>
          <w:i/>
        </w:rPr>
        <w:t>TIDAK ADA AMBANG BATAS PAJANAN TIMBAL YANG AMAN BAGI JANIN DAN ANAK-ANAK (</w:t>
      </w:r>
      <w:r>
        <w:rPr>
          <w:b/>
          <w:i/>
        </w:rPr>
        <w:t>No safe blood lead level has been identified</w:t>
      </w:r>
      <w:r>
        <w:rPr>
          <w:b/>
          <w:i/>
        </w:rPr>
        <w:t>)!</w:t>
      </w:r>
    </w:p>
    <w:p>
      <w:pPr>
        <w:spacing w:after="40"/>
        <w:ind w:left="340" w:hanging="283"/>
      </w:pPr>
      <w:r>
        <w:rPr/>
        <w:t xml:space="preserve">1. </w:t>
      </w:r>
      <w:r>
        <w:rPr>
          <w:b/>
        </w:rPr>
        <w:t>Translokasi Transplasenta &amp; Laktasi:</w:t>
      </w:r>
      <w:r>
        <w:rPr/>
        <w:t xml:space="preserve"> Timbal menembus sawar plasenta secara bebas (</w:t>
      </w:r>
      <w:r>
        <w:rPr>
          <w:i/>
        </w:rPr>
        <w:t>crosses the placenta readily</w:t>
      </w:r>
      <w:r>
        <w:rPr/>
        <w:t>) sehingga kadar timbal darah janin setara dengan kadar darah ibu. Selain itu, timbal terdistribusi ke dalam air susu ibu (ASI).</w:t>
      </w:r>
    </w:p>
    <w:p>
      <w:pPr>
        <w:spacing w:after="40"/>
        <w:ind w:left="340" w:hanging="283"/>
      </w:pPr>
      <w:r>
        <w:rPr/>
        <w:t xml:space="preserve">2. </w:t>
      </w:r>
      <w:r>
        <w:rPr>
          <w:b/>
        </w:rPr>
        <w:t>Mobilisasi Kalsium Tulang:</w:t>
      </w:r>
      <w:r>
        <w:rPr/>
        <w:t xml:space="preserve"> Selama kehamilan dan menyusui, peningkatan resorpsi fisiologis tulang ibu melepaskan depot timbal yang tersimpan bertahun-tahun di tulang kembali ke dalam sirkulasi darah.</w:t>
      </w:r>
    </w:p>
    <w:p>
      <w:pPr>
        <w:spacing w:after="40"/>
        <w:ind w:left="340" w:hanging="283"/>
      </w:pPr>
      <w:r>
        <w:rPr/>
        <w:t xml:space="preserve">3. </w:t>
      </w:r>
      <w:r>
        <w:rPr>
          <w:b/>
        </w:rPr>
        <w:t>Protokol Tindakan Medis:</w:t>
      </w:r>
    </w:p>
    <w:p>
      <w:pPr>
        <w:pStyle w:val="ListBullet2"/>
        <w:spacing w:after="20"/>
      </w:pPr>
      <w:r>
        <w:rPr/>
        <w:t xml:space="preserve">Berdasarkan rekomendasi CDC/NIOSH, setiap pekerja wanita hamil dengan kadar </w:t>
      </w:r>
      <w:r>
        <w:rPr>
          <w:b/>
        </w:rPr>
        <w:t>BLL ≥ 10 µg/dL (dan dianjurkan pendekatan kehati-hatian pada BLL ≥ 5 µg/dL) WAJIB SEGERA DILEPAS DARI SEGALA AREA KERJA BERPOTENSI TIMBAL (</w:t>
      </w:r>
      <w:r>
        <w:rPr>
          <w:b/>
          <w:i/>
        </w:rPr>
        <w:t>immediate medical removal</w:t>
      </w:r>
      <w:r>
        <w:rPr>
          <w:b/>
        </w:rPr>
        <w:t>)</w:t>
      </w:r>
      <w:r>
        <w:rPr/>
        <w:t xml:space="preserve"> selama masa kehamilan dan masa menyusui.</w:t>
      </w:r>
    </w:p>
    <w:p>
      <w:pPr>
        <w:pStyle w:val="ListBullet2"/>
        <w:spacing w:after="20"/>
      </w:pPr>
      <w:r>
        <w:rPr/>
        <w:t>Pekerja wanita usia subur harus direncanakan bekerja pada area dengan pajanan timbal serendah mungkin untuk mencegah akumulasi beban tubuh tulang sebelum konsepsi.</w:t>
      </w:r>
    </w:p>
    <w:p>
      <w:pPr>
        <w:pStyle w:val="Heading4"/>
      </w:pPr>
      <w:r>
        <w:t>d. Rekomendasi Manajemen dan Proteksi Komunitas</w:t>
      </w:r>
    </w:p>
    <w:p>
      <w:pPr>
        <w:spacing w:after="40"/>
        <w:ind w:left="340" w:hanging="283"/>
      </w:pPr>
      <w:r>
        <w:rPr/>
        <w:t xml:space="preserve">1. </w:t>
      </w:r>
      <w:r>
        <w:rPr>
          <w:b/>
        </w:rPr>
        <w:t>Hierarki Pengendalian Bahaya (Permenaker 5/2018 &amp; Kepmenaker 187/1999):</w:t>
      </w:r>
    </w:p>
    <w:p>
      <w:pPr>
        <w:pStyle w:val="ListBullet2"/>
        <w:spacing w:after="20"/>
      </w:pPr>
      <w:r>
        <w:rPr>
          <w:i/>
        </w:rPr>
        <w:t>Eliminasi &amp; Substitusi:</w:t>
      </w:r>
      <w:r>
        <w:rPr/>
        <w:t xml:space="preserve"> Penggantian paduan timbal dengan paduan perak-tembaga-timah (</w:t>
      </w:r>
      <w:r>
        <w:rPr>
          <w:i/>
        </w:rPr>
        <w:t>lead-free solders</w:t>
      </w:r>
      <w:r>
        <w:rPr/>
        <w:t>) pada manufaktur elektronik; penghapusan pigmen cat berbasis timbal.</w:t>
      </w:r>
    </w:p>
    <w:p>
      <w:pPr>
        <w:pStyle w:val="ListBullet2"/>
        <w:spacing w:after="20"/>
      </w:pPr>
      <w:r>
        <w:rPr>
          <w:i/>
        </w:rPr>
        <w:t>Rekayasa Teknis (*Engineering Controls</w:t>
      </w:r>
      <w:r>
        <w:rPr/>
        <w:t>):* Pemasangan ventilasi pembuangan lokal (</w:t>
      </w:r>
      <w:r>
        <w:rPr>
          <w:i/>
        </w:rPr>
        <w:t>Local Exhaust Ventilation</w:t>
      </w:r>
      <w:r>
        <w:rPr/>
        <w:t xml:space="preserve"> / LEV) bertudung hisap pada tungku peleburan aki; otomatisasi proses pemindahan serbuk pasta timbal; </w:t>
      </w:r>
      <w:r>
        <w:rPr>
          <w:b/>
        </w:rPr>
        <w:t>larangan mutlak menyapu kering (</w:t>
      </w:r>
      <w:r>
        <w:rPr>
          <w:b/>
          <w:i/>
        </w:rPr>
        <w:t>dry sweeping</w:t>
      </w:r>
      <w:r>
        <w:rPr>
          <w:b/>
        </w:rPr>
        <w:t>)</w:t>
      </w:r>
      <w:r>
        <w:rPr/>
        <w:t xml:space="preserve"> dan mewajibkan pembersihan dengan sistem vakum industri berfilter HEPA atau pencucian basah.</w:t>
      </w:r>
    </w:p>
    <w:p>
      <w:pPr>
        <w:pStyle w:val="ListBullet2"/>
        <w:spacing w:after="20"/>
      </w:pPr>
      <w:r>
        <w:rPr>
          <w:i/>
        </w:rPr>
        <w:t>Pengendalian Administratif:</w:t>
      </w:r>
      <w:r>
        <w:rPr/>
        <w:t xml:space="preserve"> Pelatihan K3, larangan makan, minum, dan merokok di area produksi; rotasi kerja untuk menurunkan durasi paparan.</w:t>
      </w:r>
    </w:p>
    <w:p>
      <w:pPr>
        <w:pStyle w:val="ListBullet2"/>
        <w:spacing w:after="20"/>
      </w:pPr>
      <w:r>
        <w:rPr>
          <w:i/>
        </w:rPr>
        <w:t>Pencegahan Kontaminasi Bawa-Pulang (*Take-Home Lead Prevention</w:t>
      </w:r>
      <w:r>
        <w:rPr/>
        <w:t>):* Kewajiban sistem ruang ganti ganda (</w:t>
      </w:r>
      <w:r>
        <w:rPr>
          <w:i/>
        </w:rPr>
        <w:t>double locker room</w:t>
      </w:r>
      <w:r>
        <w:rPr/>
        <w:t xml:space="preserve">: loker pakaian kerja kotor terpisah dari loker pakaian bersih) dan </w:t>
      </w:r>
      <w:r>
        <w:rPr>
          <w:b/>
        </w:rPr>
        <w:t>kewajiban mandi bilas (</w:t>
      </w:r>
      <w:r>
        <w:rPr>
          <w:b/>
          <w:i/>
        </w:rPr>
        <w:t>shower</w:t>
      </w:r>
      <w:r>
        <w:rPr>
          <w:b/>
        </w:rPr>
        <w:t>) sebelum meninggalkan pabrik</w:t>
      </w:r>
      <w:r>
        <w:rPr/>
        <w:t xml:space="preserve"> guna mencegah debu timbal terbawa pulang ke rumah dan meracuni anak-balita pekerja.</w:t>
      </w:r>
    </w:p>
    <w:p>
      <w:pPr>
        <w:pStyle w:val="ListBullet2"/>
        <w:spacing w:after="20"/>
      </w:pPr>
      <w:r>
        <w:rPr>
          <w:i/>
        </w:rPr>
        <w:t>Alat Pelindung Diri (APD):</w:t>
      </w:r>
      <w:r>
        <w:rPr/>
        <w:t xml:space="preserve"> Respirator pemurni udara bertenaga (</w:t>
      </w:r>
      <w:r>
        <w:rPr>
          <w:i/>
        </w:rPr>
        <w:t>PAPR</w:t>
      </w:r>
      <w:r>
        <w:rPr/>
        <w:t>) atau respirator partikulat berfilter P100 bersertifikasi; pakaian kerja pelindung sekali pakai (Tyvek).</w:t>
      </w:r>
    </w:p>
    <w:p>
      <w:pPr>
        <w:pStyle w:val="Heading3"/>
      </w:pPr>
      <w:r>
        <w:t>5. Keterangan Lain: Karsinogenisitas IARC dan Kerentanan Timbal pada Anak</w:t>
      </w:r>
    </w:p>
    <w:p>
      <w:pPr>
        <w:spacing w:after="120"/>
        <w:ind w:left="170"/>
      </w:pPr>
      <w:r>
        <w:rPr>
          <w:rFonts w:ascii="Consolas" w:hAnsi="Consolas" w:eastAsia="Consolas"/>
          <w:sz w:val="13"/>
        </w:rPr>
        <w:t xml:space="preserve">                     [ KATEGORI KARSINOGENISITAS IARC TIMBAL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SENYAWA TIMBAL ANORGANIK ]                                      [ TIMBAL ORGANIK ]</w:t>
      </w:r>
      <w:r>
        <w:br/>
      </w:r>
      <w:r>
        <w:rPr>
          <w:rFonts w:ascii="Consolas" w:hAnsi="Consolas" w:eastAsia="Consolas"/>
          <w:sz w:val="13"/>
        </w:rPr>
        <w:t>• IARC Grup 2A (Probably Carcinogenic to Humans)                 • IARC Grup 3 (Not Classifiable)</w:t>
      </w:r>
      <w:r>
        <w:br/>
      </w:r>
      <w:r>
        <w:rPr>
          <w:rFonts w:ascii="Consolas" w:hAnsi="Consolas" w:eastAsia="Consolas"/>
          <w:sz w:val="13"/>
        </w:rPr>
        <w:t>• Bukti terbatas pada manusia: Kanker lambung,                   • Cepat dimetabolisme di hepar, bukti</w:t>
      </w:r>
      <w:r>
        <w:br/>
      </w:r>
      <w:r>
        <w:rPr>
          <w:rFonts w:ascii="Consolas" w:hAnsi="Consolas" w:eastAsia="Consolas"/>
          <w:sz w:val="13"/>
        </w:rPr>
        <w:t xml:space="preserve">  paru, ginjal, otak (glioma)                                      karsinogenik tidak memadai</w:t>
      </w:r>
      <w:r>
        <w:br/>
      </w:r>
      <w:r>
        <w:rPr>
          <w:rFonts w:ascii="Consolas" w:hAnsi="Consolas" w:eastAsia="Consolas"/>
          <w:sz w:val="13"/>
        </w:rPr>
        <w:t>• Bukti cukup pada hewan: Adenokarsinoma tubulus ginjal          • Bukan karsinogen primer manusia</w:t>
      </w:r>
    </w:p>
    <w:p>
      <w:pPr>
        <w:pStyle w:val="Heading4"/>
      </w:pPr>
      <w:r>
        <w:t>a. Klasifikasi Karsinogenisitas IARC (Monograph Supplement 7, Vol. 87, dan Vol. 100C)</w:t>
      </w:r>
    </w:p>
    <w:p>
      <w:pPr>
        <w:spacing w:after="40"/>
        <w:ind w:left="340" w:hanging="283"/>
      </w:pPr>
      <w:r>
        <w:rPr/>
        <w:t xml:space="preserve">1. </w:t>
      </w:r>
      <w:r>
        <w:rPr>
          <w:b/>
        </w:rPr>
        <w:t>Senyawa Timbal Anorganik (</w:t>
      </w:r>
      <w:r>
        <w:rPr>
          <w:b/>
          <w:i/>
        </w:rPr>
        <w:t>Inorganic lead compounds</w:t>
      </w:r>
      <w:r>
        <w:rPr>
          <w:b/>
        </w:rPr>
        <w:t>):</w:t>
      </w:r>
    </w:p>
    <w:p>
      <w:pPr>
        <w:pStyle w:val="ListBullet2"/>
        <w:spacing w:after="20"/>
      </w:pPr>
      <w:r>
        <w:rPr>
          <w:b/>
        </w:rPr>
        <w:t>IARC Grup 2A (</w:t>
      </w:r>
      <w:r>
        <w:rPr>
          <w:b/>
          <w:i/>
        </w:rPr>
        <w:t>Probably carcinogenic to humans</w:t>
      </w:r>
      <w:r>
        <w:rPr>
          <w:b/>
        </w:rPr>
        <w:t>)</w:t>
      </w:r>
      <w:r>
        <w:rPr/>
        <w:t>.</w:t>
      </w:r>
    </w:p>
    <w:p>
      <w:pPr>
        <w:pStyle w:val="ListBullet2"/>
        <w:spacing w:after="20"/>
      </w:pPr>
      <w:r>
        <w:rPr>
          <w:i/>
        </w:rPr>
        <w:t>Dasar Ilmiah:</w:t>
      </w:r>
      <w:r>
        <w:rPr/>
        <w:t xml:space="preserve"> Bukti epidemiologi pada manusia dinilai </w:t>
      </w:r>
      <w:r>
        <w:rPr>
          <w:b/>
        </w:rPr>
        <w:t>terbatas (</w:t>
      </w:r>
      <w:r>
        <w:rPr>
          <w:b/>
          <w:i/>
        </w:rPr>
        <w:t>limited evidence</w:t>
      </w:r>
      <w:r>
        <w:rPr>
          <w:b/>
        </w:rPr>
        <w:t>)</w:t>
      </w:r>
      <w:r>
        <w:rPr/>
        <w:t xml:space="preserve">, di mana teramati peningkatan mortalitas akibat kanker lambung, kanker paru, dan kanker ginjal pada pekerja smelter timbal dan baterai. Namun, terdapat </w:t>
      </w:r>
      <w:r>
        <w:rPr>
          <w:b/>
        </w:rPr>
        <w:t>bukti yang cukup (</w:t>
      </w:r>
      <w:r>
        <w:rPr>
          <w:b/>
          <w:i/>
        </w:rPr>
        <w:t>sufficient evidence</w:t>
      </w:r>
      <w:r>
        <w:rPr>
          <w:b/>
        </w:rPr>
        <w:t>) pada hewan coba</w:t>
      </w:r>
      <w:r>
        <w:rPr/>
        <w:t xml:space="preserve"> mengenai induksi tumor karsinoma sel ginjal (</w:t>
      </w:r>
      <w:r>
        <w:rPr>
          <w:i/>
        </w:rPr>
        <w:t>renal cell carcinoma</w:t>
      </w:r>
      <w:r>
        <w:rPr/>
        <w:t>) dan glioma otak.</w:t>
      </w:r>
    </w:p>
    <w:p>
      <w:pPr>
        <w:pStyle w:val="ListBullet2"/>
        <w:spacing w:after="20"/>
      </w:pPr>
      <w:r>
        <w:rPr>
          <w:i/>
        </w:rPr>
        <w:t>Status ACGIH:</w:t>
      </w:r>
      <w:r>
        <w:rPr/>
        <w:t xml:space="preserve"> Kategori </w:t>
      </w:r>
      <w:r>
        <w:rPr>
          <w:b/>
        </w:rPr>
        <w:t>A3</w:t>
      </w:r>
      <w:r>
        <w:rPr/>
        <w:t xml:space="preserve"> (</w:t>
      </w:r>
      <w:r>
        <w:rPr>
          <w:i/>
        </w:rPr>
        <w:t>Confirmed Animal Carcinogen with Unknown Relevance to Humans</w:t>
      </w:r>
      <w:r>
        <w:rPr/>
        <w:t>).</w:t>
      </w:r>
    </w:p>
    <w:p>
      <w:pPr>
        <w:spacing w:after="40"/>
        <w:ind w:left="340" w:hanging="283"/>
      </w:pPr>
      <w:r>
        <w:rPr/>
        <w:t xml:space="preserve">2. </w:t>
      </w:r>
      <w:r>
        <w:rPr>
          <w:b/>
        </w:rPr>
        <w:t>Senyawa Timbal Organik (</w:t>
      </w:r>
      <w:r>
        <w:rPr>
          <w:b/>
          <w:i/>
        </w:rPr>
        <w:t>Organic lead compounds</w:t>
      </w:r>
      <w:r>
        <w:rPr>
          <w:b/>
        </w:rPr>
        <w:t>):</w:t>
      </w:r>
    </w:p>
    <w:p>
      <w:pPr>
        <w:pStyle w:val="ListBullet2"/>
        <w:spacing w:after="20"/>
      </w:pPr>
      <w:r>
        <w:rPr>
          <w:b/>
        </w:rPr>
        <w:t>IARC Grup 3 (</w:t>
      </w:r>
      <w:r>
        <w:rPr>
          <w:b/>
          <w:i/>
        </w:rPr>
        <w:t>Not classifiable as to its carcinogenicity to humans</w:t>
      </w:r>
      <w:r>
        <w:rPr>
          <w:b/>
        </w:rPr>
        <w:t>)</w:t>
      </w:r>
      <w:r>
        <w:rPr/>
        <w:t>.</w:t>
      </w:r>
    </w:p>
    <w:p>
      <w:pPr>
        <w:pStyle w:val="Heading4"/>
      </w:pPr>
      <w:r>
        <w:t>b. Toksisitas Khusus Timbal pada Anak-anak (Pediatric Vulnerability)</w:t>
      </w:r>
    </w:p>
    <w:p>
      <w:pPr>
        <w:spacing w:after="80"/>
      </w:pPr>
      <w:r>
        <w:rPr/>
        <w:t>Anak-anak bukanlah "dewasa mini", melainkan populasi yang paling rentan terhadap efek permanen timbal:</w:t>
      </w:r>
    </w:p>
    <w:p>
      <w:pPr>
        <w:spacing w:after="40"/>
        <w:ind w:left="340" w:hanging="283"/>
      </w:pPr>
      <w:r>
        <w:rPr/>
        <w:t xml:space="preserve">1. </w:t>
      </w:r>
      <w:r>
        <w:rPr>
          <w:b/>
        </w:rPr>
        <w:t>Hiperabsorpsi Saluran Cerna:</w:t>
      </w:r>
      <w:r>
        <w:rPr/>
        <w:t xml:space="preserve"> Bayi dan anak-anak menyerap </w:t>
      </w:r>
      <w:r>
        <w:rPr>
          <w:b/>
        </w:rPr>
        <w:t>sekitar 50% timbal yang tertelan</w:t>
      </w:r>
      <w:r>
        <w:rPr/>
        <w:t xml:space="preserve"> melalui usus halus (pada perut kosong mendekati 100%), berbanding hanya 10%–20% pada orang dewasa.</w:t>
      </w:r>
    </w:p>
    <w:p>
      <w:pPr>
        <w:spacing w:after="40"/>
        <w:ind w:left="340" w:hanging="283"/>
      </w:pPr>
      <w:r>
        <w:rPr/>
        <w:t xml:space="preserve">2. </w:t>
      </w:r>
      <w:r>
        <w:rPr>
          <w:b/>
        </w:rPr>
        <w:t>Imaturitas Sawar Darah Otak (BBB):</w:t>
      </w:r>
      <w:r>
        <w:rPr/>
        <w:t xml:space="preserve"> Sistem endotel kapiler serebral anak belum berkembang sempurna sehingga timbal menembus jaringan otak anak dengan konsentrasi jauh lebih tinggi, memicu edema serebral dan ensefalopati pada ambang BLL yang lebih rendah dibandingkan dewasa.</w:t>
      </w:r>
    </w:p>
    <w:p>
      <w:pPr>
        <w:spacing w:after="40"/>
        <w:ind w:left="340" w:hanging="283"/>
      </w:pPr>
      <w:r>
        <w:rPr/>
        <w:t xml:space="preserve">3. </w:t>
      </w:r>
      <w:r>
        <w:rPr>
          <w:b/>
        </w:rPr>
        <w:t>Perilaku Hand-to-Mouth &amp; Pika:</w:t>
      </w:r>
      <w:r>
        <w:rPr/>
        <w:t xml:space="preserve"> Kebiasaan menjilat tangan, mainan, serta memakan serpihan cat dinding rumah tua (</w:t>
      </w:r>
      <w:r>
        <w:rPr>
          <w:i/>
        </w:rPr>
        <w:t>lead paint chips</w:t>
      </w:r>
      <w:r>
        <w:rPr/>
        <w:t>) memicu asupan timbal dosis tinggi.</w:t>
      </w:r>
    </w:p>
    <w:p>
      <w:pPr>
        <w:spacing w:after="40"/>
        <w:ind w:left="340" w:hanging="283"/>
      </w:pPr>
      <w:r>
        <w:rPr/>
        <w:t xml:space="preserve">4. </w:t>
      </w:r>
      <w:r>
        <w:rPr>
          <w:b/>
        </w:rPr>
        <w:t>Dampak Kognitif dan Perilaku Permanen:</w:t>
      </w:r>
    </w:p>
    <w:p>
      <w:pPr>
        <w:pStyle w:val="ListBullet2"/>
        <w:spacing w:after="20"/>
      </w:pPr>
      <w:r>
        <w:rPr/>
        <w:t>Timbal mengganggu pembentukan sinaps, sinaptogenesis, dan mielinisasi serabut saraf.</w:t>
      </w:r>
    </w:p>
    <w:p>
      <w:pPr>
        <w:pStyle w:val="ListBullet2"/>
        <w:spacing w:after="20"/>
      </w:pPr>
      <w:r>
        <w:rPr/>
        <w:t xml:space="preserve">Setiap peningkatan BLL berkorelasi linier dengan </w:t>
      </w:r>
      <w:r>
        <w:rPr>
          <w:b/>
        </w:rPr>
        <w:t>penurunan kapasitas inteligensi (skor IQ turun 2–4 poin per kenaikan 10 µg/dL BLL)</w:t>
      </w:r>
      <w:r>
        <w:rPr/>
        <w:t>, gangguan konsentrasi (</w:t>
      </w:r>
      <w:r>
        <w:rPr>
          <w:i/>
        </w:rPr>
        <w:t>Attention Deficit Hyperactivity Disorder</w:t>
      </w:r>
      <w:r>
        <w:rPr/>
        <w:t xml:space="preserve"> / ADHD), agresivitas perilaku, dan penurunan prestasi belajar. Kerusakan neurodevelopmental ini bersifat </w:t>
      </w:r>
      <w:r>
        <w:rPr>
          <w:b/>
        </w:rPr>
        <w:t>ireversibel dan tidak dapat dipulihkan bahkan setelah terapi kelasi berhasil menurunkan BLL</w:t>
      </w:r>
      <w:r>
        <w:rPr/>
        <w:t>.</w:t>
      </w:r>
    </w:p>
    <w:p>
      <w:pPr>
        <w:spacing w:after="40"/>
        <w:ind w:left="340" w:hanging="283"/>
      </w:pPr>
      <w:r>
        <w:rPr/>
        <w:t xml:space="preserve">5. </w:t>
      </w:r>
      <w:r>
        <w:rPr>
          <w:b/>
        </w:rPr>
        <w:t>Nilai Acuan CDC (</w:t>
      </w:r>
      <w:r>
        <w:rPr>
          <w:b/>
          <w:i/>
        </w:rPr>
        <w:t>Blood Lead Reference Value</w:t>
      </w:r>
      <w:r>
        <w:rPr>
          <w:b/>
        </w:rPr>
        <w:t xml:space="preserve"> / BLRV):</w:t>
      </w:r>
    </w:p>
    <w:p>
      <w:pPr>
        <w:pStyle w:val="ListBullet2"/>
        <w:spacing w:after="20"/>
      </w:pPr>
      <w:r>
        <w:rPr/>
        <w:t xml:space="preserve">Pada tahun 2012, CDC menetapkan ambang acuan </w:t>
      </w:r>
      <w:r>
        <w:rPr>
          <w:b/>
        </w:rPr>
        <w:t>5 µg/dL</w:t>
      </w:r>
      <w:r>
        <w:rPr/>
        <w:t xml:space="preserve"> (berdasarkan persentil ke-97,5 survei NHANES) menggantikan istilah lama "level of concern".</w:t>
      </w:r>
    </w:p>
    <w:p>
      <w:pPr>
        <w:pStyle w:val="ListBullet2"/>
        <w:spacing w:after="20"/>
      </w:pPr>
      <w:r>
        <w:rPr/>
        <w:t xml:space="preserve">Pembaruan CDC terkini telah menurunkan batas acuan BLRV menjadi </w:t>
      </w:r>
      <w:r>
        <w:rPr>
          <w:b/>
        </w:rPr>
        <w:t>3,5 µg/dL</w:t>
      </w:r>
      <w:r>
        <w:rPr/>
        <w:t>.</w:t>
      </w:r>
    </w:p>
    <w:p>
      <w:pPr>
        <w:pStyle w:val="Heading3"/>
      </w:pPr>
      <w:r>
        <w:t>6. Clinical Pearls dan Jebakan Ujian Khusus Timbal</w:t>
      </w:r>
    </w:p>
    <w:p>
      <w:pPr>
        <w:spacing w:after="80"/>
      </w:pPr>
      <w:r>
        <w:rPr/>
        <w:t>Kuasai jebakan-jebakan klasik yang kerap dipasang dewan penguji spesialis:</w:t>
      </w:r>
    </w:p>
    <w:p>
      <w:pPr>
        <w:spacing w:after="120"/>
        <w:ind w:left="170"/>
      </w:pPr>
      <w:r>
        <w:rPr>
          <w:rFonts w:ascii="Consolas" w:hAnsi="Consolas" w:eastAsia="Consolas"/>
          <w:sz w:val="13"/>
        </w:rPr>
        <w:t xml:space="preserve">                             [ JEBAKAN UJIAN DEWAN SPESIALIS TIMBAL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JEBAKAN 1: KELASI ENSEFALOPATI ]      [ JEBAKAN 2: TIME-LAG ZPP ]             [ JEBAKAN 3: GARIS BURTON ]</w:t>
      </w:r>
      <w:r>
        <w:br/>
      </w:r>
      <w:r>
        <w:rPr>
          <w:rFonts w:ascii="Consolas" w:hAnsi="Consolas" w:eastAsia="Consolas"/>
          <w:sz w:val="13"/>
        </w:rPr>
        <w:t xml:space="preserve">  Jangan pernah beri EDTA duluan!         ZPP tertunda 8–12 minggu!               Garis Burton TIDAK AKAN MUNCUL</w:t>
      </w:r>
      <w:r>
        <w:br/>
      </w:r>
      <w:r>
        <w:rPr>
          <w:rFonts w:ascii="Consolas" w:hAnsi="Consolas" w:eastAsia="Consolas"/>
          <w:sz w:val="13"/>
        </w:rPr>
        <w:t xml:space="preserve">  Wajib BAL diberikan 4 jam               Pajanan akut: BLL tinggi, ZPP normal.   pada pasien ompong (edentulous)!</w:t>
      </w:r>
      <w:r>
        <w:br/>
      </w:r>
      <w:r>
        <w:rPr>
          <w:rFonts w:ascii="Consolas" w:hAnsi="Consolas" w:eastAsia="Consolas"/>
          <w:sz w:val="13"/>
        </w:rPr>
        <w:t xml:space="preserve">  SEBELUM CaNa₂EDTA untuk mencegah        Pasca-kelasi: BLL turun, ZPP tetap      Wajib ada gigi asli &amp; bakteri</w:t>
      </w:r>
      <w:r>
        <w:br/>
      </w:r>
      <w:r>
        <w:rPr>
          <w:rFonts w:ascii="Consolas" w:hAnsi="Consolas" w:eastAsia="Consolas"/>
          <w:sz w:val="13"/>
        </w:rPr>
        <w:t xml:space="preserve">  redistribusi timbal masuk ke otak.      tinggi. ZPP bukan evaluasi kelasi!      anaerob penghasil gas H₂S.</w:t>
      </w:r>
    </w:p>
    <w:p>
      <w:pPr>
        <w:pStyle w:val="ListBullet"/>
        <w:spacing w:after="20"/>
      </w:pPr>
      <w:r>
        <w:rPr>
          <w:b/>
        </w:rPr>
        <w:t>Clinical Pearl 1: Trias Kolik Timbal vs. Akut Abdomen Bedah</w:t>
      </w:r>
    </w:p>
    <w:p>
      <w:pPr>
        <w:spacing w:after="80"/>
      </w:pPr>
      <w:r>
        <w:rPr/>
        <w:t xml:space="preserve">Pasien keracunan timbal berat (BLL &gt; 80 µg/dL) sering datang dengan nyeri perut hebat menyerupai peritonitis akut. Kunci membedakannya di meja ujian: </w:t>
      </w:r>
      <w:r>
        <w:rPr>
          <w:b/>
        </w:rPr>
        <w:t>Pada kolik timbal, perut tegang tetapi TIDAK ADA nyeri lepas tekan (</w:t>
      </w:r>
      <w:r>
        <w:rPr>
          <w:b/>
          <w:i/>
        </w:rPr>
        <w:t>rebound tenderness</w:t>
      </w:r>
      <w:r>
        <w:rPr>
          <w:b/>
        </w:rPr>
        <w:t xml:space="preserve"> negatif), dan nyeri SECARA PATOGNOMONIK MEREDA DENGAN PENEKANAN KUAT DINDING PERUT</w:t>
      </w:r>
      <w:r>
        <w:rPr/>
        <w:t xml:space="preserve">. Pemeriksaan sediaan apus darah tepi yang memperlihatkan </w:t>
      </w:r>
      <w:r>
        <w:rPr>
          <w:b/>
        </w:rPr>
        <w:t>Basophilic Stippling</w:t>
      </w:r>
      <w:r>
        <w:rPr/>
        <w:t xml:space="preserve"> menyelamatkan pasien dari laparotomi eksplorasi yang salah.</w:t>
      </w:r>
    </w:p>
    <w:p>
      <w:pPr>
        <w:pStyle w:val="ListBullet"/>
        <w:spacing w:after="20"/>
      </w:pPr>
      <w:r>
        <w:rPr>
          <w:b/>
        </w:rPr>
        <w:t>Clinical Pearl 2: Jeda Waktu (</w:t>
      </w:r>
      <w:r>
        <w:rPr>
          <w:b/>
          <w:i/>
        </w:rPr>
        <w:t>Time-Lag</w:t>
      </w:r>
      <w:r>
        <w:rPr>
          <w:b/>
        </w:rPr>
        <w:t>) BLL vs. ZPP</w:t>
      </w:r>
    </w:p>
    <w:p>
      <w:pPr>
        <w:spacing w:after="80"/>
      </w:pPr>
      <w:r>
        <w:rPr/>
        <w:t>Eritrosit membutuhkan waktu pematangan dan sirkulasi 2–3 bulan. Oleh karena itu:</w:t>
      </w:r>
    </w:p>
    <w:p>
      <w:pPr>
        <w:pStyle w:val="ListBullet2"/>
        <w:spacing w:after="20"/>
      </w:pPr>
      <w:r>
        <w:rPr>
          <w:i/>
        </w:rPr>
        <w:t>BLL Tinggi + ZPP Normal:</w:t>
      </w:r>
      <w:r>
        <w:rPr/>
        <w:t xml:space="preserve"> Menandakan </w:t>
      </w:r>
      <w:r>
        <w:rPr>
          <w:b/>
        </w:rPr>
        <w:t>pajanan timbal akut yang baru berlangsung (&lt; 1–2 bulan)</w:t>
      </w:r>
      <w:r>
        <w:rPr/>
        <w:t>.</w:t>
      </w:r>
    </w:p>
    <w:p>
      <w:pPr>
        <w:pStyle w:val="ListBullet2"/>
        <w:spacing w:after="20"/>
      </w:pPr>
      <w:r>
        <w:rPr>
          <w:i/>
        </w:rPr>
        <w:t>BLL Tinggi + ZPP Tinggi:</w:t>
      </w:r>
      <w:r>
        <w:rPr/>
        <w:t xml:space="preserve"> Menandakan </w:t>
      </w:r>
      <w:r>
        <w:rPr>
          <w:b/>
        </w:rPr>
        <w:t>pajanan timbal kronis yang telah berlangsung lama (&gt; 3 bulan)</w:t>
      </w:r>
      <w:r>
        <w:rPr/>
        <w:t>.</w:t>
      </w:r>
    </w:p>
    <w:p>
      <w:pPr>
        <w:pStyle w:val="ListBullet2"/>
        <w:spacing w:after="20"/>
      </w:pPr>
      <w:r>
        <w:rPr>
          <w:i/>
        </w:rPr>
        <w:t>BLL Rendah/Normal + ZPP Tinggi:</w:t>
      </w:r>
      <w:r>
        <w:rPr/>
        <w:t xml:space="preserve"> Menandakan </w:t>
      </w:r>
      <w:r>
        <w:rPr>
          <w:b/>
        </w:rPr>
        <w:t>pajanan masa lalu yang baru saja berhenti, atau pasien diam-diam menjalani terapi kelasi (</w:t>
      </w:r>
      <w:r>
        <w:rPr>
          <w:b/>
          <w:i/>
        </w:rPr>
        <w:t>surreptitious chelation</w:t>
      </w:r>
      <w:r>
        <w:rPr>
          <w:b/>
        </w:rPr>
        <w:t>)</w:t>
      </w:r>
      <w:r>
        <w:rPr/>
        <w:t>, atau pasien menderita anemia defisiensi besi.</w:t>
      </w:r>
    </w:p>
    <w:p>
      <w:pPr>
        <w:pStyle w:val="ListBullet"/>
        <w:spacing w:after="20"/>
      </w:pPr>
      <w:r>
        <w:rPr>
          <w:b/>
        </w:rPr>
        <w:t>Board Trap 1: Kesalahan Urutan Kelasi Ensefalopati</w:t>
      </w:r>
    </w:p>
    <w:p>
      <w:pPr>
        <w:spacing w:after="80"/>
      </w:pPr>
      <w:r>
        <w:rPr/>
        <w:t xml:space="preserve">Jika penguji bertanya: </w:t>
      </w:r>
      <w:r>
        <w:rPr>
          <w:i/>
        </w:rPr>
        <w:t>"Pasien datang koma dan kejang dengan BLL 120 µg/dL, apa protokol kelasi parenteral Anda?"</w:t>
      </w:r>
    </w:p>
    <w:p>
      <w:pPr>
        <w:spacing w:after="80"/>
      </w:pPr>
      <w:r>
        <w:rPr>
          <w:b/>
        </w:rPr>
        <w:t>Jawab dengan tegas:</w:t>
      </w:r>
      <w:r>
        <w:rPr/>
        <w:t xml:space="preserve"> </w:t>
      </w:r>
      <w:r>
        <w:rPr>
          <w:i/>
        </w:rPr>
        <w:t>"Berikan BAL secara intramuskular terlebih dahulu, dan 4 jam kemudian baru mulai berikan infus CaNa2EDTA. Jika CaNa2EDTA diberikan mendahului BAL, timbal sistemik akan termobilisasi dan terdorong masuk menembus sawar darah otak, memperburuk edema serebral dan memicu kematian herniasi otak"</w:t>
      </w:r>
      <w:r>
        <w:rPr/>
        <w:t>.</w:t>
      </w:r>
    </w:p>
    <w:p>
      <w:pPr>
        <w:pStyle w:val="ListBullet"/>
        <w:spacing w:after="20"/>
      </w:pPr>
      <w:r>
        <w:rPr>
          <w:b/>
        </w:rPr>
        <w:t>Board Trap 2: Pemilihan Garam EDTA (CaNa2EDTA vs. Na2EDTA)</w:t>
      </w:r>
    </w:p>
    <w:p>
      <w:pPr>
        <w:spacing w:after="80"/>
      </w:pPr>
      <w:r>
        <w:rPr/>
        <w:t xml:space="preserve">Jangan pernah menyebut "EDTA" tanpa spesifikasi garam kalsium. Menyebut atau meresepkan </w:t>
      </w:r>
      <w:r>
        <w:rPr>
          <w:b/>
        </w:rPr>
        <w:t>Na₂EDTA adalah kesalahan fatal malpraktik farmakologis</w:t>
      </w:r>
      <w:r>
        <w:rPr/>
        <w:t xml:space="preserve"> karena menyebabkan presipitasi kalsium darah mendadak yang memicu aritmia ventrikel letal.</w:t>
      </w:r>
    </w:p>
    <w:p>
      <w:pPr>
        <w:pStyle w:val="ListBullet"/>
        <w:spacing w:after="20"/>
      </w:pPr>
      <w:r>
        <w:rPr>
          <w:b/>
        </w:rPr>
        <w:t>Board Trap 3: Garis Burton pada Pasien Ompong</w:t>
      </w:r>
    </w:p>
    <w:p>
      <w:pPr>
        <w:spacing w:after="80"/>
      </w:pPr>
      <w:r>
        <w:rPr/>
        <w:t xml:space="preserve">Jika ada skenario: </w:t>
      </w:r>
      <w:r>
        <w:rPr>
          <w:i/>
        </w:rPr>
        <w:t>"Pekerja senior peleburan timbal usia 60 tahun dengan seluruh gigi ompong dan memakai gigi tiruan lengkap, apakah Anda dapat menemukan garis Burton pada gingivanya?"</w:t>
      </w:r>
    </w:p>
    <w:p>
      <w:pPr>
        <w:spacing w:after="80"/>
      </w:pPr>
      <w:r>
        <w:rPr>
          <w:b/>
        </w:rPr>
        <w:t>Jawab:</w:t>
      </w:r>
      <w:r>
        <w:rPr/>
        <w:t xml:space="preserve"> </w:t>
      </w:r>
      <w:r>
        <w:rPr>
          <w:i/>
        </w:rPr>
        <w:t>"Tidak akan pernah ditemukan, Dokter. Garis Burton membutuhkan adanya plak leher gigi asli tempat bakteri anaerob membusukkan sisa makanan menghasilkan gas H2S. Tanpa adanya gigi asli, kristal PbS tidak akan pernah terbentuk di submukosa gingiva"</w:t>
      </w:r>
      <w:r>
        <w:rPr/>
        <w:t>.</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Lead and inorganic compounds, as Pb</w:t>
      </w:r>
      <w:r>
        <w:rPr>
          <w:color w:val="595959"/>
          <w:sz w:val="16"/>
        </w:rPr>
        <w:t xml:space="preserve"> [CAS 7439-92-1] (TLV-TWA 0,05 mg/m³, Notasi A3, BEI, TLV Basis: CNS &amp; PNS impair, hematologic eff); </w:t>
      </w:r>
      <w:r>
        <w:rPr>
          <w:i/>
          <w:color w:val="595959"/>
          <w:sz w:val="16"/>
        </w:rPr>
        <w:t>Lead chromate, as Cr(VI)</w:t>
      </w:r>
      <w:r>
        <w:rPr>
          <w:color w:val="595959"/>
          <w:sz w:val="16"/>
        </w:rPr>
        <w:t xml:space="preserve"> (TWA 0,0002 mg/m³, Notasi A1, BEI, DSEN, RSEN).</w:t>
      </w:r>
    </w:p>
    <w:p>
      <w:pPr>
        <w:spacing w:after="0"/>
        <w:ind w:left="283"/>
      </w:pPr>
      <w:r>
        <w:rPr>
          <w:color w:val="595959"/>
          <w:sz w:val="16"/>
        </w:rPr>
        <w:t xml:space="preserve">Definisi Waktu Pengambilan Sampel </w:t>
      </w:r>
      <w:r>
        <w:rPr>
          <w:i/>
          <w:color w:val="595959"/>
          <w:sz w:val="16"/>
        </w:rPr>
        <w:t>Not critical / Discretionary</w:t>
      </w:r>
      <w:r>
        <w:rPr>
          <w:color w:val="595959"/>
          <w:sz w:val="16"/>
        </w:rPr>
        <w:t>.</w:t>
      </w:r>
    </w:p>
    <w:p>
      <w:pPr>
        <w:spacing w:after="0"/>
        <w:ind w:left="283"/>
      </w:pPr>
      <w:r>
        <w:rPr>
          <w:color w:val="595959"/>
          <w:sz w:val="16"/>
        </w:rPr>
        <w:t xml:space="preserve">Tabel Adopsi BEI: </w:t>
      </w:r>
      <w:r>
        <w:rPr>
          <w:i/>
          <w:color w:val="595959"/>
          <w:sz w:val="16"/>
        </w:rPr>
        <w:t>Lead in blood (Pb-B)</w:t>
      </w:r>
      <w:r>
        <w:rPr>
          <w:color w:val="595959"/>
          <w:sz w:val="16"/>
        </w:rPr>
        <w:t xml:space="preserve">, Waktu: </w:t>
      </w:r>
      <w:r>
        <w:rPr>
          <w:i/>
          <w:color w:val="595959"/>
          <w:sz w:val="16"/>
        </w:rPr>
        <w:t>Not critical</w:t>
      </w:r>
      <w:r>
        <w:rPr>
          <w:color w:val="595959"/>
          <w:sz w:val="16"/>
        </w:rPr>
        <w:t xml:space="preserve">, Nilai: </w:t>
      </w:r>
      <w:r>
        <w:rPr>
          <w:b/>
          <w:color w:val="595959"/>
          <w:sz w:val="16"/>
        </w:rPr>
        <w:t>200 µg/L (20 µg/dL)</w:t>
      </w:r>
      <w:r>
        <w:rPr>
          <w:color w:val="595959"/>
          <w:sz w:val="16"/>
        </w:rPr>
        <w:t>; Catatan Konseling Wanita Usia Subur &amp; Risiko Janin.</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Timbal hitam dan persenyawaan anorganik, sebagai Pb (NAB 0,05 mg/m³, Notasi A3, Simbol Segitiga BEI ▲; Efek SSP/Saraf Tepi &amp; Hematologi).</w:t>
      </w:r>
    </w:p>
    <w:p>
      <w:pPr>
        <w:spacing w:after="0"/>
        <w:ind w:left="283"/>
      </w:pPr>
      <w:r>
        <w:rPr>
          <w:b/>
          <w:color w:val="595959"/>
          <w:sz w:val="16"/>
        </w:rPr>
        <w:t>CDC / ATSDR Agency for Toxic Substances and Disease Registry.</w:t>
      </w:r>
      <w:r>
        <w:rPr>
          <w:color w:val="595959"/>
          <w:sz w:val="16"/>
        </w:rPr>
        <w:t xml:space="preserve"> </w:t>
      </w:r>
      <w:r>
        <w:rPr>
          <w:i/>
          <w:color w:val="595959"/>
          <w:sz w:val="16"/>
        </w:rPr>
        <w:t>Lead Toxicity: Clinical Assessment, Biological Fate, and Health Effects (cdc_61565_DS1.pdf)</w:t>
      </w:r>
      <w:r>
        <w:rPr>
          <w:color w:val="595959"/>
          <w:sz w:val="16"/>
        </w:rPr>
        <w:t>:</w:t>
      </w:r>
    </w:p>
    <w:p>
      <w:pPr>
        <w:spacing w:after="0"/>
        <w:ind w:left="283"/>
      </w:pPr>
      <w:r>
        <w:rPr>
          <w:color w:val="595959"/>
          <w:sz w:val="16"/>
        </w:rPr>
        <w:t>Standar OSHA: Action Level (30 µg/m³), PEL (50 µg/m³), Medical Removal (BLL ≥ 60 µg/dL atau rata-rata ≥ 50 µg/dL), Return to Work (&lt; 40 µg/dL).</w:t>
      </w:r>
    </w:p>
    <w:p>
      <w:pPr>
        <w:spacing w:after="0"/>
        <w:ind w:left="283"/>
      </w:pPr>
      <w:r>
        <w:rPr>
          <w:color w:val="595959"/>
          <w:sz w:val="16"/>
        </w:rPr>
        <w:t>Proteksi Reproduksi: Rekomendasi penarikan wanita hamil pada BLL ≥ 10 µg/dL (dan pendekatan kehati-hatian BLL ≥ 5 µg/dL).</w:t>
      </w:r>
    </w:p>
    <w:p>
      <w:pPr>
        <w:spacing w:after="0"/>
        <w:ind w:left="283"/>
      </w:pPr>
      <w:r>
        <w:rPr>
          <w:color w:val="595959"/>
          <w:sz w:val="16"/>
        </w:rPr>
        <w:t>Panduan ACCLPP/CDC Anak: Ambang kelasi BLL ≥ 45 µg/dL; Referensi BLL Anak 5 µg/dL.</w:t>
      </w:r>
    </w:p>
    <w:p>
      <w:pPr>
        <w:spacing w:after="0"/>
        <w:ind w:left="283"/>
      </w:pPr>
      <w:r>
        <w:rPr>
          <w:color w:val="595959"/>
          <w:sz w:val="16"/>
        </w:rPr>
        <w:t>Bahaya Garam Na2EDTA (Wajib CaNa2EDTA); Tidak direkomendasikannya CaNa2EDTA challenge test.</w:t>
      </w:r>
    </w:p>
    <w:p>
      <w:pPr>
        <w:spacing w:after="0"/>
        <w:ind w:left="283"/>
      </w:pPr>
      <w:r>
        <w:rPr>
          <w:b/>
          <w:color w:val="595959"/>
          <w:sz w:val="16"/>
        </w:rPr>
        <w:t>Sakai, Tadashi (2000).</w:t>
      </w:r>
      <w:r>
        <w:rPr>
          <w:color w:val="595959"/>
          <w:sz w:val="16"/>
        </w:rPr>
        <w:t xml:space="preserve"> </w:t>
      </w:r>
      <w:r>
        <w:rPr>
          <w:i/>
          <w:color w:val="595959"/>
          <w:sz w:val="16"/>
        </w:rPr>
        <w:t>Biomarkers of Lead Exposure.</w:t>
      </w:r>
      <w:r>
        <w:rPr>
          <w:color w:val="595959"/>
          <w:sz w:val="16"/>
        </w:rPr>
        <w:t xml:space="preserve"> Industrial Health, 38: 127–142:</w:t>
      </w:r>
    </w:p>
    <w:p>
      <w:pPr>
        <w:spacing w:after="0"/>
        <w:ind w:left="283"/>
      </w:pPr>
      <w:r>
        <w:rPr>
          <w:color w:val="595959"/>
          <w:sz w:val="16"/>
        </w:rPr>
        <w:t>Waktu Paruh Darah (28–36 Hari); Kinetika Kompartemen Tulang, Jaringan Lunak, dan Vaskular; Nilai Rujukan ZPP Normal; Pengaruh Polimorfisme Gen ALAD.</w:t>
      </w:r>
    </w:p>
    <w:p>
      <w:pPr>
        <w:spacing w:after="0"/>
        <w:ind w:left="283"/>
      </w:pPr>
      <w:r>
        <w:rPr>
          <w:b/>
          <w:color w:val="595959"/>
          <w:sz w:val="16"/>
        </w:rPr>
        <w:t>Martin, C. J., Werntz, C. L., &amp; Ducatman, A. M. (2004).</w:t>
      </w:r>
      <w:r>
        <w:rPr>
          <w:color w:val="595959"/>
          <w:sz w:val="16"/>
        </w:rPr>
        <w:t xml:space="preserve"> </w:t>
      </w:r>
      <w:r>
        <w:rPr>
          <w:i/>
          <w:color w:val="595959"/>
          <w:sz w:val="16"/>
        </w:rPr>
        <w:t>The interpretation of zinc protoporphyrin changes in lead intoxication.</w:t>
      </w:r>
      <w:r>
        <w:rPr>
          <w:color w:val="595959"/>
          <w:sz w:val="16"/>
        </w:rPr>
        <w:t xml:space="preserve"> Occupational Medicine, 54: 588–591:</w:t>
      </w:r>
    </w:p>
    <w:p>
      <w:pPr>
        <w:spacing w:after="0"/>
        <w:ind w:left="283"/>
      </w:pPr>
      <w:r>
        <w:rPr>
          <w:color w:val="595959"/>
          <w:sz w:val="16"/>
        </w:rPr>
        <w:t xml:space="preserve">Kasus Pekerja Las Torch Cutter (BLL 132 µg/dL, Basophilic Stippling); </w:t>
      </w:r>
      <w:r>
        <w:rPr>
          <w:b/>
          <w:color w:val="595959"/>
          <w:sz w:val="16"/>
        </w:rPr>
        <w:t>Jeda Waktu (</w:t>
      </w:r>
      <w:r>
        <w:rPr>
          <w:b/>
          <w:i/>
          <w:color w:val="595959"/>
          <w:sz w:val="16"/>
        </w:rPr>
        <w:t>Time Lag</w:t>
      </w:r>
      <w:r>
        <w:rPr>
          <w:b/>
          <w:color w:val="595959"/>
          <w:sz w:val="16"/>
        </w:rPr>
        <w:t>) Kenaikan &amp; Penurunan ZPP 8–12 Minggu di Belakang BLL</w:t>
      </w:r>
      <w:r>
        <w:rPr>
          <w:color w:val="595959"/>
          <w:sz w:val="16"/>
        </w:rPr>
        <w:t>; Kegagalan ZPP sebagai Indikator Efikasi Kelasi; Tabel Interpretasi BLL vs ZPP.</w:t>
      </w:r>
    </w:p>
    <w:p>
      <w:pPr>
        <w:spacing w:after="0"/>
        <w:ind w:left="283"/>
      </w:pPr>
      <w:r>
        <w:rPr>
          <w:b/>
          <w:color w:val="595959"/>
          <w:sz w:val="16"/>
        </w:rPr>
        <w:t>Dib Chakif &amp; Julien Furrer (2026).</w:t>
      </w:r>
      <w:r>
        <w:rPr>
          <w:color w:val="595959"/>
          <w:sz w:val="16"/>
        </w:rPr>
        <w:t xml:space="preserve"> </w:t>
      </w:r>
      <w:r>
        <w:rPr>
          <w:i/>
          <w:color w:val="595959"/>
          <w:sz w:val="16"/>
        </w:rPr>
        <w:t>Heavy Metal Toxicity in Clinical and Environmental Health.</w:t>
      </w:r>
      <w:r>
        <w:rPr>
          <w:color w:val="595959"/>
          <w:sz w:val="16"/>
        </w:rPr>
        <w:t xml:space="preserve"> International Journal of Molecular Sciences, 27(3): 03513:</w:t>
      </w:r>
    </w:p>
    <w:p>
      <w:pPr>
        <w:spacing w:after="0"/>
        <w:ind w:left="283"/>
      </w:pPr>
      <w:r>
        <w:rPr>
          <w:color w:val="595959"/>
          <w:sz w:val="16"/>
        </w:rPr>
        <w:t xml:space="preserve">Farmakologi Kelator DMSA (Succimer) Oral, CaNa2EDTA IV, BAL IM; Indikasi Kelasi Ensefalopati Akut; Rekomendasi BLRV Anak 3,5 µg/dL; Hierarki Pengendalian Industri dan Pencegahan </w:t>
      </w:r>
      <w:r>
        <w:rPr>
          <w:i/>
          <w:color w:val="595959"/>
          <w:sz w:val="16"/>
        </w:rPr>
        <w:t>Take-home Lead</w:t>
      </w:r>
      <w:r>
        <w:rPr>
          <w:color w:val="595959"/>
          <w:sz w:val="16"/>
        </w:rPr>
        <w:t>.</w:t>
      </w:r>
    </w:p>
    <w:p>
      <w:pPr>
        <w:spacing w:after="0"/>
        <w:ind w:left="283"/>
      </w:pPr>
      <w:r>
        <w:rPr>
          <w:b/>
          <w:color w:val="595959"/>
          <w:sz w:val="16"/>
        </w:rPr>
        <w:t>Toxicollogy Ujian Tulis &amp; Board Prep PPTX:</w:t>
      </w:r>
    </w:p>
    <w:p>
      <w:pPr>
        <w:spacing w:after="0"/>
        <w:ind w:left="283"/>
      </w:pPr>
      <w:r>
        <w:rPr>
          <w:color w:val="595959"/>
          <w:sz w:val="16"/>
        </w:rPr>
        <w:t>Indikasi Kelasi: BLL ≥ 45 µg/dL anak; Lini Pertama Succimer Oral; Lini Kedua D-Penisilamin; Kombinasi Dimerkaprol (BAL) + EDTA untuk Penyakit Berat / Ensefalopati (BAL Menembus BBB).</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4 &amp; 22: Toksisitas Reproduksi Timbal, Abortus Spontan; Sifat Ditiol BAL dan Pengembangan CaNa2EDTA/DMSA; Standar OSHA PEL 50 µg/m³ dan TLV-TWA ACGIH.</w:t>
      </w:r>
    </w:p>
    <w:p>
      <w:pPr>
        <w:spacing w:after="0"/>
        <w:ind w:left="283"/>
      </w:pPr>
      <w:r>
        <w:rPr>
          <w:b/>
          <w:color w:val="595959"/>
          <w:sz w:val="16"/>
        </w:rPr>
        <w:t>Peraturan Presiden Republik Indonesia Nomor 7 Tahun 2019 &amp; Permenkes No. 11 Tahun 2022:</w:t>
      </w:r>
    </w:p>
    <w:p>
      <w:pPr>
        <w:spacing w:after="0"/>
        <w:ind w:left="283"/>
      </w:pPr>
      <w:r>
        <w:rPr>
          <w:color w:val="595959"/>
          <w:sz w:val="16"/>
        </w:rPr>
        <w:t>Lampiran I.a Butir 5 Perpres 7/2019 (Penyakit Akibat Kerja Faktor Kimia Timbal); Tujuh Langkah Penegakan Diagnosis PAK Permenkes 11/2022.</w:t>
      </w:r>
    </w:p>
    <w:p>
      <w:pPr>
        <w:spacing w:after="0"/>
        <w:ind w:left="283"/>
      </w:pPr>
      <w:r>
        <w:rPr>
          <w:b/>
          <w:color w:val="595959"/>
          <w:sz w:val="16"/>
        </w:rPr>
        <w:t>IARC (Monograph Vol. 100C, Vol. 87 &amp; Suppl. 7):</w:t>
      </w:r>
    </w:p>
    <w:p>
      <w:pPr>
        <w:spacing w:after="0"/>
        <w:ind w:left="283"/>
      </w:pPr>
      <w:r>
        <w:rPr>
          <w:color w:val="595959"/>
          <w:sz w:val="16"/>
        </w:rPr>
        <w:t>Klasifikasi Karsinogenisitas Timbal: Senyawa Anorganik (Grup 2A); Senyawa Organik (Grup 3).</w:t>
      </w:r>
    </w:p>
    <w:p>
      <w:r>
        <w:br w:type="page"/>
      </w:r>
    </w:p>
    <w:p>
      <w:pPr>
        <w:pStyle w:val="Heading2"/>
      </w:pPr>
      <w:bookmarkStart w:id="124" w:name="toc_024"/>
      <w:r>
        <w:t>3A.5 Kadmium (Cd)</w:t>
      </w:r>
      <w:bookmarkEnd w:id="124"/>
    </w:p>
    <w:p>
      <w:pPr>
        <w:pStyle w:val="Heading3"/>
      </w:pPr>
      <w:r>
        <w:t>1. Sifat Fisik-Kimia dan Klasifikasi Kadmium</w:t>
      </w:r>
    </w:p>
    <w:p>
      <w:pPr>
        <w:spacing w:after="80"/>
      </w:pPr>
      <w:r>
        <w:rPr/>
        <w:t>Kadmium (nomor atom 48, berat atom 112,41 g/mol) terletak pada Golongan IIB (bersama seng dan merkuri) periode 5 tabel periodik:</w:t>
      </w:r>
    </w:p>
    <w:p>
      <w:pPr>
        <w:spacing w:after="120"/>
        <w:ind w:left="170"/>
      </w:pPr>
      <w:r>
        <w:rPr>
          <w:rFonts w:ascii="Consolas" w:hAnsi="Consolas" w:eastAsia="Consolas"/>
          <w:sz w:val="13"/>
        </w:rPr>
        <w:t xml:space="preserve">                                [ KARAKTERISTIK FISIK-KIMIA KADMIUM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BENTUK VALENSI &amp; KATION ]             [ SENYAWA ANORGANIK UTAMA ]              [ REAKTIVITAS MOLEKULER ]</w:t>
      </w:r>
      <w:r>
        <w:br/>
      </w:r>
      <w:r>
        <w:rPr>
          <w:rFonts w:ascii="Consolas" w:hAnsi="Consolas" w:eastAsia="Consolas"/>
          <w:sz w:val="13"/>
        </w:rPr>
        <w:t>• Bilangan Oksidasi: +2 (Cd²⁺)          • Kadmium oksida (CdO, debu/fume)        • Mimetik Kation Divalen Esensial:</w:t>
      </w:r>
      <w:r>
        <w:br/>
      </w:r>
      <w:r>
        <w:rPr>
          <w:rFonts w:ascii="Consolas" w:hAnsi="Consolas" w:eastAsia="Consolas"/>
          <w:sz w:val="13"/>
        </w:rPr>
        <w:t>• Logam lunak, putih perak kebiruan     • Kadmium klorida (CdCl₂, sangat larut)    Menyerupai Zn²⁺ dan Ca²⁺</w:t>
      </w:r>
      <w:r>
        <w:br/>
      </w:r>
      <w:r>
        <w:rPr>
          <w:rFonts w:ascii="Consolas" w:hAnsi="Consolas" w:eastAsia="Consolas"/>
          <w:sz w:val="13"/>
        </w:rPr>
        <w:t>• Titik leleh: 321°C; didih: 765°C      • Kadmium sulfida (CdS, pigmen kuning)   • Non-Fenton Metal (tidak memicu ROS</w:t>
      </w:r>
      <w:r>
        <w:br/>
      </w:r>
      <w:r>
        <w:rPr>
          <w:rFonts w:ascii="Consolas" w:hAnsi="Consolas" w:eastAsia="Consolas"/>
          <w:sz w:val="13"/>
        </w:rPr>
        <w:t>• Tekanan uap tinggi saat dipanaskan    • Kadmium sulfat (CdSO₄)                   secara langsung, tetapi tidak langsung)</w:t>
      </w:r>
      <w:r>
        <w:br/>
      </w:r>
      <w:r>
        <w:rPr>
          <w:rFonts w:ascii="Consolas" w:hAnsi="Consolas" w:eastAsia="Consolas"/>
          <w:sz w:val="13"/>
        </w:rPr>
        <w:t>• Tidak mudah terkorosi (tahan karat)   • Kadmium stearat (penstabil PVC)        • Afinitas tinggi ligan tiol (-SH)</w:t>
      </w:r>
    </w:p>
    <w:p>
      <w:pPr>
        <w:spacing w:after="40"/>
        <w:ind w:left="340" w:hanging="283"/>
      </w:pPr>
      <w:r>
        <w:rPr/>
        <w:t xml:space="preserve">1. </w:t>
      </w:r>
      <w:r>
        <w:rPr>
          <w:b/>
        </w:rPr>
        <w:t>Sifat Fisik-Kimia Logam Murni:</w:t>
      </w:r>
    </w:p>
    <w:p>
      <w:pPr>
        <w:pStyle w:val="ListBullet2"/>
        <w:spacing w:after="20"/>
      </w:pPr>
      <w:r>
        <w:rPr/>
        <w:t>Berupa logam lunak yang mudah ditempa (</w:t>
      </w:r>
      <w:r>
        <w:rPr>
          <w:i/>
        </w:rPr>
        <w:t>malleable</w:t>
      </w:r>
      <w:r>
        <w:rPr/>
        <w:t>), berwarna putih keperakan dengan kilau kebiruan. Memiliki densitas 8,65 g/cm³, titik leleh 321°C, dan titik didih relatif rendah (765°C).</w:t>
      </w:r>
    </w:p>
    <w:p>
      <w:pPr>
        <w:pStyle w:val="ListBullet2"/>
        <w:spacing w:after="20"/>
      </w:pPr>
      <w:r>
        <w:rPr/>
        <w:t xml:space="preserve">Karena titik didihnya yang rendah, pemanasan paduan logam kadmium pada suhu industri (seperti pengelasan atau peleburan) akan </w:t>
      </w:r>
      <w:r>
        <w:rPr>
          <w:b/>
        </w:rPr>
        <w:t>segera menguap dan teroksidasi di udara membentuk aerosol asap halus kadmium oksida (</w:t>
      </w:r>
      <w:r>
        <w:rPr>
          <w:b/>
          <w:i/>
        </w:rPr>
        <w:t>cadmium oxide fume</w:t>
      </w:r>
      <w:r>
        <w:rPr>
          <w:b/>
        </w:rPr>
        <w:t xml:space="preserve"> / CdO)</w:t>
      </w:r>
      <w:r>
        <w:rPr/>
        <w:t xml:space="preserve"> yang sangat toksik bagi alveoli.</w:t>
      </w:r>
    </w:p>
    <w:p>
      <w:pPr>
        <w:spacing w:after="40"/>
        <w:ind w:left="340" w:hanging="283"/>
      </w:pPr>
      <w:r>
        <w:rPr/>
        <w:t xml:space="preserve">2. </w:t>
      </w:r>
      <w:r>
        <w:rPr>
          <w:b/>
        </w:rPr>
        <w:t>Spesiasi dan Bilangan Oksidasi:</w:t>
      </w:r>
    </w:p>
    <w:p>
      <w:pPr>
        <w:pStyle w:val="ListBullet2"/>
        <w:spacing w:after="20"/>
      </w:pPr>
      <w:r>
        <w:rPr/>
        <w:t xml:space="preserve">Dalam sistem biologi dan lingkungan, kadmium hampir secara eksklusif berada dalam </w:t>
      </w:r>
      <w:r>
        <w:rPr>
          <w:b/>
        </w:rPr>
        <w:t>bilangan oksidasi divalen (+2, sebagai kation Cd²⁺)</w:t>
      </w:r>
      <w:r>
        <w:rPr/>
        <w:t>.</w:t>
      </w:r>
    </w:p>
    <w:p>
      <w:pPr>
        <w:pStyle w:val="ListBullet2"/>
        <w:spacing w:after="20"/>
      </w:pPr>
      <w:r>
        <w:rPr/>
        <w:t>Kadmium tidak memiliki bentuk alkil organik stabil di alam (berbeda dengan metilmerkuri atau tetraetil timbal). Toksisitasnya murni dimediasi oleh senyawa anorganik divalen.</w:t>
      </w:r>
    </w:p>
    <w:p>
      <w:pPr>
        <w:spacing w:after="40"/>
        <w:ind w:left="340" w:hanging="283"/>
      </w:pPr>
      <w:r>
        <w:rPr/>
        <w:t xml:space="preserve">3. </w:t>
      </w:r>
      <w:r>
        <w:rPr>
          <w:b/>
        </w:rPr>
        <w:t>Kemiripan Kimiawi (</w:t>
      </w:r>
      <w:r>
        <w:rPr>
          <w:b/>
          <w:i/>
        </w:rPr>
        <w:t>Chemical Mimicry</w:t>
      </w:r>
      <w:r>
        <w:rPr>
          <w:b/>
        </w:rPr>
        <w:t>):</w:t>
      </w:r>
    </w:p>
    <w:p>
      <w:pPr>
        <w:pStyle w:val="ListBullet2"/>
        <w:spacing w:after="20"/>
      </w:pPr>
      <w:r>
        <w:rPr/>
        <w:t xml:space="preserve">Kation Cd²⁺ memiliki konfigurasi orbital elektron dan jari-jari ionik (0,97 Å) yang </w:t>
      </w:r>
      <w:r>
        <w:rPr>
          <w:b/>
        </w:rPr>
        <w:t>sangat mirip dengan kation divalen esensial seng (Zn²⁺, 0,74 Å) dan kalsium (Ca²⁺, 0,99 Å)</w:t>
      </w:r>
      <w:r>
        <w:rPr/>
        <w:t>.</w:t>
      </w:r>
    </w:p>
    <w:p>
      <w:pPr>
        <w:pStyle w:val="ListBullet2"/>
        <w:spacing w:after="20"/>
      </w:pPr>
      <w:r>
        <w:rPr/>
        <w:t xml:space="preserve">Akibat kemiripan ini, kadmium secara kompetitif </w:t>
      </w:r>
      <w:r>
        <w:rPr>
          <w:b/>
        </w:rPr>
        <w:t>membajak sistem transpor biologis kalsium dan seng, menggantikan seng pada situs katalitik metaloenzim, dan menggeser seng dari protein jari seng (</w:t>
      </w:r>
      <w:r>
        <w:rPr>
          <w:b/>
          <w:i/>
        </w:rPr>
        <w:t>zinc-finger proteins</w:t>
      </w:r>
      <w:r>
        <w:rPr>
          <w:b/>
        </w:rPr>
        <w:t>)</w:t>
      </w:r>
      <w:r>
        <w:rPr/>
        <w:t>.</w:t>
      </w:r>
    </w:p>
    <w:p>
      <w:pPr>
        <w:spacing w:after="40"/>
        <w:ind w:left="340" w:hanging="283"/>
      </w:pPr>
      <w:r>
        <w:rPr/>
        <w:t xml:space="preserve">4. </w:t>
      </w:r>
      <w:r>
        <w:rPr>
          <w:b/>
        </w:rPr>
        <w:t xml:space="preserve">Karakteristik </w:t>
      </w:r>
      <w:r>
        <w:rPr>
          <w:b/>
          <w:i/>
        </w:rPr>
        <w:t>Non-Fenton Metal</w:t>
      </w:r>
      <w:r>
        <w:rPr>
          <w:b/>
        </w:rPr>
        <w:t>:</w:t>
      </w:r>
    </w:p>
    <w:p>
      <w:pPr>
        <w:pStyle w:val="ListBullet2"/>
        <w:spacing w:after="20"/>
      </w:pPr>
      <w:r>
        <w:rPr/>
        <w:t xml:space="preserve">Berbeda dengan besi (Fe²⁺) atau tembaga (Cu⁺), kation Cd²⁺ memiliki valensi stabil dan </w:t>
      </w:r>
      <w:r>
        <w:rPr>
          <w:b/>
        </w:rPr>
        <w:t>tidak dapat berpartisipasi langsung dalam reaksi Fenton atau Haber-Weiss</w:t>
      </w:r>
      <w:r>
        <w:rPr/>
        <w:t>.</w:t>
      </w:r>
    </w:p>
    <w:p>
      <w:pPr>
        <w:pStyle w:val="ListBullet2"/>
        <w:spacing w:after="20"/>
      </w:pPr>
      <w:r>
        <w:rPr/>
        <w:t xml:space="preserve">Namun, kadmium memicu stres oksidatif seluler hebat secara </w:t>
      </w:r>
      <w:r>
        <w:rPr>
          <w:b/>
        </w:rPr>
        <w:t>tidak langsung (</w:t>
      </w:r>
      <w:r>
        <w:rPr>
          <w:b/>
          <w:i/>
        </w:rPr>
        <w:t>indirect oxidative stress</w:t>
      </w:r>
      <w:r>
        <w:rPr>
          <w:b/>
        </w:rPr>
        <w:t>)</w:t>
      </w:r>
      <w:r>
        <w:rPr/>
        <w:t xml:space="preserve"> melalui deplesi glutation tereduksi (GSH), penghambatan enzim antioksidan (SOD, katalase, glutation peroksidase), dan pelepasan besi bebas dari ferritin.</w:t>
      </w:r>
    </w:p>
    <w:p>
      <w:pPr>
        <w:pStyle w:val="Heading3"/>
      </w:pPr>
      <w:r>
        <w:t>1. Standar Batas Pajanan Udara (Exposure Limits): ACGIH vs. Permenaker No. 5 Tahun 2018</w:t>
      </w:r>
    </w:p>
    <w:p>
      <w:pPr>
        <w:spacing w:after="80"/>
      </w:pPr>
      <w:r>
        <w:rPr/>
        <w:t>Di udara lingkungan kerja industri, nilai ambang batas inhalasi kadmium diatur secara sangat ketat dengan membedakan fraksi partikulat aerosol:</w:t>
      </w:r>
    </w:p>
    <w:p>
      <w:pPr>
        <w:spacing w:after="120"/>
        <w:ind w:left="170"/>
      </w:pPr>
      <w:r>
        <w:rPr>
          <w:rFonts w:ascii="Consolas" w:hAnsi="Consolas" w:eastAsia="Consolas"/>
          <w:sz w:val="13"/>
        </w:rPr>
        <w:t xml:space="preserve">                       [ STANDAR BATAS PAJANAN KADMIUM DI UDARA KERJA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ACGIH TLV-TWA (EDISI TERKINI / 2026) ]                                    [ PERMENAKER NO. 5 TAHUN 2018 ]</w:t>
      </w:r>
      <w:r>
        <w:br/>
      </w:r>
      <w:r>
        <w:rPr>
          <w:rFonts w:ascii="Consolas" w:hAnsi="Consolas" w:eastAsia="Consolas"/>
          <w:sz w:val="13"/>
        </w:rPr>
        <w:t>• Fraksi Inhalabel (Total / Inhalable Particulate):                         • Fraksi Inhalabel (Inhalable):</w:t>
      </w:r>
      <w:r>
        <w:br/>
      </w:r>
      <w:r>
        <w:rPr>
          <w:rFonts w:ascii="Consolas" w:hAnsi="Consolas" w:eastAsia="Consolas"/>
          <w:sz w:val="13"/>
        </w:rPr>
        <w:t xml:space="preserve">  0,01 mg/m³ (sebagai Cd)                                                     NAB (TWA 8 jam): 0,01 mg/m³</w:t>
      </w:r>
      <w:r>
        <w:br/>
      </w:r>
      <w:r>
        <w:rPr>
          <w:rFonts w:ascii="Consolas" w:hAnsi="Consolas" w:eastAsia="Consolas"/>
          <w:sz w:val="13"/>
        </w:rPr>
        <w:t>• Fraksi Respirabel (Respirable Particulate):                               • Fraksi Respirabel (Respirable):</w:t>
      </w:r>
      <w:r>
        <w:br/>
      </w:r>
      <w:r>
        <w:rPr>
          <w:rFonts w:ascii="Consolas" w:hAnsi="Consolas" w:eastAsia="Consolas"/>
          <w:sz w:val="13"/>
        </w:rPr>
        <w:t xml:space="preserve">  0,002 mg/m³ (sebagai Cd)                                                    NAB (TWA 8 jam): 0,002 mg/m³</w:t>
      </w:r>
      <w:r>
        <w:br/>
      </w:r>
      <w:r>
        <w:rPr>
          <w:rFonts w:ascii="Consolas" w:hAnsi="Consolas" w:eastAsia="Consolas"/>
          <w:sz w:val="13"/>
        </w:rPr>
        <w:t>• Notasi: A2 (Suspected Human Carcinogen); BEI                              • Notasi: A2; BEI (simbol segitiga ▲)</w:t>
      </w:r>
      <w:r>
        <w:br/>
      </w:r>
      <w:r>
        <w:rPr>
          <w:rFonts w:ascii="Consolas" w:hAnsi="Consolas" w:eastAsia="Consolas"/>
          <w:sz w:val="13"/>
        </w:rPr>
        <w:t>• Basis TLV: Kerusakan Ginjal (Kidney Damage / Nephrotoxicity)              • Target Efek Kritis: Ginjal dan Karsinogenisitas</w:t>
      </w:r>
    </w:p>
    <w:p>
      <w:pPr>
        <w:pStyle w:val="Heading4"/>
      </w:pPr>
      <w:r>
        <w:t>a. Nilai Ambang Batas ACGIH (Edisi 2026)</w:t>
      </w:r>
    </w:p>
    <w:p>
      <w:pPr>
        <w:pStyle w:val="ListBullet"/>
        <w:spacing w:after="20"/>
      </w:pPr>
      <w:r>
        <w:rPr>
          <w:b/>
        </w:rPr>
        <w:t>Substansi:</w:t>
      </w:r>
      <w:r>
        <w:rPr/>
        <w:t xml:space="preserve"> </w:t>
      </w:r>
      <w:r>
        <w:rPr>
          <w:i/>
        </w:rPr>
        <w:t>Cadmium and inorganic compounds, as Cd</w:t>
      </w:r>
      <w:r>
        <w:rPr/>
        <w:t xml:space="preserve"> [CAS 7440-43-9].</w:t>
      </w:r>
    </w:p>
    <w:p>
      <w:pPr>
        <w:pStyle w:val="ListBullet"/>
        <w:spacing w:after="20"/>
      </w:pPr>
      <w:r>
        <w:rPr>
          <w:b/>
        </w:rPr>
        <w:t>TLV-TWA Fraksi Inhalabel (</w:t>
      </w:r>
      <w:r>
        <w:rPr>
          <w:b/>
          <w:i/>
        </w:rPr>
        <w:t>Inhalable particulate matter</w:t>
      </w:r>
      <w:r>
        <w:rPr>
          <w:b/>
        </w:rPr>
        <w:t xml:space="preserve"> / I):</w:t>
      </w:r>
      <w:r>
        <w:rPr/>
        <w:t xml:space="preserve"> </w:t>
      </w:r>
      <w:r>
        <w:rPr>
          <w:b/>
        </w:rPr>
        <w:t>0,01 mg/m³</w:t>
      </w:r>
      <w:r>
        <w:rPr/>
        <w:t xml:space="preserve"> (setara </w:t>
      </w:r>
      <w:r>
        <w:rPr>
          <w:b/>
        </w:rPr>
        <w:t>10 µg/m³</w:t>
      </w:r>
      <w:r>
        <w:rPr/>
        <w:t>).</w:t>
      </w:r>
    </w:p>
    <w:p>
      <w:pPr>
        <w:pStyle w:val="ListBullet"/>
        <w:spacing w:after="20"/>
      </w:pPr>
      <w:r>
        <w:rPr>
          <w:b/>
        </w:rPr>
        <w:t>TLV-TWA Fraksi Respirabel (</w:t>
      </w:r>
      <w:r>
        <w:rPr>
          <w:b/>
          <w:i/>
        </w:rPr>
        <w:t>Respirable particulate matter</w:t>
      </w:r>
      <w:r>
        <w:rPr>
          <w:b/>
        </w:rPr>
        <w:t xml:space="preserve"> / R):</w:t>
      </w:r>
      <w:r>
        <w:rPr/>
        <w:t xml:space="preserve"> </w:t>
      </w:r>
      <w:r>
        <w:rPr>
          <w:b/>
        </w:rPr>
        <w:t>0,002 mg/m³</w:t>
      </w:r>
      <w:r>
        <w:rPr/>
        <w:t xml:space="preserve"> (setara </w:t>
      </w:r>
      <w:r>
        <w:rPr>
          <w:b/>
        </w:rPr>
        <w:t>2 µg/m³</w:t>
      </w:r>
      <w:r>
        <w:rPr/>
        <w:t>).</w:t>
      </w:r>
    </w:p>
    <w:p>
      <w:pPr>
        <w:pStyle w:val="ListBullet"/>
        <w:spacing w:after="20"/>
      </w:pPr>
      <w:r>
        <w:rPr>
          <w:i/>
        </w:rPr>
        <w:t>Notasi Resmi:</w:t>
      </w:r>
      <w:r>
        <w:rPr/>
        <w:t xml:space="preserve"> </w:t>
      </w:r>
      <w:r>
        <w:rPr>
          <w:b/>
        </w:rPr>
        <w:t>A2; BEI</w:t>
      </w:r>
      <w:r>
        <w:rPr/>
        <w:t>.</w:t>
      </w:r>
    </w:p>
    <w:p>
      <w:pPr>
        <w:pStyle w:val="ListBullet"/>
        <w:spacing w:after="20"/>
      </w:pPr>
      <w:r>
        <w:rPr>
          <w:i/>
        </w:rPr>
        <w:t>Dasar Penetapan Efek Kritis (*TLV Basis</w:t>
      </w:r>
      <w:r>
        <w:rPr/>
        <w:t xml:space="preserve">):* </w:t>
      </w:r>
      <w:r>
        <w:rPr>
          <w:b/>
        </w:rPr>
        <w:t>Kerusakan Ginjal (</w:t>
      </w:r>
      <w:r>
        <w:rPr>
          <w:b/>
          <w:i/>
        </w:rPr>
        <w:t>Kidney damage / nephrotoxicity</w:t>
      </w:r>
      <w:r>
        <w:rPr>
          <w:b/>
        </w:rPr>
        <w:t>)</w:t>
      </w:r>
      <w:r>
        <w:rPr/>
        <w:t>.</w:t>
      </w:r>
    </w:p>
    <w:p>
      <w:pPr>
        <w:pStyle w:val="ListBullet"/>
        <w:spacing w:after="20"/>
      </w:pPr>
      <w:r>
        <w:rPr>
          <w:i/>
        </w:rPr>
        <w:t>Perbandingan Regulasi Lain:</w:t>
      </w:r>
      <w:r>
        <w:rPr/>
        <w:t xml:space="preserve"> OSHA menetapkan PEL TWA </w:t>
      </w:r>
      <w:r>
        <w:rPr>
          <w:b/>
        </w:rPr>
        <w:t>0,005 mg/m³</w:t>
      </w:r>
      <w:r>
        <w:rPr/>
        <w:t xml:space="preserve"> (5 µg/m³) untuk seluruh senyawa kadmium, dengan batas tindakan (</w:t>
      </w:r>
      <w:r>
        <w:rPr>
          <w:i/>
        </w:rPr>
        <w:t>Action Level</w:t>
      </w:r>
      <w:r>
        <w:rPr/>
        <w:t xml:space="preserve">) sebesar </w:t>
      </w:r>
      <w:r>
        <w:rPr>
          <w:b/>
        </w:rPr>
        <w:t>0,0025 mg/m³</w:t>
      </w:r>
      <w:r>
        <w:rPr/>
        <w:t>. NIOSH mengklasifikasikan kadmium sebagai karsinogen kerja potensial (</w:t>
      </w:r>
      <w:r>
        <w:rPr>
          <w:i/>
        </w:rPr>
        <w:t>Ca</w:t>
      </w:r>
      <w:r>
        <w:rPr/>
        <w:t xml:space="preserve">) dengan IDLH </w:t>
      </w:r>
      <w:r>
        <w:rPr>
          <w:b/>
        </w:rPr>
        <w:t>9 mg/m³</w:t>
      </w:r>
      <w:r>
        <w:rPr/>
        <w:t>.</w:t>
      </w:r>
    </w:p>
    <w:p>
      <w:pPr>
        <w:pStyle w:val="Heading4"/>
      </w:pPr>
      <w:r>
        <w:t>b. Nilai Ambang Batas Permenaker No. 5 Tahun 2018 (Lampiran 3)</w:t>
      </w:r>
    </w:p>
    <w:p>
      <w:pPr>
        <w:spacing w:after="80"/>
      </w:pPr>
      <w:r>
        <w:rPr/>
        <w:t>Kementerian Ketenagakerjaan RI mengadopsi standar yang selaras penuh dengan ACGIH:</w:t>
      </w:r>
    </w:p>
    <w:p>
      <w:pPr>
        <w:pStyle w:val="ListBullet"/>
        <w:spacing w:after="20"/>
      </w:pPr>
      <w:r>
        <w:rPr>
          <w:b/>
        </w:rPr>
        <w:t>Nama Bahan Kimia:</w:t>
      </w:r>
      <w:r>
        <w:rPr/>
        <w:t xml:space="preserve"> Kadmium dan senyawa anorganiknya, sebagai Cd.</w:t>
      </w:r>
    </w:p>
    <w:p>
      <w:pPr>
        <w:pStyle w:val="ListBullet"/>
        <w:spacing w:after="20"/>
      </w:pPr>
      <w:r>
        <w:rPr>
          <w:b/>
        </w:rPr>
        <w:t>NAB (TWA 8 jam) Fraksi Inhalabel:</w:t>
      </w:r>
      <w:r>
        <w:rPr/>
        <w:t xml:space="preserve"> </w:t>
      </w:r>
      <w:r>
        <w:rPr>
          <w:b/>
        </w:rPr>
        <w:t>0,01 mg/m³</w:t>
      </w:r>
      <w:r>
        <w:rPr/>
        <w:t>.</w:t>
      </w:r>
    </w:p>
    <w:p>
      <w:pPr>
        <w:pStyle w:val="ListBullet"/>
        <w:spacing w:after="20"/>
      </w:pPr>
      <w:r>
        <w:rPr>
          <w:b/>
        </w:rPr>
        <w:t>NAB (TWA 8 jam) Fraksi Respirabel:</w:t>
      </w:r>
      <w:r>
        <w:rPr/>
        <w:t xml:space="preserve"> </w:t>
      </w:r>
      <w:r>
        <w:rPr>
          <w:b/>
        </w:rPr>
        <w:t>0,002 mg/m³</w:t>
      </w:r>
      <w:r>
        <w:rPr/>
        <w:t>.</w:t>
      </w:r>
    </w:p>
    <w:p>
      <w:pPr>
        <w:pStyle w:val="ListBullet"/>
        <w:spacing w:after="20"/>
      </w:pPr>
      <w:r>
        <w:rPr>
          <w:i/>
        </w:rPr>
        <w:t>Notasi:</w:t>
      </w:r>
      <w:r>
        <w:rPr/>
        <w:t xml:space="preserve"> </w:t>
      </w:r>
      <w:r>
        <w:rPr>
          <w:b/>
        </w:rPr>
        <w:t>A2</w:t>
      </w:r>
      <w:r>
        <w:rPr/>
        <w:t xml:space="preserve"> (Karsinogenik Diperkirakan terhadap Manusia) dan </w:t>
      </w:r>
      <w:r>
        <w:rPr>
          <w:b/>
        </w:rPr>
        <w:t>BEI</w:t>
      </w:r>
      <w:r>
        <w:rPr/>
        <w:t xml:space="preserve"> (simbol segitiga ▲).</w:t>
      </w:r>
    </w:p>
    <w:p>
      <w:pPr>
        <w:pStyle w:val="Heading4"/>
      </w:pPr>
      <w:r>
        <w:t>c. Makna Toksikologis Notasi "A2" dan Fraksi Respirabel</w:t>
      </w:r>
    </w:p>
    <w:p>
      <w:pPr>
        <w:pStyle w:val="ListBullet"/>
        <w:spacing w:after="20"/>
      </w:pPr>
      <w:r>
        <w:rPr>
          <w:b/>
        </w:rPr>
        <w:t>Notasi "A2" (</w:t>
      </w:r>
      <w:r>
        <w:rPr>
          <w:b/>
          <w:i/>
        </w:rPr>
        <w:t>Suspected Human Carcinogen</w:t>
      </w:r>
      <w:r>
        <w:rPr>
          <w:b/>
        </w:rPr>
        <w:t>):</w:t>
      </w:r>
      <w:r>
        <w:rPr/>
        <w:t xml:space="preserve"> Menandakan bahwa data epidemiologi pada pekerja manusia telah menunjukkan asosiasi kuat yang mengarah pada peningkatan risiko kanker (terutama karsinoma paru bronkogenik), didukung oleh bukti karsinogenisitas yang sangat jelas pada hewan coba.</w:t>
      </w:r>
    </w:p>
    <w:p>
      <w:pPr>
        <w:pStyle w:val="ListBullet"/>
        <w:spacing w:after="20"/>
      </w:pPr>
      <w:r>
        <w:rPr>
          <w:b/>
        </w:rPr>
        <w:t>Rasional Penetapan Limit Fraksi Respirabel (0,002 mg/m³):</w:t>
      </w:r>
      <w:r>
        <w:rPr/>
        <w:t xml:space="preserve"> Partikulat halus kadmium oksida respirabel (&lt; 2,5--4 µm) mampu menembus hingga kantung alveoli terminal, di mana laju absorpsinya mencapai 20%–50% langsung ke dalam aliran darah sistemik menuju hepar dan ginjal. Oleh karena itu, ambang fraksi respirabel ditetapkan 5 kali lebih ketat daripada fraksi inhalabel guna mencegah akumulasi kronis di korteks ginjal.</w:t>
      </w:r>
    </w:p>
    <w:p>
      <w:pPr>
        <w:pStyle w:val="Heading3"/>
      </w:pPr>
      <w:r>
        <w:t>2. Standar BEI, Biomonitoring, dan Pembacaan Nilai β₂-Mikroglobulin</w:t>
      </w:r>
    </w:p>
    <w:p>
      <w:pPr>
        <w:spacing w:after="80"/>
      </w:pPr>
      <w:r>
        <w:rPr/>
        <w:t>Biomonitoring kadmium merupakan keharusan mutlak dalam surveilans medis pekerja industri baterai, elektroplating, dan peleburan:</w:t>
      </w:r>
    </w:p>
    <w:p>
      <w:pPr>
        <w:spacing w:after="120"/>
        <w:ind w:left="170"/>
      </w:pPr>
      <w:r>
        <w:rPr>
          <w:rFonts w:ascii="Consolas" w:hAnsi="Consolas" w:eastAsia="Consolas"/>
          <w:sz w:val="13"/>
        </w:rPr>
        <w:t xml:space="preserve">                     [ STRATEGI BIOMONITORING KADMIUM OKUPASI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DETERMINAN DOSIS INTERNAL (ACGIH BEI) ]                        [ DETERMINAN EFEK TUBULUS GINJAL ]</w:t>
      </w:r>
      <w:r>
        <w:br/>
      </w:r>
      <w:r>
        <w:rPr>
          <w:rFonts w:ascii="Consolas" w:hAnsi="Consolas" w:eastAsia="Consolas"/>
          <w:sz w:val="13"/>
        </w:rPr>
        <w:t>• Kadmium Urin (U-Cd): 5 µg/g kreatinin (Notasi B)               • Beta-2 Mikroglobulin Urin (β2-MG)</w:t>
      </w:r>
      <w:r>
        <w:br/>
      </w:r>
      <w:r>
        <w:rPr>
          <w:rFonts w:ascii="Consolas" w:hAnsi="Consolas" w:eastAsia="Consolas"/>
          <w:sz w:val="13"/>
        </w:rPr>
        <w:t xml:space="preserve">  - Mengukur Beban Tubuh Kumulatif (Body Burden)                   - &lt; 300 µg/g kreatinin: Normal fisiologis</w:t>
      </w:r>
      <w:r>
        <w:br/>
      </w:r>
      <w:r>
        <w:rPr>
          <w:rFonts w:ascii="Consolas" w:hAnsi="Consolas" w:eastAsia="Consolas"/>
          <w:sz w:val="13"/>
        </w:rPr>
        <w:t>• Kadmium Darah (B-Cd): 5 µg/L darah lengkap (Notasi B)           - 300 – 1.000 µg/g kreatinin: Insipien (REVERSIBEL)</w:t>
      </w:r>
      <w:r>
        <w:br/>
      </w:r>
      <w:r>
        <w:rPr>
          <w:rFonts w:ascii="Consolas" w:hAnsi="Consolas" w:eastAsia="Consolas"/>
          <w:sz w:val="13"/>
        </w:rPr>
        <w:t xml:space="preserve">  - Mengukur Pajanan Terkini (recent exposure)                     - 1.000 – 10.000 µg/g kreatinin: IREVERSIBEL</w:t>
      </w:r>
      <w:r>
        <w:br/>
      </w:r>
      <w:r>
        <w:rPr>
          <w:rFonts w:ascii="Consolas" w:hAnsi="Consolas" w:eastAsia="Consolas"/>
          <w:sz w:val="13"/>
        </w:rPr>
        <w:t>• WAKTU SAMPLING: Discretionary / Not Critical                     - &gt; 10.000 µg/g kreatinin: Overt Nephropathy</w:t>
      </w:r>
      <w:r>
        <w:br/>
      </w:r>
      <w:r>
        <w:rPr>
          <w:rFonts w:ascii="Consolas" w:hAnsi="Consolas" w:eastAsia="Consolas"/>
          <w:sz w:val="13"/>
        </w:rPr>
        <w:t xml:space="preserve">  (Kapan saja bebas, T1/2 tahunan)                               • Labil pada pH &lt; 6,0! RBP sebagai alternatif stabil</w:t>
      </w:r>
    </w:p>
    <w:p>
      <w:pPr>
        <w:pStyle w:val="Heading4"/>
      </w:pPr>
      <w:r>
        <w:t>a. Standar Indeks Pajanan Biologi (ACGIH BEI Edisi Terkini)</w:t>
      </w:r>
    </w:p>
    <w:p>
      <w:pPr>
        <w:spacing w:after="80"/>
      </w:pPr>
      <w:r>
        <w:rPr/>
        <w:t>Berdasarkan adopsi resmi ACGIH (2026):</w:t>
      </w:r>
    </w:p>
    <w:p>
      <w:pPr>
        <w:spacing w:after="40"/>
        <w:ind w:left="340" w:hanging="283"/>
      </w:pPr>
      <w:r>
        <w:rPr/>
        <w:t xml:space="preserve">1. </w:t>
      </w:r>
      <w:r>
        <w:rPr>
          <w:b/>
        </w:rPr>
        <w:t>Kadmium dalam Urin (</w:t>
      </w:r>
      <w:r>
        <w:rPr>
          <w:b/>
          <w:i/>
        </w:rPr>
        <w:t>Cadmium in urine</w:t>
      </w:r>
      <w:r>
        <w:rPr>
          <w:b/>
        </w:rPr>
        <w:t xml:space="preserve"> / U-Cd):</w:t>
      </w:r>
    </w:p>
    <w:p>
      <w:pPr>
        <w:pStyle w:val="ListBullet2"/>
        <w:spacing w:after="20"/>
      </w:pPr>
      <w:r>
        <w:rPr>
          <w:b/>
        </w:rPr>
        <w:t>Nilai Baku BEI:</w:t>
      </w:r>
      <w:r>
        <w:rPr/>
        <w:t xml:space="preserve"> </w:t>
      </w:r>
      <w:r>
        <w:rPr>
          <w:b/>
        </w:rPr>
        <w:t>5 µg/g kreatinin</w:t>
      </w:r>
      <w:r>
        <w:rPr/>
        <w:t>.</w:t>
      </w:r>
    </w:p>
    <w:p>
      <w:pPr>
        <w:pStyle w:val="ListBullet2"/>
        <w:spacing w:after="20"/>
      </w:pPr>
      <w:r>
        <w:rPr>
          <w:i/>
        </w:rPr>
        <w:t>Signifikansi Toksikokinetik:</w:t>
      </w:r>
      <w:r>
        <w:rPr/>
        <w:t xml:space="preserve"> Merupakan </w:t>
      </w:r>
      <w:r>
        <w:rPr>
          <w:b/>
        </w:rPr>
        <w:t>indikator beban tubuh kumulatif seumur hidup (</w:t>
      </w:r>
      <w:r>
        <w:rPr>
          <w:b/>
          <w:i/>
        </w:rPr>
        <w:t>cumulative body burden</w:t>
      </w:r>
      <w:r>
        <w:rPr>
          <w:b/>
        </w:rPr>
        <w:t>)</w:t>
      </w:r>
      <w:r>
        <w:rPr/>
        <w:t xml:space="preserve"> yang mencerminkan penumpukan kadmium di dalam korteks ginjal. Nilai ini stabil dan tidak dipengaruhi oleh fluktuasi harian.</w:t>
      </w:r>
    </w:p>
    <w:p>
      <w:pPr>
        <w:spacing w:after="40"/>
        <w:ind w:left="340" w:hanging="283"/>
      </w:pPr>
      <w:r>
        <w:rPr/>
        <w:t xml:space="preserve">2. </w:t>
      </w:r>
      <w:r>
        <w:rPr>
          <w:b/>
        </w:rPr>
        <w:t>Kadmium dalam Darah Lengkap (</w:t>
      </w:r>
      <w:r>
        <w:rPr>
          <w:b/>
          <w:i/>
        </w:rPr>
        <w:t>Cadmium in blood</w:t>
      </w:r>
      <w:r>
        <w:rPr>
          <w:b/>
        </w:rPr>
        <w:t xml:space="preserve"> / B-Cd):</w:t>
      </w:r>
    </w:p>
    <w:p>
      <w:pPr>
        <w:pStyle w:val="ListBullet2"/>
        <w:spacing w:after="20"/>
      </w:pPr>
      <w:r>
        <w:rPr>
          <w:b/>
        </w:rPr>
        <w:t>Nilai Baku BEI:</w:t>
      </w:r>
      <w:r>
        <w:rPr/>
        <w:t xml:space="preserve"> </w:t>
      </w:r>
      <w:r>
        <w:rPr>
          <w:b/>
        </w:rPr>
        <w:t>5 µg/L</w:t>
      </w:r>
      <w:r>
        <w:rPr/>
        <w:t xml:space="preserve"> darah lengkap.</w:t>
      </w:r>
    </w:p>
    <w:p>
      <w:pPr>
        <w:pStyle w:val="ListBullet2"/>
        <w:spacing w:after="20"/>
      </w:pPr>
      <w:r>
        <w:rPr>
          <w:i/>
        </w:rPr>
        <w:t>Signifikansi Toksikokinetik:</w:t>
      </w:r>
      <w:r>
        <w:rPr/>
        <w:t xml:space="preserve"> Terutama mencerminkan </w:t>
      </w:r>
      <w:r>
        <w:rPr>
          <w:b/>
        </w:rPr>
        <w:t>pajanan okupasi terkini (</w:t>
      </w:r>
      <w:r>
        <w:rPr>
          <w:b/>
          <w:i/>
        </w:rPr>
        <w:t>recent exposure</w:t>
      </w:r>
      <w:r>
        <w:rPr>
          <w:b/>
        </w:rPr>
        <w:t>) dalam beberapa minggu hingga beberapa bulan terakhir</w:t>
      </w:r>
      <w:r>
        <w:rPr/>
        <w:t>, sangat sensitif untuk mendeteksi lonjakan pajanan baru pada karyawan baru atau perubahan proses kerja industri.</w:t>
      </w:r>
    </w:p>
    <w:p>
      <w:pPr>
        <w:spacing w:after="40"/>
        <w:ind w:left="340" w:hanging="283"/>
      </w:pPr>
      <w:r>
        <w:rPr/>
        <w:t xml:space="preserve">3. </w:t>
      </w:r>
      <w:r>
        <w:rPr>
          <w:b/>
        </w:rPr>
        <w:t>Waktu Pengambilan Sampel (</w:t>
      </w:r>
      <w:r>
        <w:rPr>
          <w:b/>
          <w:i/>
        </w:rPr>
        <w:t>Sampling Time</w:t>
      </w:r>
      <w:r>
        <w:rPr>
          <w:b/>
        </w:rPr>
        <w:t>):</w:t>
      </w:r>
    </w:p>
    <w:p>
      <w:pPr>
        <w:pStyle w:val="ListBullet2"/>
        <w:spacing w:after="20"/>
      </w:pPr>
      <w:r>
        <w:rPr>
          <w:b/>
        </w:rPr>
        <w:t>Tidak Kritis / Kapan Saja (</w:t>
      </w:r>
      <w:r>
        <w:rPr>
          <w:b/>
          <w:i/>
        </w:rPr>
        <w:t>Not Critical / Discretionary</w:t>
      </w:r>
      <w:r>
        <w:rPr>
          <w:b/>
        </w:rPr>
        <w:t>)</w:t>
      </w:r>
      <w:r>
        <w:rPr/>
        <w:t>.</w:t>
      </w:r>
    </w:p>
    <w:p>
      <w:pPr>
        <w:pStyle w:val="ListBullet2"/>
        <w:spacing w:after="20"/>
      </w:pPr>
      <w:r>
        <w:rPr>
          <w:i/>
        </w:rPr>
        <w:t>Rasional:</w:t>
      </w:r>
      <w:r>
        <w:rPr/>
        <w:t xml:space="preserve"> Karena waktu paruh eliminasi kadmium sangat panjang (darah berbulan-bulan, ginjal 10–30 tahun), konsentrasinya tidak berfluktuasi signifikan dalam satu siklus gilir kerja harian.</w:t>
      </w:r>
    </w:p>
    <w:p>
      <w:pPr>
        <w:spacing w:after="40"/>
        <w:ind w:left="340" w:hanging="283"/>
      </w:pPr>
      <w:r>
        <w:rPr/>
        <w:t xml:space="preserve">4. </w:t>
      </w:r>
      <w:r>
        <w:rPr>
          <w:b/>
        </w:rPr>
        <w:t>Notasi Latar Belakang (</w:t>
      </w:r>
      <w:r>
        <w:rPr>
          <w:b/>
          <w:i/>
        </w:rPr>
        <w:t>Background</w:t>
      </w:r>
      <w:r>
        <w:rPr>
          <w:b/>
        </w:rPr>
        <w:t xml:space="preserve"> / B):</w:t>
      </w:r>
    </w:p>
    <w:p>
      <w:pPr>
        <w:pStyle w:val="ListBullet2"/>
        <w:spacing w:after="20"/>
      </w:pPr>
      <w:r>
        <w:rPr/>
        <w:t>Mengingatkan dokter okupasi bahwa diet makanan harian (terutama beras, kerang-kerangan) dan kebiasaan merokok memberikan kontribusi latar belakang alami yang terdeteksi pada individu non-okupasi.</w:t>
      </w:r>
    </w:p>
    <w:p>
      <w:pPr>
        <w:spacing w:after="40"/>
        <w:ind w:left="340" w:hanging="283"/>
      </w:pPr>
      <w:r>
        <w:rPr/>
        <w:t xml:space="preserve">5. </w:t>
      </w:r>
      <w:r>
        <w:rPr>
          <w:i/>
        </w:rPr>
        <w:t>Wawasan Regulasi Komparatif Internasional (HBM4EU / Konsensus Eropa 2021):</w:t>
      </w:r>
    </w:p>
    <w:p>
      <w:pPr>
        <w:spacing w:after="80"/>
      </w:pPr>
      <w:r>
        <w:rPr/>
        <w:t>Konsorsium HBM4EU dan Komite Penasihat Eropa (SCOEL) telah menetapkan nilai panduan biologis pekerja (</w:t>
      </w:r>
      <w:r>
        <w:rPr>
          <w:i/>
        </w:rPr>
        <w:t>HBM-GVWorker</w:t>
      </w:r>
      <w:r>
        <w:rPr/>
        <w:t xml:space="preserve">) yang lebih protektif, yaitu </w:t>
      </w:r>
      <w:r>
        <w:rPr>
          <w:b/>
        </w:rPr>
        <w:t>2 µg/g kreatinin untuk U-Cd</w:t>
      </w:r>
      <w:r>
        <w:rPr/>
        <w:t xml:space="preserve"> dan </w:t>
      </w:r>
      <w:r>
        <w:rPr>
          <w:b/>
        </w:rPr>
        <w:t>5 µg/L untuk B-Cd</w:t>
      </w:r>
      <w:r>
        <w:rPr/>
        <w:t>, didasarkan pada studi kohort Chaumont et al. pada pekerja baterai Ni-Cd guna mencegah timbulnya disfungsi tubulus proksimal dini.</w:t>
      </w:r>
    </w:p>
    <w:p>
      <w:pPr>
        <w:pStyle w:val="Heading4"/>
      </w:pPr>
      <w:r>
        <w:t>b. Pembacaan dan Interpretasi Klinis Nilai β₂-Mikroglobulin (β₂-MG) Urin</w:t>
      </w:r>
    </w:p>
    <w:p>
      <w:pPr>
        <w:spacing w:after="80"/>
      </w:pPr>
      <w:r>
        <w:rPr/>
        <w:t>β₂-MG adalah protein berat molekul rendah (12 kDa) yang difiltrasi bebas di glomerulus dan direabsorpsi 99,9% oleh sel tubulus proksimal. Penumpukan kadmium di lisosom tubulus merusak sistem reseptor megalin-kubilin, memicu kebocoran β₂-MG ke urin.</w:t>
      </w:r>
    </w:p>
    <w:p>
      <w:pPr>
        <w:spacing w:after="80"/>
      </w:pPr>
      <w:r>
        <w:rPr/>
        <w:t>Berdasarkan konsensus biomarker klinis Alfred Bernard (2004) dan adopsi HBM4EU:</w:t>
      </w:r>
    </w:p>
    <w:p>
      <w:pPr>
        <w:spacing w:after="40"/>
        <w:ind w:left="340" w:hanging="283"/>
      </w:pPr>
      <w:r>
        <w:rPr/>
        <w:t xml:space="preserve">1. </w:t>
      </w:r>
      <w:r>
        <w:rPr>
          <w:b/>
        </w:rPr>
        <w:t>Kadar &lt; 300 µg/g kreatinin:</w:t>
      </w:r>
    </w:p>
    <w:p>
      <w:pPr>
        <w:pStyle w:val="ListBullet2"/>
        <w:spacing w:after="20"/>
      </w:pPr>
      <w:r>
        <w:rPr>
          <w:b/>
        </w:rPr>
        <w:t>Rentang Normal Fisiologis.</w:t>
      </w:r>
      <w:r>
        <w:rPr/>
        <w:t xml:space="preserve"> Fungsi reabsorpsi epitel tubulus kontortus proksimal ginjal masih utuh dan bekerja normal.</w:t>
      </w:r>
    </w:p>
    <w:p>
      <w:pPr>
        <w:spacing w:after="40"/>
        <w:ind w:left="340" w:hanging="283"/>
      </w:pPr>
      <w:r>
        <w:rPr/>
        <w:t xml:space="preserve">2. </w:t>
      </w:r>
      <w:r>
        <w:rPr>
          <w:b/>
        </w:rPr>
        <w:t>Kadar 300--1.000 µg/g kreatinin:</w:t>
      </w:r>
    </w:p>
    <w:p>
      <w:pPr>
        <w:pStyle w:val="ListBullet2"/>
        <w:spacing w:after="20"/>
      </w:pPr>
      <w:r>
        <w:rPr>
          <w:b/>
        </w:rPr>
        <w:t>Disfungsi Tubulus Proksimal Awal / Insipien (</w:t>
      </w:r>
      <w:r>
        <w:rPr>
          <w:b/>
          <w:i/>
        </w:rPr>
        <w:t>Incipient Tubular Dysfunction</w:t>
      </w:r>
      <w:r>
        <w:rPr>
          <w:b/>
        </w:rPr>
        <w:t>).</w:t>
      </w:r>
    </w:p>
    <w:p>
      <w:pPr>
        <w:pStyle w:val="ListBullet2"/>
        <w:spacing w:after="20"/>
      </w:pPr>
      <w:r>
        <w:rPr>
          <w:i/>
        </w:rPr>
        <w:t>Signifikansi Okupasi Kritis:</w:t>
      </w:r>
      <w:r>
        <w:rPr/>
        <w:t xml:space="preserve"> Pada stadium ini, kerusakan seluler </w:t>
      </w:r>
      <w:r>
        <w:rPr>
          <w:b/>
        </w:rPr>
        <w:t>MASIH BERSIFAT REVERSIBEL</w:t>
      </w:r>
      <w:r>
        <w:rPr/>
        <w:t>. Jika pekerja segera ditarik dari area pajanan (</w:t>
      </w:r>
      <w:r>
        <w:rPr>
          <w:i/>
        </w:rPr>
        <w:t>medical removal</w:t>
      </w:r>
      <w:r>
        <w:rPr/>
        <w:t>), kapasitas reabsorpsi tubulus ginjal memiliki peluang besar untuk pulih normal.</w:t>
      </w:r>
    </w:p>
    <w:p>
      <w:pPr>
        <w:spacing w:after="40"/>
        <w:ind w:left="340" w:hanging="283"/>
      </w:pPr>
      <w:r>
        <w:rPr/>
        <w:t xml:space="preserve">3. </w:t>
      </w:r>
      <w:r>
        <w:rPr>
          <w:b/>
        </w:rPr>
        <w:t>Kadar 1.000--10.000 µg/g kreatinin:</w:t>
      </w:r>
    </w:p>
    <w:p>
      <w:pPr>
        <w:pStyle w:val="ListBullet2"/>
        <w:spacing w:after="20"/>
      </w:pPr>
      <w:r>
        <w:rPr>
          <w:b/>
        </w:rPr>
        <w:t>Disfungsi Tubulus Proksimal Berat dan IREVERSIBEL.</w:t>
      </w:r>
    </w:p>
    <w:p>
      <w:pPr>
        <w:pStyle w:val="ListBullet2"/>
        <w:spacing w:after="20"/>
      </w:pPr>
      <w:r>
        <w:rPr>
          <w:i/>
        </w:rPr>
        <w:t>Prognosis:</w:t>
      </w:r>
      <w:r>
        <w:rPr/>
        <w:t xml:space="preserve"> Kerusakan membran basal dan hilangnya mikrovili </w:t>
      </w:r>
      <w:r>
        <w:rPr>
          <w:i/>
        </w:rPr>
        <w:t>brush border</w:t>
      </w:r>
      <w:r>
        <w:rPr/>
        <w:t xml:space="preserve"> telah permanen. Meskipun pajanan kerja dihentikan total, kebocoran protein molekul rendah akan menetap dan </w:t>
      </w:r>
      <w:r>
        <w:rPr>
          <w:b/>
        </w:rPr>
        <w:t>laju filtrasi glomerulus (eGFR) akan mengalami penurunan progresif terakselerasi seiring pertambahan usia pekerja</w:t>
      </w:r>
      <w:r>
        <w:rPr/>
        <w:t>.</w:t>
      </w:r>
    </w:p>
    <w:p>
      <w:pPr>
        <w:spacing w:after="40"/>
        <w:ind w:left="340" w:hanging="283"/>
      </w:pPr>
      <w:r>
        <w:rPr/>
        <w:t xml:space="preserve">4. </w:t>
      </w:r>
      <w:r>
        <w:rPr>
          <w:b/>
        </w:rPr>
        <w:t>Kadar &gt; 10.000 µg/g kreatinin:</w:t>
      </w:r>
    </w:p>
    <w:p>
      <w:pPr>
        <w:pStyle w:val="ListBullet2"/>
        <w:spacing w:after="20"/>
      </w:pPr>
      <w:r>
        <w:rPr>
          <w:b/>
        </w:rPr>
        <w:t>Nefropati Kadmium Nyata (</w:t>
      </w:r>
      <w:r>
        <w:rPr>
          <w:b/>
          <w:i/>
        </w:rPr>
        <w:t>Overt Cadmium Nephropathy</w:t>
      </w:r>
      <w:r>
        <w:rPr>
          <w:b/>
        </w:rPr>
        <w:t>).</w:t>
      </w:r>
    </w:p>
    <w:p>
      <w:pPr>
        <w:pStyle w:val="ListBullet2"/>
        <w:spacing w:after="20"/>
      </w:pPr>
      <w:r>
        <w:rPr/>
        <w:t>Telah terjadi destruksi nefron difus, sindrom mirip-Fanconi komplit, proteinuria campuran (LMWP disertai albuminuria akibat glomerulosklerosis sekunder), fibrosis interstisial, dan penurunan fungsi ginjal menuju Penyakit Ginjal Kronis stadium akhir (ESRD).</w:t>
      </w:r>
    </w:p>
    <w:p>
      <w:pPr>
        <w:spacing w:after="40"/>
        <w:ind w:left="340" w:hanging="283"/>
      </w:pPr>
      <w:r>
        <w:rPr/>
        <w:t xml:space="preserve">5. </w:t>
      </w:r>
      <w:r>
        <w:rPr>
          <w:i/>
        </w:rPr>
        <w:t>Jebakan Analitis Pre-Analitik (Sangat Sering Diuji):</w:t>
      </w:r>
    </w:p>
    <w:p>
      <w:pPr>
        <w:spacing w:after="80"/>
      </w:pPr>
      <w:r>
        <w:rPr>
          <w:b/>
        </w:rPr>
        <w:t>β₂-Mikroglobulin sangat labil dan terdegradasi secara instan oleh hidrolisis asam pada pH urin &lt; 6,0</w:t>
      </w:r>
      <w:r>
        <w:rPr/>
        <w:t xml:space="preserve">. Jika pH urin pekerja asam, pemeriksaan β₂-MG akan menghasilkan </w:t>
      </w:r>
      <w:r>
        <w:rPr>
          <w:b/>
        </w:rPr>
        <w:t>negatif palsu (</w:t>
      </w:r>
      <w:r>
        <w:rPr>
          <w:b/>
          <w:i/>
        </w:rPr>
        <w:t>false negative</w:t>
      </w:r>
      <w:r>
        <w:rPr>
          <w:b/>
        </w:rPr>
        <w:t>)</w:t>
      </w:r>
      <w:r>
        <w:rPr/>
        <w:t xml:space="preserve">. Oleh karena itu, dokter okupasi wajib mengukur pH saat penampungan spesimen atau menggunakan </w:t>
      </w:r>
      <w:r>
        <w:rPr>
          <w:b/>
        </w:rPr>
        <w:t>Retinol-Binding Protein (RBP)</w:t>
      </w:r>
      <w:r>
        <w:rPr/>
        <w:t xml:space="preserve"> urin yang terbukti stabil pada semua rentang pH urin.</w:t>
      </w:r>
    </w:p>
    <w:p>
      <w:pPr>
        <w:pStyle w:val="Heading3"/>
      </w:pPr>
      <w:r>
        <w:t>3. Tatalaksana Akut, Keracunan, dan Kontraindikasi Mutlak Terapi Kelasi</w:t>
      </w:r>
    </w:p>
    <w:p>
      <w:pPr>
        <w:spacing w:after="80"/>
      </w:pPr>
      <w:r>
        <w:rPr/>
        <w:t>Penanganan intoksikasi kadmium memiliki paradoks terapi yang sangat kontras dengan keracunan timbal, merkuri, atau arsenik:</w:t>
      </w:r>
    </w:p>
    <w:p>
      <w:pPr>
        <w:spacing w:after="120"/>
        <w:ind w:left="170"/>
      </w:pPr>
      <w:r>
        <w:rPr>
          <w:rFonts w:ascii="Consolas" w:hAnsi="Consolas" w:eastAsia="Consolas"/>
          <w:sz w:val="13"/>
        </w:rPr>
        <w:t xml:space="preserve">                                [ ALGORITMA PENANGANAN KERACUNAN KADMIUM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INHALASI UAP/FUME KADMIUM (CdO) ]                                                   [ KONTRAINDIKASI MUTLAK TERAPI KELASI ]</w:t>
      </w:r>
      <w:r>
        <w:br/>
      </w:r>
      <w:r>
        <w:rPr>
          <w:rFonts w:ascii="Consolas" w:hAnsi="Consolas" w:eastAsia="Consolas"/>
          <w:sz w:val="13"/>
        </w:rPr>
        <w:t>1. Evakuasi segera ke udara bersih                                                    • PADA NEFROPATI / BEBAN KRONIS:</w:t>
      </w:r>
      <w:r>
        <w:br/>
      </w:r>
      <w:r>
        <w:rPr>
          <w:rFonts w:ascii="Consolas" w:hAnsi="Consolas" w:eastAsia="Consolas"/>
          <w:sz w:val="13"/>
        </w:rPr>
        <w:t>2. Waspadai masa laten (4–12 jam)!                                                      KELASI (BAL, EDTA) DIKONTRAINDIKASIKAN</w:t>
      </w:r>
      <w:r>
        <w:br/>
      </w:r>
      <w:r>
        <w:rPr>
          <w:rFonts w:ascii="Consolas" w:hAnsi="Consolas" w:eastAsia="Consolas"/>
          <w:sz w:val="13"/>
        </w:rPr>
        <w:t>3. Pantau ketat ARDS &amp; Pneumonitis Kimiawi                                               SECARA MUTLAK (HARMFUL &amp; FATAL)!</w:t>
      </w:r>
      <w:r>
        <w:br/>
      </w:r>
      <w:r>
        <w:rPr>
          <w:rFonts w:ascii="Consolas" w:hAnsi="Consolas" w:eastAsia="Consolas"/>
          <w:sz w:val="13"/>
        </w:rPr>
        <w:t>4. Oksigenasi lembap, ventilator &amp; PEEP                                               • Rasional: Mobilisasi Cd hepar ──►</w:t>
      </w:r>
      <w:r>
        <w:br/>
      </w:r>
      <w:r>
        <w:rPr>
          <w:rFonts w:ascii="Consolas" w:hAnsi="Consolas" w:eastAsia="Consolas"/>
          <w:sz w:val="13"/>
        </w:rPr>
        <w:t>5. Pasang jalur IV, pantau balans cairan                                                membanjiri tubulus ginjal ──►</w:t>
      </w:r>
      <w:r>
        <w:br/>
      </w:r>
      <w:r>
        <w:rPr>
          <w:rFonts w:ascii="Consolas" w:hAnsi="Consolas" w:eastAsia="Consolas"/>
          <w:sz w:val="13"/>
        </w:rPr>
        <w:t>6. Kortikosteroid aerosol/IV dipertimbangkan                                            NEKROSIS TUBULAR AKUT (ATN) MASIF!</w:t>
      </w:r>
      <w:r>
        <w:br/>
      </w:r>
      <w:r>
        <w:rPr>
          <w:rFonts w:ascii="Consolas" w:hAnsi="Consolas" w:eastAsia="Consolas"/>
          <w:sz w:val="13"/>
        </w:rPr>
        <w:t>7. KELASI TIDAK BERPERAN / KONTRAINDIKASI                                             • Terapi definitif: SUPORTIF MURNI</w:t>
      </w:r>
    </w:p>
    <w:p>
      <w:pPr>
        <w:pStyle w:val="Heading4"/>
      </w:pPr>
      <w:r>
        <w:t>a. Tatalaksana Keracunan Akut Inhalasi Uap/Fume Kadmium Oksida (CdO)</w:t>
      </w:r>
    </w:p>
    <w:p>
      <w:pPr>
        <w:spacing w:after="40"/>
        <w:ind w:left="340" w:hanging="283"/>
      </w:pPr>
      <w:r>
        <w:rPr/>
        <w:t xml:space="preserve">1. </w:t>
      </w:r>
      <w:r>
        <w:rPr>
          <w:b/>
        </w:rPr>
        <w:t>Evakuasi dan Dekontaminasi Segera:</w:t>
      </w:r>
    </w:p>
    <w:p>
      <w:pPr>
        <w:spacing w:after="80"/>
      </w:pPr>
      <w:r>
        <w:rPr/>
        <w:t>Segera pindahkan korban dari ruang kerja terbatas ke udara bersih; tanggalkan pakaian kerja yang terkontaminasi debu CdO.</w:t>
      </w:r>
    </w:p>
    <w:p>
      <w:pPr>
        <w:spacing w:after="40"/>
        <w:ind w:left="340" w:hanging="283"/>
      </w:pPr>
      <w:r>
        <w:rPr/>
        <w:t xml:space="preserve">2. </w:t>
      </w:r>
      <w:r>
        <w:rPr>
          <w:b/>
        </w:rPr>
        <w:t>Kewaspadaan Masa Laten (</w:t>
      </w:r>
      <w:r>
        <w:rPr>
          <w:b/>
          <w:i/>
        </w:rPr>
        <w:t>Delayed Latency Vigilance</w:t>
      </w:r>
      <w:r>
        <w:rPr>
          <w:b/>
        </w:rPr>
        <w:t>):</w:t>
      </w:r>
    </w:p>
    <w:p>
      <w:pPr>
        <w:spacing w:after="80"/>
      </w:pPr>
      <w:r>
        <w:rPr/>
        <w:t xml:space="preserve">Pasien yang baru menghirup uap CdO sering kali hanya merasa sedikit batuk atau iritasi ringan, menyerupai </w:t>
      </w:r>
      <w:r>
        <w:rPr>
          <w:i/>
        </w:rPr>
        <w:t>metal fume fever</w:t>
      </w:r>
      <w:r>
        <w:rPr/>
        <w:t xml:space="preserve"> biasa. </w:t>
      </w:r>
      <w:r>
        <w:rPr>
          <w:b/>
        </w:rPr>
        <w:t>Wajib dirawat inap untuk observasi minimal 24 hingga 72 jam</w:t>
      </w:r>
      <w:r>
        <w:rPr/>
        <w:t xml:space="preserve"> karena ancaman kegagalan respirasi akut.</w:t>
      </w:r>
    </w:p>
    <w:p>
      <w:pPr>
        <w:spacing w:after="40"/>
        <w:ind w:left="340" w:hanging="283"/>
      </w:pPr>
      <w:r>
        <w:rPr/>
        <w:t xml:space="preserve">3. </w:t>
      </w:r>
      <w:r>
        <w:rPr>
          <w:b/>
        </w:rPr>
        <w:t>Tatalaksana Pneumonitis Kimiawi dan Edema Paru Non-Kardiogenik / ARDS:</w:t>
      </w:r>
    </w:p>
    <w:p>
      <w:pPr>
        <w:pStyle w:val="ListBullet2"/>
        <w:spacing w:after="20"/>
      </w:pPr>
      <w:r>
        <w:rPr/>
        <w:t>Berikan suplementasi oksigen lembap aliran tinggi guna mempertahankan saturasi SpO₂ &gt; 92%.</w:t>
      </w:r>
    </w:p>
    <w:p>
      <w:pPr>
        <w:pStyle w:val="ListBullet2"/>
        <w:spacing w:after="20"/>
      </w:pPr>
      <w:r>
        <w:rPr/>
        <w:t xml:space="preserve">Jika timbul tanda-tanda gagal napas akut, segera lakukan intubasi endotrakeal dan inisiasi </w:t>
      </w:r>
      <w:r>
        <w:rPr>
          <w:b/>
        </w:rPr>
        <w:t>ventilasi mekanik invasif dengan strategi proteksi paru (</w:t>
      </w:r>
      <w:r>
        <w:rPr>
          <w:b/>
          <w:i/>
        </w:rPr>
        <w:t>lung-protective mechanical ventilation</w:t>
      </w:r>
      <w:r>
        <w:rPr>
          <w:b/>
        </w:rPr>
        <w:t>) menggunakan volume tidal rendah (6 mL/kgBB prediksi) dan PEEP adekuat</w:t>
      </w:r>
      <w:r>
        <w:rPr/>
        <w:t xml:space="preserve"> untuk mencegah kolaps alveoli.</w:t>
      </w:r>
    </w:p>
    <w:p>
      <w:pPr>
        <w:pStyle w:val="ListBullet2"/>
        <w:spacing w:after="20"/>
      </w:pPr>
      <w:r>
        <w:rPr/>
        <w:t>Pemberian kortikosteroid intravena (seperti metilprednisolon) sering dipertimbangkan pada fase eksudatif dini pneumonitis kimiawi untuk meredakan badai sitokin alveolar, meskipun bukti klinisnya bersifat empirik.</w:t>
      </w:r>
    </w:p>
    <w:p>
      <w:pPr>
        <w:spacing w:after="40"/>
        <w:ind w:left="340" w:hanging="283"/>
      </w:pPr>
      <w:r>
        <w:rPr/>
        <w:t xml:space="preserve">4. </w:t>
      </w:r>
      <w:r>
        <w:rPr>
          <w:b/>
        </w:rPr>
        <w:t>Tatalaksana Ingesti Akut Garam Kadmium:</w:t>
      </w:r>
    </w:p>
    <w:p>
      <w:pPr>
        <w:pStyle w:val="ListBullet2"/>
        <w:spacing w:after="20"/>
      </w:pPr>
      <w:r>
        <w:rPr/>
        <w:t xml:space="preserve">Induksi muntah </w:t>
      </w:r>
      <w:r>
        <w:rPr>
          <w:b/>
        </w:rPr>
        <w:t>dikontraindikasikan</w:t>
      </w:r>
      <w:r>
        <w:rPr/>
        <w:t xml:space="preserve"> karena sifat garam kadmium yang mengikis mukosa.</w:t>
      </w:r>
    </w:p>
    <w:p>
      <w:pPr>
        <w:pStyle w:val="ListBullet2"/>
        <w:spacing w:after="20"/>
      </w:pPr>
      <w:r>
        <w:rPr/>
        <w:t>Bilas lambung hanya dipertimbangkan pada kedatangan awal (&lt; 1 jam) dengan selang nasogastrik lunak.</w:t>
      </w:r>
    </w:p>
    <w:p>
      <w:pPr>
        <w:pStyle w:val="ListBullet2"/>
        <w:spacing w:after="20"/>
      </w:pPr>
      <w:r>
        <w:rPr/>
        <w:t>Berikan resusitasi cairan intravena kristaloid agresif untuk mengganti kehilangan cairan gastrointestinal masif, mempertahankan volume intravaskular, dan melindungi perfusi ginjal dari ancaman Nekrosis Tubular Akut (ATN) iskemik.</w:t>
      </w:r>
    </w:p>
    <w:p>
      <w:pPr>
        <w:pStyle w:val="Heading4"/>
      </w:pPr>
      <w:r>
        <w:t>b. KONTRAINDIKASI MUTLAK: Larangan Penggunaan Terapi Kelasi pada Toksisitas Kadmium!</w:t>
      </w:r>
    </w:p>
    <w:p>
      <w:pPr>
        <w:ind w:left="454"/>
      </w:pPr>
      <w:r>
        <w:rPr>
          <w:b/>
          <w:i/>
        </w:rPr>
        <w:t>Peringatan Kritis Dewan Penguji (</w:t>
      </w:r>
      <w:r>
        <w:rPr>
          <w:b/>
          <w:i/>
        </w:rPr>
        <w:t>Lethal Board Trap</w:t>
      </w:r>
      <w:r>
        <w:rPr>
          <w:b/>
          <w:i/>
        </w:rPr>
        <w:t>):</w:t>
      </w:r>
    </w:p>
    <w:p>
      <w:pPr>
        <w:ind w:left="454"/>
      </w:pPr>
      <w:r>
        <w:rPr>
          <w:b/>
          <w:i/>
        </w:rPr>
        <w:t>PADA KASUS KERACUNAN KADMIUM KRONIS DENGAN KERUSAKAN GINJAL, TERAPI KELASI DENGAN BAL (DIMERKAPROL) ATAU CaNa₂EDTA DIKONTRAINDIKASIKAN SECARA MUTLAK KARENA MEMICU GAGAL GINJAL AKUT AKSELERATIF YANG MEMATIKAN!</w:t>
      </w:r>
    </w:p>
    <w:p>
      <w:pPr>
        <w:pStyle w:val="ListBullet"/>
        <w:spacing w:after="20"/>
      </w:pPr>
      <w:r>
        <w:rPr>
          <w:b/>
        </w:rPr>
        <w:t>Rasional Mekanistik Molekuler (Mengapa Kelasi Berbahaya?):</w:t>
      </w:r>
    </w:p>
    <w:p>
      <w:pPr>
        <w:spacing w:after="40"/>
        <w:ind w:left="680" w:hanging="283"/>
      </w:pPr>
      <w:r>
        <w:rPr/>
        <w:t xml:space="preserve">1. Di dalam tubuh, sebagian besar beban kadmium tubuh telah tersimpan di hepar dan ginjal, terikat relatif aman oleh protein endogen </w:t>
      </w:r>
      <w:r>
        <w:rPr>
          <w:b/>
        </w:rPr>
        <w:t>Metalotionein (Cd-MT)</w:t>
      </w:r>
      <w:r>
        <w:rPr/>
        <w:t>.</w:t>
      </w:r>
    </w:p>
    <w:p>
      <w:pPr>
        <w:spacing w:after="40"/>
        <w:ind w:left="680" w:hanging="283"/>
      </w:pPr>
      <w:r>
        <w:rPr/>
        <w:t xml:space="preserve">2. Pemberian agen kelator ditiol seperti </w:t>
      </w:r>
      <w:r>
        <w:rPr>
          <w:b/>
        </w:rPr>
        <w:t>BAL (Dimerkaprol)</w:t>
      </w:r>
      <w:r>
        <w:rPr/>
        <w:t xml:space="preserve"> atau agen polikarboksilat seperti </w:t>
      </w:r>
      <w:r>
        <w:rPr>
          <w:b/>
        </w:rPr>
        <w:t>CaNa₂EDTA</w:t>
      </w:r>
      <w:r>
        <w:rPr/>
        <w:t xml:space="preserve"> akan bersaing dengan metalotionein, membentuk kompleks kelat baru: </w:t>
      </w:r>
      <w:r>
        <w:rPr>
          <w:b/>
        </w:rPr>
        <w:t>Kadmium-BAL</w:t>
      </w:r>
      <w:r>
        <w:rPr/>
        <w:t xml:space="preserve"> atau </w:t>
      </w:r>
      <w:r>
        <w:rPr>
          <w:b/>
        </w:rPr>
        <w:t>Kadmium-EDTA</w:t>
      </w:r>
      <w:r>
        <w:rPr/>
        <w:t>.</w:t>
      </w:r>
    </w:p>
    <w:p>
      <w:pPr>
        <w:spacing w:after="40"/>
        <w:ind w:left="680" w:hanging="283"/>
      </w:pPr>
      <w:r>
        <w:rPr/>
        <w:t>3. Kompleks kelat eksogen ini memobilisasi kadmium dalam jumlah besar dari hepar dan cadangan jaringan lunak perifer ke dalam kompartemen vaskular.</w:t>
      </w:r>
    </w:p>
    <w:p>
      <w:pPr>
        <w:spacing w:after="40"/>
        <w:ind w:left="680" w:hanging="283"/>
      </w:pPr>
      <w:r>
        <w:rPr/>
        <w:t xml:space="preserve">4. Kompleks Kadmium-Kelat tersebut difiltrasi secara masif di glomerulus dan </w:t>
      </w:r>
      <w:r>
        <w:rPr>
          <w:b/>
        </w:rPr>
        <w:t>mengalami disosiasi di dalam lumen tubulus ginjal</w:t>
      </w:r>
      <w:r>
        <w:rPr/>
        <w:t>, atau direabsorpsi oleh epitel tubulus proksimal.</w:t>
      </w:r>
    </w:p>
    <w:p>
      <w:pPr>
        <w:spacing w:after="40"/>
        <w:ind w:left="680" w:hanging="283"/>
      </w:pPr>
      <w:r>
        <w:rPr/>
        <w:t xml:space="preserve">5. Hal ini membanjiri sel-sel tubulus ginjal dengan konsentrasi </w:t>
      </w:r>
      <w:r>
        <w:rPr>
          <w:b/>
        </w:rPr>
        <w:t>kation Cd²⁺ bebas yang sangat pekat secara mendadak</w:t>
      </w:r>
      <w:r>
        <w:rPr/>
        <w:t xml:space="preserve">, melumpuhkan fungsi lisosom dan mitokondria, serta memicu </w:t>
      </w:r>
      <w:r>
        <w:rPr>
          <w:b/>
        </w:rPr>
        <w:t>Nekrosis Tubular Akut (ATN) masif dan gagal ginjal anurik fulminan</w:t>
      </w:r>
      <w:r>
        <w:rPr/>
        <w:t>.</w:t>
      </w:r>
    </w:p>
    <w:p>
      <w:pPr>
        <w:spacing w:after="40"/>
        <w:ind w:left="680" w:hanging="283"/>
      </w:pPr>
      <w:r>
        <w:rPr/>
        <w:t xml:space="preserve">6. </w:t>
      </w:r>
      <w:r>
        <w:rPr>
          <w:i/>
        </w:rPr>
        <w:t>Konsensus Kedokteran Toksikologi Modern (Chakif &amp; Furrer, 2026):</w:t>
      </w:r>
      <w:r>
        <w:rPr/>
        <w:t xml:space="preserve"> </w:t>
      </w:r>
      <w:r>
        <w:rPr>
          <w:i/>
        </w:rPr>
        <w:t>"For cadmium, routine chelation is generally not recommended, because evidence of benefit is limited and some chelators may increase toxicity. Supportive renal and bone care with exposure reduction is the standard"</w:t>
      </w:r>
      <w:r>
        <w:rPr/>
        <w:t>.</w:t>
      </w:r>
    </w:p>
    <w:p>
      <w:pPr>
        <w:pStyle w:val="ListBullet"/>
        <w:spacing w:after="20"/>
      </w:pPr>
      <w:r>
        <w:rPr>
          <w:i/>
        </w:rPr>
        <w:t>Prinsip Jawaban Ujian:</w:t>
      </w:r>
      <w:r>
        <w:rPr/>
        <w:t xml:space="preserve"> Tidak ada antidotum spesifik yang aman untuk kadmium. Tatalaksana tunggal terbaik pada toksisitas kronis adalah </w:t>
      </w:r>
      <w:r>
        <w:rPr>
          <w:b/>
        </w:rPr>
        <w:t>penghentian total pajanan kerja (</w:t>
      </w:r>
      <w:r>
        <w:rPr>
          <w:b/>
          <w:i/>
        </w:rPr>
        <w:t>source removal</w:t>
      </w:r>
      <w:r>
        <w:rPr>
          <w:b/>
        </w:rPr>
        <w:t>)</w:t>
      </w:r>
      <w:r>
        <w:rPr/>
        <w:t>, proteksi fungsi ginjal, tata laksana hipertensi, serta suplementasi kalsium dan vitamin D aktif (kalsitriol) untuk menjaga densitas tulang.</w:t>
      </w:r>
    </w:p>
    <w:p>
      <w:pPr>
        <w:pStyle w:val="Heading3"/>
      </w:pPr>
      <w:r>
        <w:t>4. Tatalaksana Okupasi: Individu dan Komunitas</w:t>
      </w:r>
    </w:p>
    <w:p>
      <w:pPr>
        <w:spacing w:after="80"/>
      </w:pPr>
      <w:r>
        <w:rPr/>
        <w:t>Sebagai dokter spesialis, pendekatan Anda wajib mencakup aspek klinis medikolegal, penentuan status kelaikan kerja, dan pengendalian lingkungan industri serta komunitas:</w:t>
      </w:r>
    </w:p>
    <w:p>
      <w:pPr>
        <w:spacing w:after="120"/>
        <w:ind w:left="170"/>
      </w:pPr>
      <w:r>
        <w:rPr>
          <w:rFonts w:ascii="Consolas" w:hAnsi="Consolas" w:eastAsia="Consolas"/>
          <w:sz w:val="13"/>
        </w:rPr>
        <w:t xml:space="preserve">                      [ MANAJEMEN OKUPASI KOMPREHENSIF KADMIUM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[ 7 LANGKAH PERMENKES 11/2022 ]    [ KELAIKAN KERJA (FITNESS) ]      [ MANAJEMEN &amp; KOMUNITAS ]</w:t>
      </w:r>
      <w:r>
        <w:br/>
      </w:r>
      <w:r>
        <w:rPr>
          <w:rFonts w:ascii="Consolas" w:hAnsi="Consolas" w:eastAsia="Consolas"/>
          <w:sz w:val="13"/>
        </w:rPr>
        <w:t>1. Diagnosis Klinis (ICD-10)       • Fit: Normal, U-Cd &lt; 2–5 µg/g    • Eliminasi/Substitusi:</w:t>
      </w:r>
      <w:r>
        <w:br/>
      </w:r>
      <w:r>
        <w:rPr>
          <w:rFonts w:ascii="Consolas" w:hAnsi="Consolas" w:eastAsia="Consolas"/>
          <w:sz w:val="13"/>
        </w:rPr>
        <w:t>2. Pajanan Lapangan (Baterai/Weld) • Fit with Restriction:             Baterai Li-ion, solder non-Cd</w:t>
      </w:r>
      <w:r>
        <w:br/>
      </w:r>
      <w:r>
        <w:rPr>
          <w:rFonts w:ascii="Consolas" w:hAnsi="Consolas" w:eastAsia="Consolas"/>
          <w:sz w:val="13"/>
        </w:rPr>
        <w:t>3. Hubungan Kausal Ilmiah (IARC 1)   U-Cd 2–5, β2-MG &lt; 300,          • LEV filter HEPA, wet cleaning</w:t>
      </w:r>
      <w:r>
        <w:br/>
      </w:r>
      <w:r>
        <w:rPr>
          <w:rFonts w:ascii="Consolas" w:hAnsi="Consolas" w:eastAsia="Consolas"/>
          <w:sz w:val="13"/>
        </w:rPr>
        <w:t>4. Besaran Dosis (NAB, BEI, masa)    dilarang area uap/fume Cd       • STOP MEROKOK DI PABRIK!</w:t>
      </w:r>
      <w:r>
        <w:br/>
      </w:r>
      <w:r>
        <w:rPr>
          <w:rFonts w:ascii="Consolas" w:hAnsi="Consolas" w:eastAsia="Consolas"/>
          <w:sz w:val="13"/>
        </w:rPr>
        <w:t>5. Faktor Host (Defisiensi Fe/Ca)  • Temporary Unfit: U-Cd &gt; 5,        (Rokok = 1,7 µg Cd/btg + hand-to-mouth)</w:t>
      </w:r>
      <w:r>
        <w:br/>
      </w:r>
      <w:r>
        <w:rPr>
          <w:rFonts w:ascii="Consolas" w:hAnsi="Consolas" w:eastAsia="Consolas"/>
          <w:sz w:val="13"/>
        </w:rPr>
        <w:t>6. Faktor Luar (ROKOK &amp; BERAS)       β2-MG 300–1.000 (reversibel)    • Komunitas: Pantau limbah sawah,</w:t>
      </w:r>
      <w:r>
        <w:br/>
      </w:r>
      <w:r>
        <w:rPr>
          <w:rFonts w:ascii="Consolas" w:hAnsi="Consolas" w:eastAsia="Consolas"/>
          <w:sz w:val="13"/>
        </w:rPr>
        <w:t>7. KESIMPULAN DIAGNOSIS PAK        • Unfit (Permanent): β2-MG &gt;1000,   cegah bencana beras Itai-itai</w:t>
      </w:r>
      <w:r>
        <w:br/>
      </w:r>
      <w:r>
        <w:rPr>
          <w:rFonts w:ascii="Consolas" w:hAnsi="Consolas" w:eastAsia="Consolas"/>
          <w:sz w:val="13"/>
        </w:rPr>
        <w:t xml:space="preserve">                                     ESRD, emfisema, kanker paru</w:t>
      </w:r>
    </w:p>
    <w:p>
      <w:pPr>
        <w:pStyle w:val="Heading4"/>
      </w:pPr>
      <w:r>
        <w:t>a. Penerapan 7 Langkah Diagnosis PAK (Permenkes No. 11 Tahun 2022)</w:t>
      </w:r>
    </w:p>
    <w:p>
      <w:pPr>
        <w:spacing w:after="80"/>
      </w:pPr>
      <w:r>
        <w:rPr/>
        <w:t>Kasus: Pekerja pabrik manufaktur baterai Nikel-Kadmium (Ni-Cd) atau tukang patri perak (</w:t>
      </w:r>
      <w:r>
        <w:rPr>
          <w:i/>
        </w:rPr>
        <w:t>silver brazing</w:t>
      </w:r>
      <w:r>
        <w:rPr/>
        <w:t>) dengan proteinuria berat molekul rendah atau batuk kronis dengan emfisema:</w:t>
      </w:r>
    </w:p>
    <w:p>
      <w:pPr>
        <w:spacing w:after="40"/>
        <w:ind w:left="340" w:hanging="283"/>
      </w:pPr>
      <w:r>
        <w:rPr/>
        <w:t xml:space="preserve">1. </w:t>
      </w:r>
      <w:r>
        <w:rPr>
          <w:b/>
        </w:rPr>
        <w:t>Langkah 1 (Diagnosis Klinis):</w:t>
      </w:r>
    </w:p>
    <w:p>
      <w:pPr>
        <w:spacing w:after="80"/>
      </w:pPr>
      <w:r>
        <w:rPr>
          <w:i/>
        </w:rPr>
        <w:t>Toxic nephropathy due to cadmium / Low Molecular Weight Proteinuria</w:t>
      </w:r>
      <w:r>
        <w:rPr/>
        <w:t xml:space="preserve"> (ICD-10: N14.3), </w:t>
      </w:r>
      <w:r>
        <w:rPr>
          <w:i/>
        </w:rPr>
        <w:t>Panacinar emphysema induced by cadmium</w:t>
      </w:r>
      <w:r>
        <w:rPr/>
        <w:t xml:space="preserve"> (J43.9), atau </w:t>
      </w:r>
      <w:r>
        <w:rPr>
          <w:i/>
        </w:rPr>
        <w:t>Bronchogenic carcinoma</w:t>
      </w:r>
      <w:r>
        <w:rPr/>
        <w:t xml:space="preserve"> (C34).</w:t>
      </w:r>
    </w:p>
    <w:p>
      <w:pPr>
        <w:spacing w:after="40"/>
        <w:ind w:left="340" w:hanging="283"/>
      </w:pPr>
      <w:r>
        <w:rPr/>
        <w:t xml:space="preserve">2. </w:t>
      </w:r>
      <w:r>
        <w:rPr>
          <w:b/>
        </w:rPr>
        <w:t>Langkah 2 (Pajanan di Tempat Kerja):</w:t>
      </w:r>
    </w:p>
    <w:p>
      <w:pPr>
        <w:spacing w:after="80"/>
      </w:pPr>
      <w:r>
        <w:rPr/>
        <w:t xml:space="preserve">Pekerja terpajan debu aerosol kadmium oksida selama perakitan pasta pelat baterai Ni-Cd atau menghirup uap </w:t>
      </w:r>
      <w:r>
        <w:rPr>
          <w:i/>
        </w:rPr>
        <w:t>brazing</w:t>
      </w:r>
      <w:r>
        <w:rPr/>
        <w:t xml:space="preserve"> perak-kadmium tanpa sungkup hisap.</w:t>
      </w:r>
    </w:p>
    <w:p>
      <w:pPr>
        <w:spacing w:after="40"/>
        <w:ind w:left="340" w:hanging="283"/>
      </w:pPr>
      <w:r>
        <w:rPr/>
        <w:t xml:space="preserve">3. </w:t>
      </w:r>
      <w:r>
        <w:rPr>
          <w:b/>
        </w:rPr>
        <w:t>Langkah 3 (Hubungan Kausalitas Pajanan dan Klinis):</w:t>
      </w:r>
    </w:p>
    <w:p>
      <w:pPr>
        <w:spacing w:after="80"/>
      </w:pPr>
      <w:r>
        <w:rPr/>
        <w:t>Secara biologis dan toksikologis terbukti kuat: kompleks Cd-MT difiltrasi glomerulus, didegradasi lisosom tubulus proksimal, melepaskan Cd²⁺ bebas yang merusak reseptor megalin-kubilin dan mitokondria memicu kebocoran β₂-MG dan RBP; inhibisi α₁-antitripsin memicu emfisema; penghambatan enzim perbaikan DNA jari seng memicu karsinoma bronkogenik.</w:t>
      </w:r>
    </w:p>
    <w:p>
      <w:pPr>
        <w:spacing w:after="40"/>
        <w:ind w:left="340" w:hanging="283"/>
      </w:pPr>
      <w:r>
        <w:rPr/>
        <w:t xml:space="preserve">4. </w:t>
      </w:r>
      <w:r>
        <w:rPr>
          <w:b/>
        </w:rPr>
        <w:t>Langkah 4 (Besarnya Dosis Pajanan):</w:t>
      </w:r>
    </w:p>
    <w:p>
      <w:pPr>
        <w:spacing w:after="80"/>
      </w:pPr>
      <w:r>
        <w:rPr/>
        <w:t>Konsentrasi kadmium udara kerja melebihi NAB Permenaker 5/2018 (&gt; 0,01 mg/m³ inhalabel atau &gt; 0,002 mg/m³ respirabel); biomonitoring menunjukkan U-Cd melampaui BEI (&gt; 5 µg/g kreatinin); masa kerja &gt; 5 tahun; tidak ada respirator khusus partikulat P100.</w:t>
      </w:r>
    </w:p>
    <w:p>
      <w:pPr>
        <w:spacing w:after="40"/>
        <w:ind w:left="340" w:hanging="283"/>
      </w:pPr>
      <w:r>
        <w:rPr/>
        <w:t xml:space="preserve">5. </w:t>
      </w:r>
      <w:r>
        <w:rPr>
          <w:b/>
        </w:rPr>
        <w:t>Langkah 5 (Faktor Kerentanan Individu):</w:t>
      </w:r>
    </w:p>
    <w:p>
      <w:pPr>
        <w:spacing w:after="80"/>
      </w:pPr>
      <w:r>
        <w:rPr/>
        <w:t>Evaluasi defisiensi zat besi serum (ferritin rendah) atau kalsium yang menstimulasi transporter DMT-1 usus sehingga melipatgandakan absorpsi kadmium; jenis kelamin wanita pascamenopause; status penyakit ginjal bawaan.</w:t>
      </w:r>
    </w:p>
    <w:p>
      <w:pPr>
        <w:spacing w:after="40"/>
        <w:ind w:left="340" w:hanging="283"/>
      </w:pPr>
      <w:r>
        <w:rPr/>
        <w:t xml:space="preserve">6. </w:t>
      </w:r>
      <w:r>
        <w:rPr>
          <w:b/>
        </w:rPr>
        <w:t>Langkah 6 (Faktor di Luar Tempat Kerja - SANGAT KRITIS):</w:t>
      </w:r>
    </w:p>
    <w:p>
      <w:pPr>
        <w:pStyle w:val="ListBullet2"/>
        <w:spacing w:after="20"/>
      </w:pPr>
      <w:r>
        <w:rPr>
          <w:b/>
        </w:rPr>
        <w:t>Evaluasi Riwayat Merokok (</w:t>
      </w:r>
      <w:r>
        <w:rPr>
          <w:b/>
          <w:i/>
        </w:rPr>
        <w:t>Smoking History</w:t>
      </w:r>
      <w:r>
        <w:rPr>
          <w:b/>
        </w:rPr>
        <w:t>):</w:t>
      </w:r>
      <w:r>
        <w:rPr/>
        <w:t xml:space="preserve"> Rokok adalah sumber pajanan kadmium terbesar di luar tempat kerja (1,7 µg Cd/batang). Wajib dinilai indeks Brinkman (batang/hari × tahun merokok).</w:t>
      </w:r>
    </w:p>
    <w:p>
      <w:pPr>
        <w:pStyle w:val="ListBullet2"/>
        <w:spacing w:after="20"/>
      </w:pPr>
      <w:r>
        <w:rPr>
          <w:b/>
        </w:rPr>
        <w:t>Konsumsi Pangan/Beras Tercemar:</w:t>
      </w:r>
      <w:r>
        <w:rPr/>
        <w:t xml:space="preserve"> Evaluasi sumber beras makanan pokok keluarga (menyingkirkan konsumsi beras dari sawah yang diairi limbah pertambangan seng/timbal).</w:t>
      </w:r>
    </w:p>
    <w:p>
      <w:pPr>
        <w:spacing w:after="40"/>
        <w:ind w:left="340" w:hanging="283"/>
      </w:pPr>
      <w:r>
        <w:rPr/>
        <w:t xml:space="preserve">7. </w:t>
      </w:r>
      <w:r>
        <w:rPr>
          <w:b/>
        </w:rPr>
        <w:t>Langkah 7 (Kesimpulan Diagnosis Okupasi):</w:t>
      </w:r>
    </w:p>
    <w:p>
      <w:pPr>
        <w:spacing w:after="80"/>
      </w:pPr>
      <w:r>
        <w:rPr/>
        <w:t xml:space="preserve">Ditegakkan secara sah sebagai </w:t>
      </w:r>
      <w:r>
        <w:rPr>
          <w:b/>
        </w:rPr>
        <w:t>Penyakit Akibat Kerja (PAK)</w:t>
      </w:r>
      <w:r>
        <w:rPr/>
        <w:t xml:space="preserve"> berdasarkan </w:t>
      </w:r>
      <w:r>
        <w:rPr>
          <w:b/>
        </w:rPr>
        <w:t>Perpres No. 7 Tahun 2019</w:t>
      </w:r>
      <w:r>
        <w:rPr/>
        <w:t>:</w:t>
      </w:r>
    </w:p>
    <w:p>
      <w:pPr>
        <w:pStyle w:val="ListBullet2"/>
        <w:spacing w:after="20"/>
      </w:pPr>
      <w:r>
        <w:rPr/>
        <w:t>Jika nefropati tubular atau emfisema: Lampiran I.a Butir 8 ("Penyakit yang disebabkan oleh kadmium atau persenyawaannya").</w:t>
      </w:r>
    </w:p>
    <w:p>
      <w:pPr>
        <w:pStyle w:val="ListBullet2"/>
        <w:spacing w:after="20"/>
      </w:pPr>
      <w:r>
        <w:rPr/>
        <w:t>Jika kanker paru bronkogenik: Lampiran III Butir 17 ("Kadmium dan senyawanya").</w:t>
      </w:r>
    </w:p>
    <w:p>
      <w:pPr>
        <w:pStyle w:val="ListBullet2"/>
        <w:spacing w:after="20"/>
      </w:pPr>
      <w:r>
        <w:rPr/>
        <w:t>Pekerja berhak memperoleh jaminan perawatan medis dan kompensasi kecacatan dari BPJS Ketenagakerjaan (JKK).</w:t>
      </w:r>
    </w:p>
    <w:p>
      <w:pPr>
        <w:pStyle w:val="Heading4"/>
      </w:pPr>
      <w:r>
        <w:t>b. Penilaian Kelaikan Kerja (Fitness for Work)</w:t>
      </w:r>
    </w:p>
    <w:p>
      <w:pPr>
        <w:pStyle w:val="ListBullet"/>
        <w:spacing w:after="20"/>
      </w:pPr>
      <w:r>
        <w:rPr>
          <w:b/>
        </w:rPr>
        <w:t>Fit (Laik Kerja Penuh):</w:t>
      </w:r>
      <w:r>
        <w:rPr/>
        <w:t xml:space="preserve"> Pekerja sehat tanpa keluhan ginjal/paru, fungsi spirometri normal, hasil U-Cd memenuhi standar (&lt; 2--5 µg/g kreatinin), dan β₂-MG urin normal (&lt; 300 µg/g kreatinin).</w:t>
      </w:r>
    </w:p>
    <w:p>
      <w:pPr>
        <w:pStyle w:val="ListBullet"/>
        <w:spacing w:after="20"/>
      </w:pPr>
      <w:r>
        <w:rPr>
          <w:b/>
        </w:rPr>
        <w:t>Fit with Restriction (Laik dengan Pembatasan):</w:t>
      </w:r>
      <w:r>
        <w:rPr/>
        <w:t xml:space="preserve"> Pekerja dengan U-Cd borderline (2–5 µg/g kreatinin) namun β₂-MG masih normal (&lt; 300 µg/g kreatinin); </w:t>
      </w:r>
      <w:r>
        <w:rPr>
          <w:b/>
        </w:rPr>
        <w:t>dilarang bekerja di area bersuhu panas tinggi (</w:t>
      </w:r>
      <w:r>
        <w:rPr>
          <w:b/>
          <w:i/>
        </w:rPr>
        <w:t>brazing/furnace</w:t>
      </w:r>
      <w:r>
        <w:rPr>
          <w:b/>
        </w:rPr>
        <w:t>) atau area pencampuran pasta debu Cd konsentrasi tinggi</w:t>
      </w:r>
      <w:r>
        <w:rPr/>
        <w:t>; dialihkan ke area perakitan kering berventilasi baik atau logistik tertutup dengan evaluasi fungsi ginjal setiap 6 bulan.</w:t>
      </w:r>
    </w:p>
    <w:p>
      <w:pPr>
        <w:pStyle w:val="ListBullet"/>
        <w:spacing w:after="20"/>
      </w:pPr>
      <w:r>
        <w:rPr>
          <w:b/>
        </w:rPr>
        <w:t xml:space="preserve">Temporary Unfit (Tidak Laik Sementara / </w:t>
      </w:r>
      <w:r>
        <w:rPr>
          <w:b/>
          <w:i/>
        </w:rPr>
        <w:t>Medical Removal</w:t>
      </w:r>
      <w:r>
        <w:rPr>
          <w:b/>
        </w:rPr>
        <w:t>):</w:t>
      </w:r>
    </w:p>
    <w:p>
      <w:pPr>
        <w:spacing w:after="80"/>
      </w:pPr>
      <w:r>
        <w:rPr/>
        <w:t xml:space="preserve">Pekerja dengan </w:t>
      </w:r>
      <w:r>
        <w:rPr>
          <w:b/>
        </w:rPr>
        <w:t>U-Cd &gt; 5 µg/g kreatinin</w:t>
      </w:r>
      <w:r>
        <w:rPr/>
        <w:t xml:space="preserve">, ATAU pekerja dengan </w:t>
      </w:r>
      <w:r>
        <w:rPr>
          <w:b/>
        </w:rPr>
        <w:t>β₂-MG urin antara 300 hingga 1.000 µg/g kreatinin</w:t>
      </w:r>
      <w:r>
        <w:rPr/>
        <w:t xml:space="preserve"> (karena disfungsi tubulus pada fase ini masih reversibel jika pajanan segera diputus), atau pekerja yang baru pulih dari pneumonitis kimiawi akut.</w:t>
      </w:r>
    </w:p>
    <w:p>
      <w:pPr>
        <w:spacing w:after="80"/>
      </w:pPr>
      <w:r>
        <w:rPr>
          <w:i/>
        </w:rPr>
        <w:t>Tindakan Medis:</w:t>
      </w:r>
      <w:r>
        <w:rPr/>
        <w:t xml:space="preserve"> Wajib ditarik dari area kerja berpotensi pajanan kadmium (</w:t>
      </w:r>
      <w:r>
        <w:rPr>
          <w:i/>
        </w:rPr>
        <w:t>medical removal protection</w:t>
      </w:r>
      <w:r>
        <w:rPr/>
        <w:t>), diobservasi berkala, dan dilakukan audit higienis industri.</w:t>
      </w:r>
    </w:p>
    <w:p>
      <w:pPr>
        <w:pStyle w:val="ListBullet"/>
        <w:spacing w:after="20"/>
      </w:pPr>
      <w:r>
        <w:rPr>
          <w:b/>
        </w:rPr>
        <w:t>Unfit (Tidak Laik Kerja Permanen):</w:t>
      </w:r>
      <w:r>
        <w:rPr/>
        <w:t xml:space="preserve"> Pekerja dengan </w:t>
      </w:r>
      <w:r>
        <w:rPr>
          <w:b/>
        </w:rPr>
        <w:t>β₂-MG urin &gt; 1.000 µg/g kreatinin</w:t>
      </w:r>
      <w:r>
        <w:rPr/>
        <w:t xml:space="preserve"> (kerusakan tubulus proksimal telah permanen/ireversibel), pekerja dengan penurunan eGFR progresif/CKD, emfisema paru berat (penurunan FEV₁ &lt; 50%), atau terdiagnosis karsinoma paru. Direkomendasikan untuk terminasi pajanan permanen dan penetapan persentase kecacatan kerja JKK.</w:t>
      </w:r>
    </w:p>
    <w:p>
      <w:pPr>
        <w:pStyle w:val="Heading4"/>
      </w:pPr>
      <w:r>
        <w:t>c. Rekomendasi Manajemen Industri dan Komunitas</w:t>
      </w:r>
    </w:p>
    <w:p>
      <w:pPr>
        <w:spacing w:after="40"/>
        <w:ind w:left="340" w:hanging="283"/>
      </w:pPr>
      <w:r>
        <w:rPr/>
        <w:t xml:space="preserve">1. </w:t>
      </w:r>
      <w:r>
        <w:rPr>
          <w:b/>
        </w:rPr>
        <w:t>Hierarki Pengendalian Bahaya Kimiawi Industri (Permenaker 5/2018 &amp; Kepmenaker 187/1999):</w:t>
      </w:r>
    </w:p>
    <w:p>
      <w:pPr>
        <w:pStyle w:val="ListBullet2"/>
        <w:spacing w:after="20"/>
      </w:pPr>
      <w:r>
        <w:rPr>
          <w:i/>
        </w:rPr>
        <w:t>Eliminasi &amp; Substitusi:</w:t>
      </w:r>
      <w:r>
        <w:rPr/>
        <w:t xml:space="preserve"> Mengganti baterai Ni-Cd dengan teknologi baterai Litium-ion (</w:t>
      </w:r>
      <w:r>
        <w:rPr>
          <w:i/>
        </w:rPr>
        <w:t>Li-ion</w:t>
      </w:r>
      <w:r>
        <w:rPr/>
        <w:t>) atau Nikel-Metal Hidrida (</w:t>
      </w:r>
      <w:r>
        <w:rPr>
          <w:i/>
        </w:rPr>
        <w:t>NiMH</w:t>
      </w:r>
      <w:r>
        <w:rPr/>
        <w:t>); beralih ke paduan patri perak bebas kadmium (</w:t>
      </w:r>
      <w:r>
        <w:rPr>
          <w:i/>
        </w:rPr>
        <w:t>cadmium-free brazing alloys</w:t>
      </w:r>
      <w:r>
        <w:rPr/>
        <w:t>).</w:t>
      </w:r>
    </w:p>
    <w:p>
      <w:pPr>
        <w:pStyle w:val="ListBullet2"/>
        <w:spacing w:after="20"/>
      </w:pPr>
      <w:r>
        <w:rPr>
          <w:i/>
        </w:rPr>
        <w:t>Rekayasa Teknis (*Engineering Controls</w:t>
      </w:r>
      <w:r>
        <w:rPr/>
        <w:t>):* Penutupan total tungku peleburan dan reaktor pasta baterai; pemasangan ventilasi pembuangan lokal (</w:t>
      </w:r>
      <w:r>
        <w:rPr>
          <w:i/>
        </w:rPr>
        <w:t>Local Exhaust Ventilation</w:t>
      </w:r>
      <w:r>
        <w:rPr/>
        <w:t xml:space="preserve"> / LEV) bertudung hisap yang dilengkapi </w:t>
      </w:r>
      <w:r>
        <w:rPr>
          <w:b/>
        </w:rPr>
        <w:t>filter partikulat berefisiensi tinggi (HEPA)</w:t>
      </w:r>
      <w:r>
        <w:rPr/>
        <w:t xml:space="preserve"> sebelum udara dibuang ke lingkungan; pembersihan lantai secara basah (</w:t>
      </w:r>
      <w:r>
        <w:rPr>
          <w:i/>
        </w:rPr>
        <w:t>wet vacuuming</w:t>
      </w:r>
      <w:r>
        <w:rPr/>
        <w:t>), dilarang menyapu kering.</w:t>
      </w:r>
    </w:p>
    <w:p>
      <w:pPr>
        <w:pStyle w:val="ListBullet2"/>
        <w:spacing w:after="20"/>
      </w:pPr>
      <w:r>
        <w:rPr>
          <w:i/>
        </w:rPr>
        <w:t>Pengendalian Administratif:</w:t>
      </w:r>
      <w:r>
        <w:rPr/>
        <w:t xml:space="preserve"> Pelatihan kerja aman, rotasi shift, penyediaan fasilitas ruang ganti ganda dan fasilitas mandi dekontaminasi wajib sebelum pulang.</w:t>
      </w:r>
    </w:p>
    <w:p>
      <w:pPr>
        <w:pStyle w:val="ListBullet2"/>
        <w:spacing w:after="20"/>
      </w:pPr>
      <w:r>
        <w:rPr>
          <w:i/>
        </w:rPr>
        <w:t>Alat Pelindung Diri (APD):</w:t>
      </w:r>
      <w:r>
        <w:rPr/>
        <w:t xml:space="preserve"> Respirator pemurni udara bertenaga (</w:t>
      </w:r>
      <w:r>
        <w:rPr>
          <w:i/>
        </w:rPr>
        <w:t>Powered Air-Purifying Respirator</w:t>
      </w:r>
      <w:r>
        <w:rPr/>
        <w:t xml:space="preserve"> / PAPR) dengan filter partikulat P100 bersertifikasi; pakaian pelindung kimia Tyvek.</w:t>
      </w:r>
    </w:p>
    <w:p>
      <w:pPr>
        <w:spacing w:after="40"/>
        <w:ind w:left="340" w:hanging="283"/>
      </w:pPr>
      <w:r>
        <w:rPr/>
        <w:t xml:space="preserve">2. </w:t>
      </w:r>
      <w:r>
        <w:rPr>
          <w:b/>
        </w:rPr>
        <w:t>Intervensi Bahaya Rokok di Tempat Kerja (</w:t>
      </w:r>
      <w:r>
        <w:rPr>
          <w:b/>
          <w:i/>
        </w:rPr>
        <w:t>Workplace Smoking Cessation</w:t>
      </w:r>
      <w:r>
        <w:rPr>
          <w:b/>
        </w:rPr>
        <w:t>):</w:t>
      </w:r>
    </w:p>
    <w:p>
      <w:pPr>
        <w:pStyle w:val="ListBullet2"/>
        <w:spacing w:after="20"/>
      </w:pPr>
      <w:r>
        <w:rPr/>
        <w:t xml:space="preserve">Pekerja yang merokok di pabrik kadmium menghadapi </w:t>
      </w:r>
      <w:r>
        <w:rPr>
          <w:b/>
        </w:rPr>
        <w:t>bahaya ganda sinergis</w:t>
      </w:r>
      <w:r>
        <w:rPr/>
        <w:t>: (1) asupan kadmium sistemik langsung dari daun tembakau rokok (1,7 µg/batang), dan (2) kontaminasi tangan-ke-mulut (</w:t>
      </w:r>
      <w:r>
        <w:rPr>
          <w:i/>
        </w:rPr>
        <w:t>hand-to-mouth transfer</w:t>
      </w:r>
      <w:r>
        <w:rPr/>
        <w:t>) di mana debu kadmium yang menempel di jari pekerja berpindah ke puntung rokok dan ikut terbakar terhirup langsung ke alveoli.</w:t>
      </w:r>
    </w:p>
    <w:p>
      <w:pPr>
        <w:pStyle w:val="ListBullet2"/>
        <w:spacing w:after="20"/>
      </w:pPr>
      <w:r>
        <w:rPr>
          <w:i/>
        </w:rPr>
        <w:t>Kebijakan Manajemen:</w:t>
      </w:r>
      <w:r>
        <w:rPr/>
        <w:t xml:space="preserve"> Manajemen wajib memberlakukan </w:t>
      </w:r>
      <w:r>
        <w:rPr>
          <w:b/>
        </w:rPr>
        <w:t>larangan merokok 100% di seluruh area pabrik</w:t>
      </w:r>
      <w:r>
        <w:rPr/>
        <w:t xml:space="preserve"> dan menyediakan klinik program konseling berhenti merokok (</w:t>
      </w:r>
      <w:r>
        <w:rPr>
          <w:i/>
        </w:rPr>
        <w:t>smoking cessation</w:t>
      </w:r>
      <w:r>
        <w:rPr/>
        <w:t>) bagi tenaga kerja.</w:t>
      </w:r>
    </w:p>
    <w:p>
      <w:pPr>
        <w:spacing w:after="40"/>
        <w:ind w:left="340" w:hanging="283"/>
      </w:pPr>
      <w:r>
        <w:rPr/>
        <w:t xml:space="preserve">3. </w:t>
      </w:r>
      <w:r>
        <w:rPr>
          <w:b/>
        </w:rPr>
        <w:t>Proteksi Komunitas dan Bahaya Makanan/Beras Tercemar:</w:t>
      </w:r>
    </w:p>
    <w:p>
      <w:pPr>
        <w:pStyle w:val="ListBullet2"/>
        <w:spacing w:after="20"/>
      </w:pPr>
      <w:r>
        <w:rPr/>
        <w:t>Tanaman padi (</w:t>
      </w:r>
      <w:r>
        <w:rPr>
          <w:i/>
        </w:rPr>
        <w:t>Oryza sativa</w:t>
      </w:r>
      <w:r>
        <w:rPr/>
        <w:t>) memiliki afinitas penyerapan kadmium tanah yang sangat tinggi melalui sistem perakarannya.</w:t>
      </w:r>
    </w:p>
    <w:p>
      <w:pPr>
        <w:pStyle w:val="ListBullet2"/>
        <w:spacing w:after="20"/>
      </w:pPr>
      <w:r>
        <w:rPr>
          <w:i/>
        </w:rPr>
        <w:t>Pencegahan Tragedi Lingkungan:</w:t>
      </w:r>
      <w:r>
        <w:rPr/>
        <w:t xml:space="preserve"> Perusahaan wajib mengolah limbah cair industri (</w:t>
      </w:r>
      <w:r>
        <w:rPr>
          <w:i/>
        </w:rPr>
        <w:t>wastewater treatment plant</w:t>
      </w:r>
      <w:r>
        <w:rPr/>
        <w:t xml:space="preserve">) hingga kadar kadmium memenuhi baku mutu lingkungan ketat, dan </w:t>
      </w:r>
      <w:r>
        <w:rPr>
          <w:b/>
        </w:rPr>
        <w:t>dilarang keras membuang air limbah ke sungai yang digunakan untuk irigasi persawahan pangan masyarakat</w:t>
      </w:r>
      <w:r>
        <w:rPr/>
        <w:t xml:space="preserve"> guna mencegah terulangnya wabah osteomalasia Penyakit Itai-Itai.</w:t>
      </w:r>
    </w:p>
    <w:p>
      <w:pPr>
        <w:pStyle w:val="Heading3"/>
      </w:pPr>
      <w:r>
        <w:t>5. Keterangan Lain: Karsinogenisitas IARC dan Standar Baku Mutu</w:t>
      </w:r>
    </w:p>
    <w:p>
      <w:pPr>
        <w:spacing w:after="120"/>
        <w:ind w:left="170"/>
      </w:pPr>
      <w:r>
        <w:rPr>
          <w:rFonts w:ascii="Consolas" w:hAnsi="Consolas" w:eastAsia="Consolas"/>
          <w:sz w:val="13"/>
        </w:rPr>
        <w:t xml:space="preserve">                     [ STATUS KARSINOGENISITAS KADMIUM (IARC MONOGRAPH 100C)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IARC GRUP 1: KARSINOGEN MANUSIA ]                                           [ REGULASI AIR MINUM ]</w:t>
      </w:r>
      <w:r>
        <w:br/>
      </w:r>
      <w:r>
        <w:rPr>
          <w:rFonts w:ascii="Consolas" w:hAnsi="Consolas" w:eastAsia="Consolas"/>
          <w:sz w:val="13"/>
        </w:rPr>
        <w:t>• Terbukti Karsinogenik pada Manusia (Causal association)                      • Standar WHO Guidelines:</w:t>
      </w:r>
      <w:r>
        <w:br/>
      </w:r>
      <w:r>
        <w:rPr>
          <w:rFonts w:ascii="Consolas" w:hAnsi="Consolas" w:eastAsia="Consolas"/>
          <w:sz w:val="13"/>
        </w:rPr>
        <w:t>• KANKER PARU BRONKOGENIK (Target Organ Primer)                                  Batas Maksimum: 0,003 mg/L (3 µg/L)</w:t>
      </w:r>
      <w:r>
        <w:br/>
      </w:r>
      <w:r>
        <w:rPr>
          <w:rFonts w:ascii="Consolas" w:hAnsi="Consolas" w:eastAsia="Consolas"/>
          <w:sz w:val="13"/>
        </w:rPr>
        <w:t>• Asosiasi Positif Teramati: Kanker Prostat &amp; Ginjal                          • Permenkes No. 2 Tahun 2023:</w:t>
      </w:r>
      <w:r>
        <w:br/>
      </w:r>
      <w:r>
        <w:rPr>
          <w:rFonts w:ascii="Consolas" w:hAnsi="Consolas" w:eastAsia="Consolas"/>
          <w:sz w:val="13"/>
        </w:rPr>
        <w:t>• Bekerja via Penghambatan Enzim Perbaikan DNA (NER/BER)                         Batas Maksimum: 0,003 mg/L (3 ppb)</w:t>
      </w:r>
      <w:r>
        <w:br/>
      </w:r>
      <w:r>
        <w:rPr>
          <w:rFonts w:ascii="Consolas" w:hAnsi="Consolas" w:eastAsia="Consolas"/>
          <w:sz w:val="13"/>
        </w:rPr>
        <w:t xml:space="preserve">  melalui pendesakan seng pada protein Zinc-Finger                             • Pangan: Akumulasi tinggi pada beras &amp; kerang</w:t>
      </w:r>
    </w:p>
    <w:p>
      <w:pPr>
        <w:pStyle w:val="Heading4"/>
      </w:pPr>
      <w:r>
        <w:t>a. Klasifikasi Karsinogenisitas IARC (Monograph Volume 100C)</w:t>
      </w:r>
    </w:p>
    <w:p>
      <w:pPr>
        <w:spacing w:after="80"/>
      </w:pPr>
      <w:r>
        <w:rPr/>
        <w:t>Berdasarkan evaluasi komprehensif IARC Monograph Volume 100C:</w:t>
      </w:r>
    </w:p>
    <w:p>
      <w:pPr>
        <w:pStyle w:val="ListBullet"/>
        <w:spacing w:after="20"/>
      </w:pPr>
      <w:r>
        <w:rPr>
          <w:b/>
        </w:rPr>
        <w:t>Kadmium dan Persenyawaan Kadmium (</w:t>
      </w:r>
      <w:r>
        <w:rPr>
          <w:b/>
          <w:i/>
        </w:rPr>
        <w:t>Cadmium and cadmium compounds</w:t>
      </w:r>
      <w:r>
        <w:rPr>
          <w:b/>
        </w:rPr>
        <w:t>):</w:t>
      </w:r>
    </w:p>
    <w:p>
      <w:pPr>
        <w:pStyle w:val="ListBullet2"/>
        <w:spacing w:after="20"/>
      </w:pPr>
      <w:r>
        <w:rPr>
          <w:b/>
        </w:rPr>
        <w:t>IARC Grup 1 (</w:t>
      </w:r>
      <w:r>
        <w:rPr>
          <w:b/>
          <w:i/>
        </w:rPr>
        <w:t>Carcinogenic to humans</w:t>
      </w:r>
      <w:r>
        <w:rPr>
          <w:b/>
        </w:rPr>
        <w:t>)</w:t>
      </w:r>
      <w:r>
        <w:rPr/>
        <w:t>.</w:t>
      </w:r>
    </w:p>
    <w:p>
      <w:pPr>
        <w:pStyle w:val="ListBullet2"/>
        <w:spacing w:after="20"/>
      </w:pPr>
      <w:r>
        <w:rPr>
          <w:i/>
        </w:rPr>
        <w:t>Target Organ Keganasan Primer:</w:t>
      </w:r>
      <w:r>
        <w:rPr/>
        <w:t xml:space="preserve"> </w:t>
      </w:r>
      <w:r>
        <w:rPr>
          <w:b/>
        </w:rPr>
        <w:t>Kanker Paru (</w:t>
      </w:r>
      <w:r>
        <w:rPr>
          <w:b/>
          <w:i/>
        </w:rPr>
        <w:t>Cancer of the lung</w:t>
      </w:r>
      <w:r>
        <w:rPr>
          <w:b/>
        </w:rPr>
        <w:t>)</w:t>
      </w:r>
      <w:r>
        <w:rPr/>
        <w:t>.</w:t>
      </w:r>
    </w:p>
    <w:p>
      <w:pPr>
        <w:pStyle w:val="ListBullet2"/>
        <w:spacing w:after="20"/>
      </w:pPr>
      <w:r>
        <w:rPr>
          <w:i/>
        </w:rPr>
        <w:t>Keganasan Lain:</w:t>
      </w:r>
      <w:r>
        <w:rPr/>
        <w:t xml:space="preserve"> Hubungan positif yang secara epidemiologis bermakna juga dilaporkan pada </w:t>
      </w:r>
      <w:r>
        <w:rPr>
          <w:b/>
        </w:rPr>
        <w:t>kanker ginjal (</w:t>
      </w:r>
      <w:r>
        <w:rPr>
          <w:b/>
          <w:i/>
        </w:rPr>
        <w:t>kidney cancer</w:t>
      </w:r>
      <w:r>
        <w:rPr>
          <w:b/>
        </w:rPr>
        <w:t>)</w:t>
      </w:r>
      <w:r>
        <w:rPr/>
        <w:t xml:space="preserve"> dan </w:t>
      </w:r>
      <w:r>
        <w:rPr>
          <w:b/>
        </w:rPr>
        <w:t>kanker prostat (</w:t>
      </w:r>
      <w:r>
        <w:rPr>
          <w:b/>
          <w:i/>
        </w:rPr>
        <w:t>prostatic cancer</w:t>
      </w:r>
      <w:r>
        <w:rPr>
          <w:b/>
        </w:rPr>
        <w:t>)</w:t>
      </w:r>
      <w:r>
        <w:rPr/>
        <w:t>.</w:t>
      </w:r>
    </w:p>
    <w:p>
      <w:pPr>
        <w:pStyle w:val="ListBullet2"/>
        <w:spacing w:after="20"/>
      </w:pPr>
      <w:r>
        <w:rPr>
          <w:i/>
        </w:rPr>
        <w:t>Karakteristik Biologis:</w:t>
      </w:r>
      <w:r>
        <w:rPr/>
        <w:t xml:space="preserve"> Kadmium tidak memiliki nilai ambang aman mutlak untuk efek karsinogenik; pajanan inhalasi kerja harus ditekan hingga batas serendah mungkin (</w:t>
      </w:r>
      <w:r>
        <w:rPr>
          <w:i/>
        </w:rPr>
        <w:t>ALARA principle</w:t>
      </w:r>
      <w:r>
        <w:rPr/>
        <w:t>).</w:t>
      </w:r>
    </w:p>
    <w:p>
      <w:pPr>
        <w:pStyle w:val="Heading4"/>
      </w:pPr>
      <w:r>
        <w:t>b. Baku Mutu Kadmium pada Air Minum</w:t>
      </w:r>
    </w:p>
    <w:p>
      <w:pPr>
        <w:pStyle w:val="ListBullet"/>
        <w:spacing w:after="20"/>
      </w:pPr>
      <w:r>
        <w:rPr>
          <w:b/>
        </w:rPr>
        <w:t>Standar Baku Mutu Internasional (WHO Guidelines for Drinking-water Quality):</w:t>
      </w:r>
    </w:p>
    <w:p>
      <w:pPr>
        <w:spacing w:after="80"/>
      </w:pPr>
      <w:r>
        <w:rPr/>
        <w:t xml:space="preserve">Konsentrasi maksimum kadmium dalam air minum ditetapkan sebesar </w:t>
      </w:r>
      <w:r>
        <w:rPr>
          <w:b/>
        </w:rPr>
        <w:t>0,003 mg/L</w:t>
      </w:r>
      <w:r>
        <w:rPr/>
        <w:t xml:space="preserve"> (atau </w:t>
      </w:r>
      <w:r>
        <w:rPr>
          <w:b/>
        </w:rPr>
        <w:t>3 µg/L / 3 ppb</w:t>
      </w:r>
      <w:r>
        <w:rPr/>
        <w:t>). Nilai panduan ini diturunkan untuk melindungi populasi umum dari akumulasi beban tubuh seumur hidup yang berisiko merusak tubulus ginjal.</w:t>
      </w:r>
    </w:p>
    <w:p>
      <w:pPr>
        <w:pStyle w:val="ListBullet"/>
        <w:spacing w:after="20"/>
      </w:pPr>
      <w:r>
        <w:rPr>
          <w:b/>
        </w:rPr>
        <w:t>Standar Regulasi Nasional Indonesia (Permenkes No. 2 Tahun 2023):</w:t>
      </w:r>
    </w:p>
    <w:p>
      <w:pPr>
        <w:spacing w:after="80"/>
      </w:pPr>
      <w:r>
        <w:rPr/>
        <w:t xml:space="preserve">Menetapkan batas maksimum kadmium dalam air minum sebesar </w:t>
      </w:r>
      <w:r>
        <w:rPr>
          <w:b/>
        </w:rPr>
        <w:t>0,003 mg/L</w:t>
      </w:r>
      <w:r>
        <w:rPr/>
        <w:t>.</w:t>
      </w:r>
    </w:p>
    <w:p>
      <w:pPr>
        <w:pStyle w:val="Heading3"/>
      </w:pPr>
      <w:r>
        <w:t>6. Clinical Pearls dan Jebakan Ujian Khusus Kadmium</w:t>
      </w:r>
    </w:p>
    <w:p>
      <w:pPr>
        <w:spacing w:after="80"/>
      </w:pPr>
      <w:r>
        <w:rPr/>
        <w:t>Kuasai konsep-konsep krusial yang kerap menjadi batu sandungan para kandidat spesialis:</w:t>
      </w:r>
    </w:p>
    <w:p>
      <w:pPr>
        <w:spacing w:after="120"/>
        <w:ind w:left="170"/>
      </w:pPr>
      <w:r>
        <w:rPr>
          <w:rFonts w:ascii="Consolas" w:hAnsi="Consolas" w:eastAsia="Consolas"/>
          <w:sz w:val="13"/>
        </w:rPr>
        <w:t xml:space="preserve">                            [ JEBAKAN UJIAN DEWAN SPESIALIS KADMIUM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JEBAKAN 1: TERAPI KELASI ]            [ JEBAKAN 2: URIN ASAM β2-MG ]         [ JEBAKAN 3: FUME FEVER VS CdO ]</w:t>
      </w:r>
      <w:r>
        <w:br/>
      </w:r>
      <w:r>
        <w:rPr>
          <w:rFonts w:ascii="Consolas" w:hAnsi="Consolas" w:eastAsia="Consolas"/>
          <w:sz w:val="13"/>
        </w:rPr>
        <w:t xml:space="preserve"> JANGAN PERNAH berikan BAL atau          β2-MG labil pada urin pH &lt; 6,0!        Jangan samakan CdO dengan seng!</w:t>
      </w:r>
      <w:r>
        <w:br/>
      </w:r>
      <w:r>
        <w:rPr>
          <w:rFonts w:ascii="Consolas" w:hAnsi="Consolas" w:eastAsia="Consolas"/>
          <w:sz w:val="13"/>
        </w:rPr>
        <w:t xml:space="preserve"> EDTA pada nefropati kadmium!            Urin asam ──► β2-MG terdegradasi       Demam uap seng jinak &amp; sembuh 24 jam.</w:t>
      </w:r>
      <w:r>
        <w:br/>
      </w:r>
      <w:r>
        <w:rPr>
          <w:rFonts w:ascii="Consolas" w:hAnsi="Consolas" w:eastAsia="Consolas"/>
          <w:sz w:val="13"/>
        </w:rPr>
        <w:t xml:space="preserve"> Kelasi MEMBOBARDIR tubulus ginjal       ──► NEGATIF PALSU DISFUNGSI GINJAL.    Uap CdO memiliki masa laten 4–12 jam,</w:t>
      </w:r>
      <w:r>
        <w:br/>
      </w:r>
      <w:r>
        <w:rPr>
          <w:rFonts w:ascii="Consolas" w:hAnsi="Consolas" w:eastAsia="Consolas"/>
          <w:sz w:val="13"/>
        </w:rPr>
        <w:t xml:space="preserve"> dengan ion Cd²⁺ bebas ──► ATN FATAL.   Wajib uji pH atau periksa RBP Urin!    lalu meledak jadi PNEUMONITIS &amp; ARDS.</w:t>
      </w:r>
    </w:p>
    <w:p>
      <w:pPr>
        <w:pStyle w:val="ListBullet"/>
        <w:spacing w:after="20"/>
      </w:pPr>
      <w:r>
        <w:rPr>
          <w:b/>
        </w:rPr>
        <w:t>Clinical Pearl 1: Paradoks Terapi Kelasi Kadmium</w:t>
      </w:r>
    </w:p>
    <w:p>
      <w:pPr>
        <w:spacing w:after="80"/>
      </w:pPr>
      <w:r>
        <w:rPr/>
        <w:t xml:space="preserve">Tanamkan prinsip ini: Kadmium adalah pengecualian utama dalam terapi antidotum logam berat. Pada timbal kita memberikan CaNa2EDTA, pada merkuri/arsenik kita memberikan DMPS/DMSA, namun </w:t>
      </w:r>
      <w:r>
        <w:rPr>
          <w:b/>
        </w:rPr>
        <w:t>pada keracunan kadmium kronis, terapi kelasi adalah MALPRAKTIK</w:t>
      </w:r>
      <w:r>
        <w:rPr/>
        <w:t xml:space="preserve">. Pemberian BAL atau EDTA memobilisasi kadmium hepar dan mengarahkannya langsung ke nefron ginjal, mengubah disfungsi tubulus kronis menjadi </w:t>
      </w:r>
      <w:r>
        <w:rPr>
          <w:b/>
        </w:rPr>
        <w:t>Nekrosis Tubular Akut (ATN) anurik yang fatal</w:t>
      </w:r>
      <w:r>
        <w:rPr/>
        <w:t xml:space="preserve">. Terapi definitif kadmium adalah </w:t>
      </w:r>
      <w:r>
        <w:rPr>
          <w:b/>
        </w:rPr>
        <w:t>SUPORTIF MURNI dan PENGHENTIAN PAJANAN KERJA</w:t>
      </w:r>
      <w:r>
        <w:rPr/>
        <w:t>.</w:t>
      </w:r>
    </w:p>
    <w:p>
      <w:pPr>
        <w:pStyle w:val="ListBullet"/>
        <w:spacing w:after="20"/>
      </w:pPr>
      <w:r>
        <w:rPr>
          <w:b/>
        </w:rPr>
        <w:t>Clinical Pearl 2: Mengapa Harus Menguji pH Urin pada Pemeriksaan β₂-MG?</w:t>
      </w:r>
    </w:p>
    <w:p>
      <w:pPr>
        <w:spacing w:after="80"/>
      </w:pPr>
      <w:r>
        <w:rPr/>
        <w:t xml:space="preserve">Bila seorang pekerja pabrik baterai Ni-Cd memiliki kadar U-Cd tinggi (8 µg/g kreatinin) namun hasil β₂-MG urin dilaporkan normal (&lt; 300 µg/g kreatinin), </w:t>
      </w:r>
      <w:r>
        <w:rPr>
          <w:b/>
        </w:rPr>
        <w:t>jangan langsung menyimpulkan ginjalnya aman</w:t>
      </w:r>
      <w:r>
        <w:rPr/>
        <w:t xml:space="preserve">. Periksa pH spesimen urin tersebut: </w:t>
      </w:r>
      <w:r>
        <w:rPr>
          <w:b/>
        </w:rPr>
        <w:t>jika pH urin &lt; 6,0, protein β₂-MG telah hancur oleh asam (</w:t>
      </w:r>
      <w:r>
        <w:rPr>
          <w:b/>
          <w:i/>
        </w:rPr>
        <w:t>acid hydrolysis</w:t>
      </w:r>
      <w:r>
        <w:rPr>
          <w:b/>
        </w:rPr>
        <w:t>)</w:t>
      </w:r>
      <w:r>
        <w:rPr/>
        <w:t xml:space="preserve">. Minta laboratorium mengulang uji dengan menambahkan larutan dapar basa saat sampling, atau periksa </w:t>
      </w:r>
      <w:r>
        <w:rPr>
          <w:b/>
        </w:rPr>
        <w:t>Retinol-Binding Protein (RBP)</w:t>
      </w:r>
      <w:r>
        <w:rPr/>
        <w:t xml:space="preserve"> yang stabil pada urin asam.</w:t>
      </w:r>
    </w:p>
    <w:p>
      <w:pPr>
        <w:pStyle w:val="ListBullet"/>
        <w:spacing w:after="20"/>
      </w:pPr>
      <w:r>
        <w:rPr>
          <w:b/>
        </w:rPr>
        <w:t>Board Trap 1: Jebakan Diagnosis Uap Pengelasan (Metal Fume Fever vs. CdO Fume)</w:t>
      </w:r>
    </w:p>
    <w:p>
      <w:pPr>
        <w:spacing w:after="80"/>
      </w:pPr>
      <w:r>
        <w:rPr/>
        <w:t xml:space="preserve">Penguji sering menyajikan kasus: </w:t>
      </w:r>
      <w:r>
        <w:rPr>
          <w:i/>
        </w:rPr>
        <w:t>"Seorang tukang las mengalami demam, menggigil, dan batuk 6 jam setelah mematri paduan perak di ruang tertutup. Dokter klinik perusahaan mendiagnosis metal fume fever dan menyuruhnya pulang istirahat. Keesokan harinya pasien dibawa ke IGD dengan sianosis dan hemoptisis. Apa kesalahan fatal dokter tersebut?"</w:t>
      </w:r>
    </w:p>
    <w:p>
      <w:pPr>
        <w:spacing w:after="80"/>
      </w:pPr>
      <w:r>
        <w:rPr>
          <w:b/>
        </w:rPr>
        <w:t>Jawab dengan tegas:</w:t>
      </w:r>
      <w:r>
        <w:rPr/>
        <w:t xml:space="preserve"> </w:t>
      </w:r>
      <w:r>
        <w:rPr>
          <w:i/>
        </w:rPr>
        <w:t>"Dokter tersebut salah mengidentifikasi bahan; patri perak sering mengandung paduan Kadmium (Ag-Cd). Berbeda dengan demam uap seng yang jinak, inhalasi uap kadmium oksida memiliki masa laten 4–12 jam yang menipu sebelum bermanifestasi menjadi Pneumonitis Kimiawi Akut dan Edema Paru Non-Kardiogenik / ARDS yang mematikan. Pasien las paduan kadmium wajib diobservasi ketat minimal 24–48 jam di rumah sakit"</w:t>
      </w:r>
      <w:r>
        <w:rPr/>
        <w:t>.</w:t>
      </w:r>
    </w:p>
    <w:p>
      <w:pPr>
        <w:pStyle w:val="ListBullet"/>
        <w:spacing w:after="20"/>
      </w:pPr>
      <w:r>
        <w:rPr>
          <w:b/>
        </w:rPr>
        <w:t>Board Trap 2: Penurunan Paradoksal U-Cd pada Stadium Akhir Ginjal</w:t>
      </w:r>
    </w:p>
    <w:p>
      <w:pPr>
        <w:spacing w:after="80"/>
      </w:pPr>
      <w:r>
        <w:rPr/>
        <w:t xml:space="preserve">Penguji dapat bertanya: </w:t>
      </w:r>
      <w:r>
        <w:rPr>
          <w:i/>
        </w:rPr>
        <w:t>"Pekerja pabrik kadmium senior dengan proteinuria berat dan eGFR anjlok tiba-tiba kadar U-Cd urinnya turun dari 18 µg/g menjadi 3 µg/g kreatinin, apakah ini berarti tubuhnya membaik?"</w:t>
      </w:r>
    </w:p>
    <w:p>
      <w:pPr>
        <w:spacing w:after="80"/>
      </w:pPr>
      <w:r>
        <w:rPr>
          <w:b/>
        </w:rPr>
        <w:t>Jawab:</w:t>
      </w:r>
      <w:r>
        <w:rPr/>
        <w:t xml:space="preserve"> </w:t>
      </w:r>
      <w:r>
        <w:rPr>
          <w:i/>
        </w:rPr>
        <w:t>"Bukan membaik, Dokter, melainkan pertanda kerusakan ginjal stadium akhir. U-Cd mencerminkan beban kadmium yang ditahan oleh sel tubulus proksimal. Bila massa sel tubulus telah mengalami nekrosis dan fibrosis luas, ginjal kehilangan kapasitas menahan kadmium, sehingga kadar ekskresi U-Cd dapat anjlok secara paradoksal sementara beban sistemik tubuh tetap sangat toksik"</w:t>
      </w:r>
      <w:r>
        <w:rPr/>
        <w:t>.</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Cadmium and inorganic compounds, as Cd</w:t>
      </w:r>
      <w:r>
        <w:rPr>
          <w:color w:val="595959"/>
          <w:sz w:val="16"/>
        </w:rPr>
        <w:t xml:space="preserve"> [CAS 7440-43-9] (TLV-TWA Inhalable fraction: 0,01 mg/m³; Respirable fraction: 0,002 mg/m³; Notasi A2, BEI; TLV Basis: Kidney damage).</w:t>
      </w:r>
    </w:p>
    <w:p>
      <w:pPr>
        <w:spacing w:after="0"/>
        <w:ind w:left="283"/>
      </w:pPr>
      <w:r>
        <w:rPr>
          <w:color w:val="595959"/>
          <w:sz w:val="16"/>
        </w:rPr>
        <w:t xml:space="preserve">Tabel Adopsi BEI: </w:t>
      </w:r>
      <w:r>
        <w:rPr>
          <w:i/>
          <w:color w:val="595959"/>
          <w:sz w:val="16"/>
        </w:rPr>
        <w:t>Cadmium in urine (U-Cd)</w:t>
      </w:r>
      <w:r>
        <w:rPr>
          <w:color w:val="595959"/>
          <w:sz w:val="16"/>
        </w:rPr>
        <w:t xml:space="preserve">: </w:t>
      </w:r>
      <w:r>
        <w:rPr>
          <w:b/>
          <w:color w:val="595959"/>
          <w:sz w:val="16"/>
        </w:rPr>
        <w:t>5 µg/g kreatinin</w:t>
      </w:r>
      <w:r>
        <w:rPr>
          <w:color w:val="595959"/>
          <w:sz w:val="16"/>
        </w:rPr>
        <w:t xml:space="preserve"> (Notasi B); </w:t>
      </w:r>
      <w:r>
        <w:rPr>
          <w:i/>
          <w:color w:val="595959"/>
          <w:sz w:val="16"/>
        </w:rPr>
        <w:t>Cadmium in blood (B-Cd)</w:t>
      </w:r>
      <w:r>
        <w:rPr>
          <w:color w:val="595959"/>
          <w:sz w:val="16"/>
        </w:rPr>
        <w:t xml:space="preserve">: </w:t>
      </w:r>
      <w:r>
        <w:rPr>
          <w:b/>
          <w:color w:val="595959"/>
          <w:sz w:val="16"/>
        </w:rPr>
        <w:t>5 µg/L</w:t>
      </w:r>
      <w:r>
        <w:rPr>
          <w:color w:val="595959"/>
          <w:sz w:val="16"/>
        </w:rPr>
        <w:t xml:space="preserve"> (Notasi B); Waktu Sampling: </w:t>
      </w:r>
      <w:r>
        <w:rPr>
          <w:i/>
          <w:color w:val="595959"/>
          <w:sz w:val="16"/>
        </w:rPr>
        <w:t>Not Critical / Discretionary</w:t>
      </w:r>
      <w:r>
        <w:rPr>
          <w:color w:val="595959"/>
          <w:sz w:val="16"/>
        </w:rPr>
        <w:t>.</w:t>
      </w:r>
    </w:p>
    <w:p>
      <w:pPr>
        <w:spacing w:after="0"/>
        <w:ind w:left="283"/>
      </w:pPr>
      <w:r>
        <w:rPr>
          <w:color w:val="595959"/>
          <w:sz w:val="16"/>
        </w:rPr>
        <w:t>Definisi dan Signifikansi Notasi A2 (</w:t>
      </w:r>
      <w:r>
        <w:rPr>
          <w:i/>
          <w:color w:val="595959"/>
          <w:sz w:val="16"/>
        </w:rPr>
        <w:t>Suspected Human Carcinogen</w:t>
      </w:r>
      <w:r>
        <w:rPr>
          <w:color w:val="595959"/>
          <w:sz w:val="16"/>
        </w:rPr>
        <w:t xml:space="preserve">) dan Waktu Sampling </w:t>
      </w:r>
      <w:r>
        <w:rPr>
          <w:i/>
          <w:color w:val="595959"/>
          <w:sz w:val="16"/>
        </w:rPr>
        <w:t>Discretionary</w:t>
      </w:r>
      <w:r>
        <w:rPr>
          <w:color w:val="595959"/>
          <w:sz w:val="16"/>
        </w:rPr>
        <w:t xml:space="preserve"> (Determinant dengan waktu paruh tahunan).</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Kadmium dan persenyawaan anorganik, sebagai Cd (NAB Inhalabel 0,01 mg/m³, Respirabel 0,002 mg/m³, Notasi A2, Simbol Segitiga BEI ▲; Target Ginjal dan Karsinogenisitas).</w:t>
      </w:r>
    </w:p>
    <w:p>
      <w:pPr>
        <w:spacing w:after="0"/>
        <w:ind w:left="283"/>
      </w:pPr>
      <w:r>
        <w:rPr>
          <w:b/>
          <w:color w:val="595959"/>
          <w:sz w:val="16"/>
        </w:rPr>
        <w:t>Dib Chakif &amp; Julien Furrer (2026).</w:t>
      </w:r>
      <w:r>
        <w:rPr>
          <w:color w:val="595959"/>
          <w:sz w:val="16"/>
        </w:rPr>
        <w:t xml:space="preserve"> </w:t>
      </w:r>
      <w:r>
        <w:rPr>
          <w:i/>
          <w:color w:val="595959"/>
          <w:sz w:val="16"/>
        </w:rPr>
        <w:t>Heavy Metal Toxicity in Clinical and Environmental Health.</w:t>
      </w:r>
      <w:r>
        <w:rPr>
          <w:color w:val="595959"/>
          <w:sz w:val="16"/>
        </w:rPr>
        <w:t xml:space="preserve"> International Journal of Molecular Sciences, 27(3): 03513:</w:t>
      </w:r>
    </w:p>
    <w:p>
      <w:pPr>
        <w:spacing w:after="0"/>
        <w:ind w:left="283"/>
      </w:pPr>
      <w:r>
        <w:rPr>
          <w:color w:val="595959"/>
          <w:sz w:val="16"/>
        </w:rPr>
        <w:t xml:space="preserve">Tinjauan Komprehensif Toksikologi Kadmium: Waktu Paruh Ginjal 20–30 Tahun; Biomarker Paparan U-Cd &amp; B-Cd; </w:t>
      </w:r>
      <w:r>
        <w:rPr>
          <w:b/>
          <w:color w:val="595959"/>
          <w:sz w:val="16"/>
        </w:rPr>
        <w:t>Pernyataan Kontraindikasi Terapi Kelasi Rutin pada Toksisitas Kadmium Kronis (</w:t>
      </w:r>
      <w:r>
        <w:rPr>
          <w:b/>
          <w:i/>
          <w:color w:val="595959"/>
          <w:sz w:val="16"/>
        </w:rPr>
        <w:t>Benefit is limited and some chelators may worsen toxicity / increase nephrotoxicity</w:t>
      </w:r>
      <w:r>
        <w:rPr>
          <w:b/>
          <w:color w:val="595959"/>
          <w:sz w:val="16"/>
        </w:rPr>
        <w:t>)</w:t>
      </w:r>
      <w:r>
        <w:rPr>
          <w:color w:val="595959"/>
          <w:sz w:val="16"/>
        </w:rPr>
        <w:t>; Tatalaksana Suportif Ginjal &amp; Tulang dengan Penghentian Pajanan; serta Asosiasi Rokok sebagai Sumber Kadmium Non-Okupasi.</w:t>
      </w:r>
    </w:p>
    <w:p>
      <w:pPr>
        <w:spacing w:after="0"/>
        <w:ind w:left="283"/>
      </w:pPr>
      <w:r>
        <w:rPr>
          <w:b/>
          <w:color w:val="595959"/>
          <w:sz w:val="16"/>
        </w:rPr>
        <w:t>Farida Lamkarkach et al. / HBM4EU Initiative (2021).</w:t>
      </w:r>
      <w:r>
        <w:rPr>
          <w:color w:val="595959"/>
          <w:sz w:val="16"/>
        </w:rPr>
        <w:t xml:space="preserve"> </w:t>
      </w:r>
      <w:r>
        <w:rPr>
          <w:i/>
          <w:color w:val="595959"/>
          <w:sz w:val="16"/>
        </w:rPr>
        <w:t>Human biomonitoring initiative (HBM4EU): Human biomonitoring guidance values (HBM-GVs) derived for cadmium and its compounds.</w:t>
      </w:r>
      <w:r>
        <w:rPr>
          <w:color w:val="595959"/>
          <w:sz w:val="16"/>
        </w:rPr>
        <w:t xml:space="preserve"> Environment International, 147: 106337:</w:t>
      </w:r>
    </w:p>
    <w:p>
      <w:pPr>
        <w:spacing w:after="0"/>
        <w:ind w:left="283"/>
      </w:pPr>
      <w:r>
        <w:rPr>
          <w:color w:val="595959"/>
          <w:sz w:val="16"/>
        </w:rPr>
        <w:t>Kajian Mendalam Biomonitoring Pekerja: Nilai Baku ACGIH BEI U-Cd 5 µg/g kreatinin dan B-Cd 5 µg/L; Rekomendasi HBM-GVWorker U-Cd 2 µg/g kreatinin dan B-Cd 5 µg/L; Kinetika Waktu Paruh U-Cd (10–40 Tahun) vs B-Cd (Beberapa Minggu-Bulan); serta Derajat Klinis Reversibilitas Proteinuria Tubulus Bernard (2004) (&lt;300 normal, 300–1000 reversibel, 1000–10.000 ireversibel, &gt;10.000 overt nephropathy).</w:t>
      </w:r>
    </w:p>
    <w:p>
      <w:pPr>
        <w:spacing w:after="0"/>
        <w:ind w:left="283"/>
      </w:pPr>
      <w:r>
        <w:rPr>
          <w:b/>
          <w:color w:val="595959"/>
          <w:sz w:val="16"/>
        </w:rPr>
        <w:t>Célia Ventura et al. / HBM4EU Initiative (2021).</w:t>
      </w:r>
      <w:r>
        <w:rPr>
          <w:color w:val="595959"/>
          <w:sz w:val="16"/>
        </w:rPr>
        <w:t xml:space="preserve"> </w:t>
      </w:r>
      <w:r>
        <w:rPr>
          <w:i/>
          <w:color w:val="595959"/>
          <w:sz w:val="16"/>
        </w:rPr>
        <w:t>Biomarkers of effect as determined in human biomonitoring studies on hexavalent chromium and cadmium in the period 2008–2020.</w:t>
      </w:r>
      <w:r>
        <w:rPr>
          <w:color w:val="595959"/>
          <w:sz w:val="16"/>
        </w:rPr>
        <w:t xml:space="preserve"> Environmental Research, 197: 110998:</w:t>
      </w:r>
    </w:p>
    <w:p>
      <w:pPr>
        <w:spacing w:after="0"/>
        <w:ind w:left="283"/>
      </w:pPr>
      <w:r>
        <w:rPr>
          <w:color w:val="595959"/>
          <w:sz w:val="16"/>
        </w:rPr>
        <w:t xml:space="preserve">Biomarker Efek Disfungsi Tubulus Proksimal: Peran Baku Emas Beta-2 Mikroglobulin (β2-MG, 12 kDa); </w:t>
      </w:r>
      <w:r>
        <w:rPr>
          <w:b/>
          <w:color w:val="595959"/>
          <w:sz w:val="16"/>
        </w:rPr>
        <w:t>Ketidakstabilan β2-MG pada Urin Asam (pH &lt; 6,0)</w:t>
      </w:r>
      <w:r>
        <w:rPr>
          <w:color w:val="595959"/>
          <w:sz w:val="16"/>
        </w:rPr>
        <w:t>; Keunggulan Retinol-Binding Protein (RBP, 21 kDa) yang Stabil pada pH Asam; serta Enzim Lisosom NAG (&gt;130 kDa) sebagai Penanda Kerusakan Seluler Aktif Tubulus.</w:t>
      </w:r>
    </w:p>
    <w:p>
      <w:pPr>
        <w:spacing w:after="0"/>
        <w:ind w:left="283"/>
      </w:pPr>
      <w:r>
        <w:rPr>
          <w:b/>
          <w:color w:val="595959"/>
          <w:sz w:val="16"/>
        </w:rPr>
        <w:t>IARC (2012).</w:t>
      </w:r>
      <w:r>
        <w:rPr>
          <w:color w:val="595959"/>
          <w:sz w:val="16"/>
        </w:rPr>
        <w:t xml:space="preserve"> </w:t>
      </w:r>
      <w:r>
        <w:rPr>
          <w:i/>
          <w:color w:val="595959"/>
          <w:sz w:val="16"/>
        </w:rPr>
        <w:t>Cadmium and Cadmium Compounds (IARC Monographs Vol. 100C)</w:t>
      </w:r>
      <w:r>
        <w:rPr>
          <w:color w:val="595959"/>
          <w:sz w:val="16"/>
        </w:rPr>
        <w:t>:</w:t>
      </w:r>
    </w:p>
    <w:p>
      <w:pPr>
        <w:spacing w:after="0"/>
        <w:ind w:left="283"/>
      </w:pPr>
      <w:r>
        <w:rPr>
          <w:color w:val="595959"/>
          <w:sz w:val="16"/>
        </w:rPr>
        <w:t>Evaluasi Karsinogenisitas Manusia: IARC Grup 1 untuk Kadmium dan Senyawanya (Kanker Paru Bronkogenik, Kanker Prostat, Kanker Ginjal); Studi Pekerja Pemulihan Kadmium dan Baterai Ni-Cd [253–256]; serta Kandungan Tembakau Rokok (1,7 µg Cd/batang).</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3 &amp; 4: Sejarah Penyakit Itai-Itai di Jepang &amp; Waktu Paruh Biologis 30 Tahun; Akumulasi Ginjal &amp; Peran Cd-MT di Lisosom Tubulus Proksimal; Toksisitas Akut Pneumonitis Kimiawi &amp; Edema Paru Inhalasi Uap Kadmium; Karsinogenesis Paru; serta Efek Samping Obat Kelator BAL dan EDTA.</w:t>
      </w:r>
    </w:p>
    <w:p>
      <w:pPr>
        <w:spacing w:after="0"/>
        <w:ind w:left="283"/>
      </w:pPr>
      <w:r>
        <w:rPr>
          <w:b/>
          <w:color w:val="595959"/>
          <w:sz w:val="16"/>
        </w:rPr>
        <w:t>Peraturan Presiden Republik Indonesia Nomor 7 Tahun 2019 &amp; Permenkes No. 11 Tahun 2022:</w:t>
      </w:r>
    </w:p>
    <w:p>
      <w:pPr>
        <w:spacing w:after="0"/>
        <w:ind w:left="283"/>
      </w:pPr>
      <w:r>
        <w:rPr>
          <w:color w:val="595959"/>
          <w:sz w:val="16"/>
        </w:rPr>
        <w:t>Penyakit Akibat Kerja Faktor Kimia Kadmium (Lampiran I.a Butir 8 Perpres 7/2019); Kanker Akibat Kerja Kadmium (Lampiran III Butir 17 Perpres 7/2019); serta Tujuh Langkah Diagnosis Okupasi Permenkes 11/2022.</w:t>
      </w:r>
    </w:p>
    <w:p>
      <w:pPr>
        <w:spacing w:after="0"/>
        <w:ind w:left="283"/>
      </w:pPr>
      <w:r>
        <w:rPr>
          <w:b/>
          <w:color w:val="595959"/>
          <w:sz w:val="16"/>
        </w:rPr>
        <w:t>Peraturan Menteri Kesehatan Republik Indonesia Nomor 2 Tahun 2023:</w:t>
      </w:r>
    </w:p>
    <w:p>
      <w:pPr>
        <w:spacing w:after="0"/>
        <w:ind w:left="283"/>
      </w:pPr>
      <w:r>
        <w:rPr>
          <w:color w:val="595959"/>
          <w:sz w:val="16"/>
        </w:rPr>
        <w:t xml:space="preserve">Standar Baku Mutu Kesehatan Lingkungan untuk Media Air Minum: Batas Maksimum Kadar Kadmium Sebesar </w:t>
      </w:r>
      <w:r>
        <w:rPr>
          <w:b/>
          <w:color w:val="595959"/>
          <w:sz w:val="16"/>
        </w:rPr>
        <w:t>0,003 mg/L (3 µg/L)</w:t>
      </w:r>
      <w:r>
        <w:rPr>
          <w:color w:val="595959"/>
          <w:sz w:val="16"/>
        </w:rPr>
        <w:t>.</w:t>
      </w:r>
    </w:p>
    <w:p>
      <w:r>
        <w:br w:type="page"/>
      </w:r>
    </w:p>
    <w:p>
      <w:pPr>
        <w:pStyle w:val="Heading2"/>
      </w:pPr>
      <w:bookmarkStart w:id="125" w:name="toc_025"/>
      <w:r>
        <w:t>3A.6 Mangan (Mn)</w:t>
      </w:r>
      <w:bookmarkEnd w:id="125"/>
    </w:p>
    <w:p>
      <w:pPr>
        <w:pStyle w:val="Heading3"/>
      </w:pPr>
      <w:r>
        <w:t>1. Sifat Fisik-Kimia dan Klasifikasi Spesiasi Mangan</w:t>
      </w:r>
    </w:p>
    <w:p>
      <w:pPr>
        <w:spacing w:after="80"/>
      </w:pPr>
      <w:r>
        <w:rPr/>
        <w:t>Mangan (nomor atom 25, berat atom 54,94 g/mol) terletak pada Golongan VIIB (logam transisi) periode 4 tabel periodik. Karakteristik fisik-kimia dan klasifikasinya terbagi ke dalam bentuk anorganik dan organik:</w:t>
      </w:r>
    </w:p>
    <w:p>
      <w:pPr>
        <w:spacing w:after="120"/>
        <w:ind w:left="170"/>
      </w:pPr>
      <w:r>
        <w:rPr>
          <w:rFonts w:ascii="Consolas" w:hAnsi="Consolas" w:eastAsia="Consolas"/>
          <w:sz w:val="13"/>
        </w:rPr>
        <w:t xml:space="preserve">                                [ KLASIFIKASI SPESIASI MANGAN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MANGAN ELEMENTAL (Mn⁰) ]              [ GARAM &amp; OKSIDA ANORGANIK ]          [ SENYAWA ORGANIK (ALKIL Mn) ]</w:t>
      </w:r>
      <w:r>
        <w:br/>
      </w:r>
      <w:r>
        <w:rPr>
          <w:rFonts w:ascii="Consolas" w:hAnsi="Consolas" w:eastAsia="Consolas"/>
          <w:sz w:val="13"/>
        </w:rPr>
        <w:t>• Logam transisi padat, berkilau        • MnO₂ (Mangan Dioksida / Pirolusit)  • MMT (Metilsiklopentadienil</w:t>
      </w:r>
      <w:r>
        <w:br/>
      </w:r>
      <w:r>
        <w:rPr>
          <w:rFonts w:ascii="Consolas" w:hAnsi="Consolas" w:eastAsia="Consolas"/>
          <w:sz w:val="13"/>
        </w:rPr>
        <w:t xml:space="preserve">  keperakan, keras namun rapuh            - Bilangan oksidasi: +4               Mangan Trikarbonil)</w:t>
      </w:r>
      <w:r>
        <w:br/>
      </w:r>
      <w:r>
        <w:rPr>
          <w:rFonts w:ascii="Consolas" w:hAnsi="Consolas" w:eastAsia="Consolas"/>
          <w:sz w:val="13"/>
        </w:rPr>
        <w:t>• Bilangan oksidasi: 11 variasi           - Tidak larut air, serbuk hitam       - Senyawa organologam lipofilik</w:t>
      </w:r>
      <w:r>
        <w:br/>
      </w:r>
      <w:r>
        <w:rPr>
          <w:rFonts w:ascii="Consolas" w:hAnsi="Consolas" w:eastAsia="Consolas"/>
          <w:sz w:val="13"/>
        </w:rPr>
        <w:t xml:space="preserve">  (paling stabil: +2, +3, +4, +7)         - Komponen bijih tambang primer       - Cairan volatil, diserap kulit</w:t>
      </w:r>
      <w:r>
        <w:br/>
      </w:r>
      <w:r>
        <w:rPr>
          <w:rFonts w:ascii="Consolas" w:hAnsi="Consolas" w:eastAsia="Consolas"/>
          <w:sz w:val="13"/>
        </w:rPr>
        <w:t>• Titik leleh: 1244°C; didih: 1962°C    • MnSO₄ (Mangan Sulfat) &amp; MnCl₂       - Antiknock additive bensin</w:t>
      </w:r>
      <w:r>
        <w:br/>
      </w:r>
      <w:r>
        <w:rPr>
          <w:rFonts w:ascii="Consolas" w:hAnsi="Consolas" w:eastAsia="Consolas"/>
          <w:sz w:val="13"/>
        </w:rPr>
        <w:t>• Membentuk aerosol uap debu              - Bilangan oksidasi: divalen (+2)   • Pestisida Etilenbisditiokarbamat:</w:t>
      </w:r>
      <w:r>
        <w:br/>
      </w:r>
      <w:r>
        <w:rPr>
          <w:rFonts w:ascii="Consolas" w:hAnsi="Consolas" w:eastAsia="Consolas"/>
          <w:sz w:val="13"/>
        </w:rPr>
        <w:t xml:space="preserve">  saat pengelasan bersuhu tinggi          - Sangat larut air, bioavailabel      Maneb &amp; Mancozeb (kompleks Mn/Zn)</w:t>
      </w:r>
    </w:p>
    <w:p>
      <w:pPr>
        <w:spacing w:after="40"/>
        <w:ind w:left="340" w:hanging="283"/>
      </w:pPr>
      <w:r>
        <w:rPr/>
        <w:t xml:space="preserve">1. </w:t>
      </w:r>
      <w:r>
        <w:rPr>
          <w:b/>
        </w:rPr>
        <w:t>Mangan Elemental [Mn(0)] [CAS 7439-96-5]:</w:t>
      </w:r>
    </w:p>
    <w:p>
      <w:pPr>
        <w:spacing w:after="80"/>
      </w:pPr>
      <w:r>
        <w:rPr/>
        <w:t>Logam berkilau abu-abu keperakan (</w:t>
      </w:r>
      <w:r>
        <w:rPr>
          <w:i/>
        </w:rPr>
        <w:t>lustrous, brittle, silvery solid</w:t>
      </w:r>
      <w:r>
        <w:rPr/>
        <w:t xml:space="preserve">), rapuh, reaktif, dan mudah teroksidasi di udara bebas. Mangan memiliki densitas 7,20 g/cm³, titik leleh 1244°C (2271°F), dan titik didih 1962°C. Logam ini mampu membentuk hingga 11 status bilangan oksidasi yang berbeda, dengan status paling stabil dan penting dalam toksikologi adalah </w:t>
      </w:r>
      <w:r>
        <w:rPr>
          <w:b/>
        </w:rPr>
        <w:t>Mn²⁺ (divalen / manganous), Mn³⁺ (trivalen / manganic), Mn⁴⁺, dan Mn⁷⁺ (permanganat)</w:t>
      </w:r>
      <w:r>
        <w:rPr/>
        <w:t>.</w:t>
      </w:r>
    </w:p>
    <w:p>
      <w:pPr>
        <w:spacing w:after="40"/>
        <w:ind w:left="340" w:hanging="283"/>
      </w:pPr>
      <w:r>
        <w:rPr/>
        <w:t xml:space="preserve">2. </w:t>
      </w:r>
      <w:r>
        <w:rPr>
          <w:b/>
        </w:rPr>
        <w:t>Mangan Dioksida (MnO₂) / Pirolusit [CAS 1313-13-9]:</w:t>
      </w:r>
    </w:p>
    <w:p>
      <w:pPr>
        <w:spacing w:after="80"/>
      </w:pPr>
      <w:r>
        <w:rPr/>
        <w:t>Senyawa anorganik dengan bilangan oksidasi +4. Berupa serbuk kristal berwarna hitam kecokelatan yang praktis tidak larut dalam air. Merupakan bentuk mineral utama yang ditambang di alam (mineral pirolusit) dan bahan baku utama katoda baterai kering.</w:t>
      </w:r>
    </w:p>
    <w:p>
      <w:pPr>
        <w:spacing w:after="40"/>
        <w:ind w:left="340" w:hanging="283"/>
      </w:pPr>
      <w:r>
        <w:rPr/>
        <w:t xml:space="preserve">3. </w:t>
      </w:r>
      <w:r>
        <w:rPr>
          <w:b/>
        </w:rPr>
        <w:t>Mangan Sulfat (MnSO₄) dan Mangan Klorida (MnCl₂):</w:t>
      </w:r>
    </w:p>
    <w:p>
      <w:pPr>
        <w:spacing w:after="80"/>
      </w:pPr>
      <w:r>
        <w:rPr/>
        <w:t>Senyawa garam anorganik divalen (+2). Bersifat sangat larut dalam air (</w:t>
      </w:r>
      <w:r>
        <w:rPr>
          <w:i/>
        </w:rPr>
        <w:t>water-soluble</w:t>
      </w:r>
      <w:r>
        <w:rPr/>
        <w:t>), memiliki bioavailabilitas biologis sistemik yang jauh lebih tinggi dibanding bentuk oksida, dan menjadi agen pemicu stres oksidatif seluler yang cepat.</w:t>
      </w:r>
    </w:p>
    <w:p>
      <w:pPr>
        <w:spacing w:after="40"/>
        <w:ind w:left="340" w:hanging="283"/>
      </w:pPr>
      <w:r>
        <w:rPr/>
        <w:t xml:space="preserve">4. </w:t>
      </w:r>
      <w:r>
        <w:rPr>
          <w:b/>
        </w:rPr>
        <w:t>Senyawa Mangan Organik (</w:t>
      </w:r>
      <w:r>
        <w:rPr>
          <w:b/>
          <w:i/>
        </w:rPr>
        <w:t>Organomanganese</w:t>
      </w:r>
      <w:r>
        <w:rPr>
          <w:b/>
        </w:rPr>
        <w:t>):</w:t>
      </w:r>
    </w:p>
    <w:p>
      <w:pPr>
        <w:pStyle w:val="ListBullet2"/>
        <w:spacing w:after="20"/>
      </w:pPr>
      <w:r>
        <w:rPr>
          <w:b/>
        </w:rPr>
        <w:t>Metilsiklopentadienil Mangan Trikarbonil (</w:t>
      </w:r>
      <w:r>
        <w:rPr>
          <w:b/>
          <w:i/>
        </w:rPr>
        <w:t>Methylcyclopentadienyl Manganese Tricarbonyl</w:t>
      </w:r>
      <w:r>
        <w:rPr>
          <w:b/>
        </w:rPr>
        <w:t xml:space="preserve"> / MMT) [CAS 12108-13-3]:</w:t>
      </w:r>
      <w:r>
        <w:rPr/>
        <w:t xml:space="preserve"> Cairan organik berwarna kuning-jingga pekat dengan aroma khas, sangat lipofilik, mudah menguap, dan </w:t>
      </w:r>
      <w:r>
        <w:rPr>
          <w:b/>
        </w:rPr>
        <w:t>mampu menembus kulit utuh (</w:t>
      </w:r>
      <w:r>
        <w:rPr>
          <w:b/>
          <w:i/>
        </w:rPr>
        <w:t>dermal absorption</w:t>
      </w:r>
      <w:r>
        <w:rPr>
          <w:b/>
        </w:rPr>
        <w:t>)</w:t>
      </w:r>
      <w:r>
        <w:rPr/>
        <w:t>. Digunakan sebagai aditif peningkat oktan pengganti timbal (</w:t>
      </w:r>
      <w:r>
        <w:rPr>
          <w:i/>
        </w:rPr>
        <w:t>antiknock agent</w:t>
      </w:r>
      <w:r>
        <w:rPr/>
        <w:t>) dalam bensin tanpa timbal.</w:t>
      </w:r>
    </w:p>
    <w:p>
      <w:pPr>
        <w:pStyle w:val="ListBullet2"/>
        <w:spacing w:after="20"/>
      </w:pPr>
      <w:r>
        <w:rPr>
          <w:b/>
        </w:rPr>
        <w:t>Fungisida Maneb (</w:t>
      </w:r>
      <w:r>
        <w:rPr>
          <w:b/>
          <w:i/>
        </w:rPr>
        <w:t>Manganese ethylene-bis-dithiocarbamate</w:t>
      </w:r>
      <w:r>
        <w:rPr>
          <w:b/>
        </w:rPr>
        <w:t>) dan Mancozeb:</w:t>
      </w:r>
      <w:r>
        <w:rPr/>
        <w:t xml:space="preserve"> Senyawa pestisida ditiokarbamat kompleks yang mengandung mangan dan seng, digunakan luas di sektor agrikultur.</w:t>
      </w:r>
    </w:p>
    <w:p>
      <w:pPr>
        <w:pStyle w:val="Heading3"/>
      </w:pPr>
      <w:r>
        <w:t>1. Standar Batas Pajanan Udara (Exposure Limits): ACGIH vs. Permenaker No. 5 Tahun 2018</w:t>
      </w:r>
    </w:p>
    <w:p>
      <w:pPr>
        <w:spacing w:after="80"/>
      </w:pPr>
      <w:r>
        <w:rPr/>
        <w:t>Di udara lingkungan kerja industri, nilai ambang batas inhalasi mangan diatur secara sangat ketat dengan membedakan fraksi ukuran partikulat aerosol:</w:t>
      </w:r>
    </w:p>
    <w:p>
      <w:pPr>
        <w:spacing w:after="120"/>
        <w:ind w:left="170"/>
      </w:pPr>
      <w:r>
        <w:rPr>
          <w:rFonts w:ascii="Consolas" w:hAnsi="Consolas" w:eastAsia="Consolas"/>
          <w:sz w:val="13"/>
        </w:rPr>
        <w:t xml:space="preserve">                       [ STANDAR BATAS PAJANAN MANGAN DI UDARA KERJA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ACGIH TLV-TWA (EDISI 2026) ]                                              [ PERMENAKER NO. 5 TAHUN 2018 ]</w:t>
      </w:r>
      <w:r>
        <w:br/>
      </w:r>
      <w:r>
        <w:rPr>
          <w:rFonts w:ascii="Consolas" w:hAnsi="Consolas" w:eastAsia="Consolas"/>
          <w:sz w:val="13"/>
        </w:rPr>
        <w:t>• Fraksi Respirabel (Respirable Particulate):                               • NAB Mangan &amp; Senyawa Anorganik (sebagai Mn):</w:t>
      </w:r>
      <w:r>
        <w:br/>
      </w:r>
      <w:r>
        <w:rPr>
          <w:rFonts w:ascii="Consolas" w:hAnsi="Consolas" w:eastAsia="Consolas"/>
          <w:sz w:val="13"/>
        </w:rPr>
        <w:t xml:space="preserve">  0,02 mg/m³ (sebagai Mn)                                                     0,1 mg/m³ (Fraksi Inhalabel [I])</w:t>
      </w:r>
      <w:r>
        <w:br/>
      </w:r>
      <w:r>
        <w:rPr>
          <w:rFonts w:ascii="Consolas" w:hAnsi="Consolas" w:eastAsia="Consolas"/>
          <w:sz w:val="13"/>
        </w:rPr>
        <w:t>• Fraksi Inhalabel (Inhalable Particulate):                                 • Notasi: A4 (Tidak Diklasifikasikan sebagai</w:t>
      </w:r>
      <w:r>
        <w:br/>
      </w:r>
      <w:r>
        <w:rPr>
          <w:rFonts w:ascii="Consolas" w:hAnsi="Consolas" w:eastAsia="Consolas"/>
          <w:sz w:val="13"/>
        </w:rPr>
        <w:t xml:space="preserve">  0,1 mg/m³ (sebagai Mn)                                                      Karsinogen terhadap Manusia)</w:t>
      </w:r>
      <w:r>
        <w:br/>
      </w:r>
      <w:r>
        <w:rPr>
          <w:rFonts w:ascii="Consolas" w:hAnsi="Consolas" w:eastAsia="Consolas"/>
          <w:sz w:val="13"/>
        </w:rPr>
        <w:t>• Notasi: A4; TLV Basis: Gangguan SSP (CNS Impairment)                      • Mangan Siklopentadienil Trikarbonil:</w:t>
      </w:r>
      <w:r>
        <w:br/>
      </w:r>
      <w:r>
        <w:rPr>
          <w:rFonts w:ascii="Consolas" w:hAnsi="Consolas" w:eastAsia="Consolas"/>
          <w:sz w:val="13"/>
        </w:rPr>
        <w:t>• Bentuk Khusus: MMT (TWA 0,2 mg/m³, Skin) &amp; MCT (TWA 0,1 mg/m³, Skin)        NAB 0,1 mg/m³, Notasi Kulit (Skin)</w:t>
      </w:r>
    </w:p>
    <w:p>
      <w:pPr>
        <w:pStyle w:val="Heading4"/>
      </w:pPr>
      <w:r>
        <w:t>a. Nilai Ambang Batas ACGIH (Edisi 2026)</w:t>
      </w:r>
    </w:p>
    <w:p>
      <w:pPr>
        <w:pStyle w:val="ListBullet"/>
        <w:spacing w:after="20"/>
      </w:pPr>
      <w:r>
        <w:rPr>
          <w:b/>
        </w:rPr>
        <w:t>Substansi:</w:t>
      </w:r>
      <w:r>
        <w:rPr/>
        <w:t xml:space="preserve"> </w:t>
      </w:r>
      <w:r>
        <w:rPr>
          <w:i/>
        </w:rPr>
        <w:t>Manganese [CAS 7439-96-5], elemental and inorganic compounds, as Mn</w:t>
      </w:r>
      <w:r>
        <w:rPr/>
        <w:t>.</w:t>
      </w:r>
    </w:p>
    <w:p>
      <w:pPr>
        <w:pStyle w:val="ListBullet"/>
        <w:spacing w:after="20"/>
      </w:pPr>
      <w:r>
        <w:rPr>
          <w:b/>
        </w:rPr>
        <w:t>TLV-TWA Fraksi Respirabel (</w:t>
      </w:r>
      <w:r>
        <w:rPr>
          <w:b/>
          <w:i/>
        </w:rPr>
        <w:t>Respirable particulate matter</w:t>
      </w:r>
      <w:r>
        <w:rPr>
          <w:b/>
        </w:rPr>
        <w:t xml:space="preserve"> / R):</w:t>
      </w:r>
      <w:r>
        <w:rPr/>
        <w:t xml:space="preserve"> </w:t>
      </w:r>
      <w:r>
        <w:rPr>
          <w:b/>
        </w:rPr>
        <w:t>0,02 mg/m³</w:t>
      </w:r>
      <w:r>
        <w:rPr/>
        <w:t xml:space="preserve"> (setara </w:t>
      </w:r>
      <w:r>
        <w:rPr>
          <w:b/>
        </w:rPr>
        <w:t>20 µg/m³</w:t>
      </w:r>
      <w:r>
        <w:rPr/>
        <w:t>).</w:t>
      </w:r>
    </w:p>
    <w:p>
      <w:pPr>
        <w:pStyle w:val="ListBullet"/>
        <w:spacing w:after="20"/>
      </w:pPr>
      <w:r>
        <w:rPr>
          <w:b/>
        </w:rPr>
        <w:t>TLV-TWA Fraksi Inhalabel (</w:t>
      </w:r>
      <w:r>
        <w:rPr>
          <w:b/>
          <w:i/>
        </w:rPr>
        <w:t>Inhalable particulate matter</w:t>
      </w:r>
      <w:r>
        <w:rPr>
          <w:b/>
        </w:rPr>
        <w:t xml:space="preserve"> / I):</w:t>
      </w:r>
      <w:r>
        <w:rPr/>
        <w:t xml:space="preserve"> </w:t>
      </w:r>
      <w:r>
        <w:rPr>
          <w:b/>
        </w:rPr>
        <w:t>0,1 mg/m³</w:t>
      </w:r>
      <w:r>
        <w:rPr/>
        <w:t xml:space="preserve"> (setara </w:t>
      </w:r>
      <w:r>
        <w:rPr>
          <w:b/>
        </w:rPr>
        <w:t>100 µg/m³</w:t>
      </w:r>
      <w:r>
        <w:rPr/>
        <w:t>).</w:t>
      </w:r>
    </w:p>
    <w:p>
      <w:pPr>
        <w:pStyle w:val="ListBullet"/>
        <w:spacing w:after="20"/>
      </w:pPr>
      <w:r>
        <w:rPr>
          <w:i/>
        </w:rPr>
        <w:t>Notasi Resmi:</w:t>
      </w:r>
      <w:r>
        <w:rPr/>
        <w:t xml:space="preserve"> </w:t>
      </w:r>
      <w:r>
        <w:rPr>
          <w:b/>
        </w:rPr>
        <w:t>A4</w:t>
      </w:r>
      <w:r>
        <w:rPr/>
        <w:t>.</w:t>
      </w:r>
    </w:p>
    <w:p>
      <w:pPr>
        <w:pStyle w:val="ListBullet"/>
        <w:spacing w:after="20"/>
      </w:pPr>
      <w:r>
        <w:rPr>
          <w:i/>
        </w:rPr>
        <w:t>Dasar Penetapan Efek Kritis (*TLV Basis</w:t>
      </w:r>
      <w:r>
        <w:rPr/>
        <w:t xml:space="preserve">):* </w:t>
      </w:r>
      <w:r>
        <w:rPr>
          <w:b/>
        </w:rPr>
        <w:t>Kerusakan Sistem Saraf Pusat (</w:t>
      </w:r>
      <w:r>
        <w:rPr>
          <w:b/>
          <w:i/>
        </w:rPr>
        <w:t>CNS impairment</w:t>
      </w:r>
      <w:r>
        <w:rPr>
          <w:b/>
        </w:rPr>
        <w:t>)</w:t>
      </w:r>
      <w:r>
        <w:rPr/>
        <w:t>.</w:t>
      </w:r>
    </w:p>
    <w:p>
      <w:pPr>
        <w:pStyle w:val="ListBullet"/>
        <w:spacing w:after="20"/>
      </w:pPr>
      <w:r>
        <w:rPr>
          <w:i/>
        </w:rPr>
        <w:t>Senyawa Khusus Organomangan:</w:t>
      </w:r>
    </w:p>
    <w:p>
      <w:pPr>
        <w:pStyle w:val="ListBullet2"/>
        <w:spacing w:after="20"/>
      </w:pPr>
      <w:r>
        <w:rPr>
          <w:i/>
        </w:rPr>
        <w:t>Manganese cyclopentadienyl tricarbonyl (MCT)</w:t>
      </w:r>
      <w:r>
        <w:rPr/>
        <w:t xml:space="preserve"> [CAS 12079-65-1], as Mn: </w:t>
      </w:r>
      <w:r>
        <w:rPr>
          <w:b/>
        </w:rPr>
        <w:t>TLV-TWA 0,1 mg/m³</w:t>
      </w:r>
      <w:r>
        <w:rPr/>
        <w:t xml:space="preserve">, Notasi </w:t>
      </w:r>
      <w:r>
        <w:rPr>
          <w:b/>
        </w:rPr>
        <w:t>Skin</w:t>
      </w:r>
      <w:r>
        <w:rPr/>
        <w:t xml:space="preserve">, TLV Basis: Iritasi kulit &amp; </w:t>
      </w:r>
      <w:r>
        <w:rPr>
          <w:i/>
        </w:rPr>
        <w:t>CNS impairment</w:t>
      </w:r>
      <w:r>
        <w:rPr/>
        <w:t>.</w:t>
      </w:r>
    </w:p>
    <w:p>
      <w:pPr>
        <w:pStyle w:val="ListBullet2"/>
        <w:spacing w:after="20"/>
      </w:pPr>
      <w:r>
        <w:rPr>
          <w:i/>
        </w:rPr>
        <w:t>Methylcyclopentadienyl manganese tricarbonyl (MMT)</w:t>
      </w:r>
      <w:r>
        <w:rPr/>
        <w:t xml:space="preserve"> [CAS 12108-13-3], as Mn: </w:t>
      </w:r>
      <w:r>
        <w:rPr>
          <w:b/>
        </w:rPr>
        <w:t>TLV-TWA 0,2 mg/m³</w:t>
      </w:r>
      <w:r>
        <w:rPr/>
        <w:t xml:space="preserve">, Notasi </w:t>
      </w:r>
      <w:r>
        <w:rPr>
          <w:b/>
        </w:rPr>
        <w:t>Skin</w:t>
      </w:r>
      <w:r>
        <w:rPr/>
        <w:t xml:space="preserve">, TLV Basis: Iritasi kulit &amp; </w:t>
      </w:r>
      <w:r>
        <w:rPr>
          <w:i/>
        </w:rPr>
        <w:t>CNS impairment</w:t>
      </w:r>
      <w:r>
        <w:rPr/>
        <w:t>.</w:t>
      </w:r>
    </w:p>
    <w:p>
      <w:pPr>
        <w:pStyle w:val="ListBullet"/>
        <w:spacing w:after="20"/>
      </w:pPr>
      <w:r>
        <w:rPr>
          <w:i/>
        </w:rPr>
        <w:t>Perbandingan Regulasi Lain:</w:t>
      </w:r>
      <w:r>
        <w:rPr/>
        <w:t xml:space="preserve"> OSHA menetapkan batas </w:t>
      </w:r>
      <w:r>
        <w:rPr>
          <w:i/>
        </w:rPr>
        <w:t>Ceiling</w:t>
      </w:r>
      <w:r>
        <w:rPr/>
        <w:t xml:space="preserve"> (C) sebesar </w:t>
      </w:r>
      <w:r>
        <w:rPr>
          <w:b/>
        </w:rPr>
        <w:t>5 mg/m³</w:t>
      </w:r>
      <w:r>
        <w:rPr/>
        <w:t xml:space="preserve">. NIOSH menetapkan REL TWA </w:t>
      </w:r>
      <w:r>
        <w:rPr>
          <w:b/>
        </w:rPr>
        <w:t>1 mg/m³</w:t>
      </w:r>
      <w:r>
        <w:rPr/>
        <w:t xml:space="preserve"> (dan STEL </w:t>
      </w:r>
      <w:r>
        <w:rPr>
          <w:b/>
        </w:rPr>
        <w:t>3 mg/m³</w:t>
      </w:r>
      <w:r>
        <w:rPr/>
        <w:t xml:space="preserve"> untuk uap/fume).</w:t>
      </w:r>
    </w:p>
    <w:p>
      <w:pPr>
        <w:pStyle w:val="Heading4"/>
      </w:pPr>
      <w:r>
        <w:t>b. Nilai Ambang Batas Permenaker No. 5 Tahun 2018 (Lampiran 3)</w:t>
      </w:r>
    </w:p>
    <w:p>
      <w:pPr>
        <w:pStyle w:val="ListBullet"/>
        <w:spacing w:after="20"/>
      </w:pPr>
      <w:r>
        <w:rPr>
          <w:b/>
        </w:rPr>
        <w:t>Mangan dan Senyawa Anorganiknya, sebagai Mn [CAS 7439-96-5]:</w:t>
      </w:r>
    </w:p>
    <w:p>
      <w:pPr>
        <w:pStyle w:val="ListBullet2"/>
        <w:spacing w:after="20"/>
      </w:pPr>
      <w:r>
        <w:rPr>
          <w:b/>
        </w:rPr>
        <w:t>NAB (TWA 8 jam):</w:t>
      </w:r>
      <w:r>
        <w:rPr/>
        <w:t xml:space="preserve"> </w:t>
      </w:r>
      <w:r>
        <w:rPr>
          <w:b/>
        </w:rPr>
        <w:t>0,1 mg/m³</w:t>
      </w:r>
      <w:r>
        <w:rPr/>
        <w:t xml:space="preserve"> (Fraksi Inhalabel / I).</w:t>
      </w:r>
    </w:p>
    <w:p>
      <w:pPr>
        <w:pStyle w:val="ListBullet2"/>
        <w:spacing w:after="20"/>
      </w:pPr>
      <w:r>
        <w:rPr>
          <w:i/>
        </w:rPr>
        <w:t>Notasi:</w:t>
      </w:r>
      <w:r>
        <w:rPr/>
        <w:t xml:space="preserve"> </w:t>
      </w:r>
      <w:r>
        <w:rPr>
          <w:b/>
        </w:rPr>
        <w:t>A4</w:t>
      </w:r>
      <w:r>
        <w:rPr/>
        <w:t>.</w:t>
      </w:r>
    </w:p>
    <w:p>
      <w:pPr>
        <w:pStyle w:val="ListBullet"/>
        <w:spacing w:after="20"/>
      </w:pPr>
      <w:r>
        <w:rPr>
          <w:b/>
        </w:rPr>
        <w:t>Mangan Siklopentadienil Trikarbonil [CAS 12079-65-1], sebagai Mn:</w:t>
      </w:r>
    </w:p>
    <w:p>
      <w:pPr>
        <w:pStyle w:val="ListBullet2"/>
        <w:spacing w:after="20"/>
      </w:pPr>
      <w:r>
        <w:rPr>
          <w:b/>
        </w:rPr>
        <w:t>NAB (TWA 8 jam):</w:t>
      </w:r>
      <w:r>
        <w:rPr/>
        <w:t xml:space="preserve"> </w:t>
      </w:r>
      <w:r>
        <w:rPr>
          <w:b/>
        </w:rPr>
        <w:t>0,1 mg/m³</w:t>
      </w:r>
      <w:r>
        <w:rPr/>
        <w:t xml:space="preserve"> dengan notasi </w:t>
      </w:r>
      <w:r>
        <w:rPr>
          <w:b/>
        </w:rPr>
        <w:t>Kulit (</w:t>
      </w:r>
      <w:r>
        <w:rPr>
          <w:b/>
          <w:i/>
        </w:rPr>
        <w:t>Skin</w:t>
      </w:r>
      <w:r>
        <w:rPr>
          <w:b/>
        </w:rPr>
        <w:t>)</w:t>
      </w:r>
      <w:r>
        <w:rPr/>
        <w:t>.</w:t>
      </w:r>
    </w:p>
    <w:p>
      <w:pPr>
        <w:pStyle w:val="Heading4"/>
      </w:pPr>
      <w:r>
        <w:t>c. Makna Toksikologis Notasi "A4" dan Alasan Pemisahan Fraksi Respirabel</w:t>
      </w:r>
    </w:p>
    <w:p>
      <w:pPr>
        <w:pStyle w:val="ListBullet"/>
        <w:spacing w:after="20"/>
      </w:pPr>
      <w:r>
        <w:rPr>
          <w:b/>
        </w:rPr>
        <w:t>Notasi "A4" (</w:t>
      </w:r>
      <w:r>
        <w:rPr>
          <w:b/>
          <w:i/>
        </w:rPr>
        <w:t>Not Classifiable as a Human Carcinogen</w:t>
      </w:r>
      <w:r>
        <w:rPr>
          <w:b/>
        </w:rPr>
        <w:t>):</w:t>
      </w:r>
      <w:r>
        <w:rPr/>
        <w:t xml:space="preserve"> Menandakan bahwa data penelitian pada manusia maupun hewan coba saat ini tidak memadai untuk mengklasifikasikan bahan tersebut sebagai karsinogen. Mangan tidak terbukti bersifat mutagenik atau karsinogenik primer.</w:t>
      </w:r>
    </w:p>
    <w:p>
      <w:pPr>
        <w:pStyle w:val="ListBullet"/>
        <w:spacing w:after="20"/>
      </w:pPr>
      <w:r>
        <w:rPr>
          <w:b/>
        </w:rPr>
        <w:t>Rasional Pemisahan Limit Fraksi Respirabel (0,02 mg/m³):</w:t>
      </w:r>
      <w:r>
        <w:rPr/>
        <w:t xml:space="preserve"> Partikulat asap pengelasan (</w:t>
      </w:r>
      <w:r>
        <w:rPr>
          <w:i/>
        </w:rPr>
        <w:t>welding fumes</w:t>
      </w:r>
      <w:r>
        <w:rPr/>
        <w:t>) dan aerosol kondensasi mangan oksida berukuran sub-mikron (&lt; 1--2,5 µm) mampu berpenetrasi jauh ke dalam bronkiolus terminal dan alveoli, serta mampu diserap melalui ujung saraf olfaktorius langsung ke otak. Oleh karena itu, ambang batas fraksi respirabel ditetapkan 5 kali lebih rendah daripada fraksi inhalabel guna mencegah akumulasi toksik di ganglia basalis.</w:t>
      </w:r>
    </w:p>
    <w:p>
      <w:pPr>
        <w:pStyle w:val="Heading3"/>
      </w:pPr>
      <w:r>
        <w:t>2. Standar BEI/IPB Mangan dan Strategi Alternatif Biomonitoring</w:t>
      </w:r>
    </w:p>
    <w:p>
      <w:pPr>
        <w:spacing w:after="80"/>
      </w:pPr>
      <w:r>
        <w:rPr/>
        <w:t>Banyak residen gagal di meja ujian karena mengira seluruh logam berat memiliki nilai numerik BEI dari ACGIH. Pahami fakta ilmiah berikut:</w:t>
      </w:r>
    </w:p>
    <w:p>
      <w:pPr>
        <w:spacing w:after="120"/>
        <w:ind w:left="170"/>
      </w:pPr>
      <w:r>
        <w:rPr>
          <w:rFonts w:ascii="Consolas" w:hAnsi="Consolas" w:eastAsia="Consolas"/>
          <w:sz w:val="13"/>
        </w:rPr>
        <w:t xml:space="preserve">                         [ STATUS BIOMONITORING MANGAN OKUPASI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STATUS RESMI REGULASI ]                                               [ ALTERNATIF BIOMARKER &amp; KETERBATASANNYA ]</w:t>
      </w:r>
      <w:r>
        <w:br/>
      </w:r>
      <w:r>
        <w:rPr>
          <w:rFonts w:ascii="Consolas" w:hAnsi="Consolas" w:eastAsia="Consolas"/>
          <w:sz w:val="13"/>
        </w:rPr>
        <w:t>• ACGIH BEI: TIDAK ADA (NOT FEASIBLE)                                   • Mangan Darah Lengkap (Mn-B): 4–15 µg/L</w:t>
      </w:r>
      <w:r>
        <w:br/>
      </w:r>
      <w:r>
        <w:rPr>
          <w:rFonts w:ascii="Consolas" w:hAnsi="Consolas" w:eastAsia="Consolas"/>
          <w:sz w:val="13"/>
        </w:rPr>
        <w:t xml:space="preserve">  (Negative Feasibility Assessment, Oktober 2017)                         - Indeks pajanan terkini kelompok (recent group)</w:t>
      </w:r>
      <w:r>
        <w:br/>
      </w:r>
      <w:r>
        <w:rPr>
          <w:rFonts w:ascii="Consolas" w:hAnsi="Consolas" w:eastAsia="Consolas"/>
          <w:sz w:val="13"/>
        </w:rPr>
        <w:t>• Permenaker 5/2018 Lampiran 4: TIDAK ADA IPB                             - TIDAK berkorelasi dengan manganisme individu!</w:t>
      </w:r>
      <w:r>
        <w:br/>
      </w:r>
      <w:r>
        <w:rPr>
          <w:rFonts w:ascii="Consolas" w:hAnsi="Consolas" w:eastAsia="Consolas"/>
          <w:sz w:val="13"/>
        </w:rPr>
        <w:t>• Rasional: Ekskresi bilier (&gt;95%), kinetika vaskular                   • Mangan Urin (Mn-U): &lt; 1–2 µg/L (ekskresi &lt; 1%)</w:t>
      </w:r>
      <w:r>
        <w:br/>
      </w:r>
      <w:r>
        <w:rPr>
          <w:rFonts w:ascii="Consolas" w:hAnsi="Consolas" w:eastAsia="Consolas"/>
          <w:sz w:val="13"/>
        </w:rPr>
        <w:t xml:space="preserve">  singkat, dan variabilitas latar belakang diet esensial                • MRI Kepala T1 (Pallidal Index): semi-kuantitatif</w:t>
      </w:r>
    </w:p>
    <w:p>
      <w:pPr>
        <w:pStyle w:val="Heading4"/>
      </w:pPr>
      <w:r>
        <w:t>a. Ketiadaan Standar Resmi BEI (ACGIH) dan IPB (Permenaker 5/2018)</w:t>
      </w:r>
    </w:p>
    <w:p>
      <w:pPr>
        <w:pStyle w:val="ListBullet"/>
        <w:spacing w:after="20"/>
      </w:pPr>
      <w:r>
        <w:rPr>
          <w:b/>
        </w:rPr>
        <w:t>Komite BEI ACGIH secara resmi menetapkan bahwa pembuatan BEI untuk Mangan: BELUM MEMUNGKINKAN (</w:t>
      </w:r>
      <w:r>
        <w:rPr>
          <w:b/>
          <w:i/>
        </w:rPr>
        <w:t>NOT CURRENTLY FEASIBLE</w:t>
      </w:r>
      <w:r>
        <w:rPr>
          <w:b/>
        </w:rPr>
        <w:t>)</w:t>
      </w:r>
      <w:r>
        <w:rPr/>
        <w:t xml:space="preserve"> berdasarkan kajian </w:t>
      </w:r>
      <w:r>
        <w:rPr>
          <w:i/>
        </w:rPr>
        <w:t>Negative Feasibility Assessment</w:t>
      </w:r>
      <w:r>
        <w:rPr/>
        <w:t>.</w:t>
      </w:r>
    </w:p>
    <w:p>
      <w:pPr>
        <w:pStyle w:val="ListBullet"/>
        <w:spacing w:after="20"/>
      </w:pPr>
      <w:r>
        <w:rPr>
          <w:b/>
        </w:rPr>
        <w:t>Permenaker No. 5 Tahun 2018 (Lampiran 4)</w:t>
      </w:r>
      <w:r>
        <w:rPr/>
        <w:t xml:space="preserve"> juga </w:t>
      </w:r>
      <w:r>
        <w:rPr>
          <w:b/>
        </w:rPr>
        <w:t>TIDAK mencantumkan Indeks Pajanan Biologi (IPB) untuk Mangan</w:t>
      </w:r>
      <w:r>
        <w:rPr/>
        <w:t>.</w:t>
      </w:r>
    </w:p>
    <w:p>
      <w:pPr>
        <w:pStyle w:val="ListBullet"/>
        <w:spacing w:after="20"/>
      </w:pPr>
      <w:r>
        <w:rPr>
          <w:i/>
        </w:rPr>
        <w:t>Rasional Ilmiah Ketiadaan BEI:</w:t>
      </w:r>
    </w:p>
    <w:p>
      <w:pPr>
        <w:spacing w:after="40"/>
        <w:ind w:left="680" w:hanging="283"/>
      </w:pPr>
      <w:r>
        <w:rPr/>
        <w:t>1. Mangan adalah unsur jejak esensial (</w:t>
      </w:r>
      <w:r>
        <w:rPr>
          <w:i/>
        </w:rPr>
        <w:t>essential trace element</w:t>
      </w:r>
      <w:r>
        <w:rPr/>
        <w:t>) yang asupan hariannya dari makanan bervariasi luas pada populasi umum.</w:t>
      </w:r>
    </w:p>
    <w:p>
      <w:pPr>
        <w:spacing w:after="40"/>
        <w:ind w:left="680" w:hanging="283"/>
      </w:pPr>
      <w:r>
        <w:rPr/>
        <w:t xml:space="preserve">2. Rute ekskresi utama tubuh adalah </w:t>
      </w:r>
      <w:r>
        <w:rPr>
          <w:b/>
        </w:rPr>
        <w:t>hepatobilier ke feses (&gt; 95%)</w:t>
      </w:r>
      <w:r>
        <w:rPr/>
        <w:t>, bukan melalui ginjal.</w:t>
      </w:r>
    </w:p>
    <w:p>
      <w:pPr>
        <w:spacing w:after="40"/>
        <w:ind w:left="680" w:hanging="283"/>
      </w:pPr>
      <w:r>
        <w:rPr/>
        <w:t>3. Waktu paruh pembersihan mangan dari darah berlangsung sangat singkat (10–30 hari), sedangkan waktu tinggal di parenkim otak sangat panjang (berbulan-bulan hingga tahunan).</w:t>
      </w:r>
    </w:p>
    <w:p>
      <w:pPr>
        <w:spacing w:after="40"/>
        <w:ind w:left="680" w:hanging="283"/>
      </w:pPr>
      <w:r>
        <w:rPr/>
        <w:t xml:space="preserve">4. Studi epidemiologi membuktikan </w:t>
      </w:r>
      <w:r>
        <w:rPr>
          <w:b/>
        </w:rPr>
        <w:t>tidak adanya korelasi linear yang konsisten antara konsentrasi mangan dalam cairan tubuh (darah atau urin) dengan timbulnya defisit neurobehavioral atau derajat keparahan manganisme pada tingkat individu pekerja</w:t>
      </w:r>
      <w:r>
        <w:rPr/>
        <w:t>.</w:t>
      </w:r>
    </w:p>
    <w:p>
      <w:pPr>
        <w:pStyle w:val="Heading4"/>
      </w:pPr>
      <w:r>
        <w:t>b. Alternatif Matriks Biomonitoring Okupasi</w:t>
      </w:r>
    </w:p>
    <w:p>
      <w:pPr>
        <w:spacing w:after="80"/>
      </w:pPr>
      <w:r>
        <w:rPr/>
        <w:t>Meskipun tidak memiliki nilai ambang legal BEI, pemantauan biologis tetap dilakukan di industri untuk penilaian kelompok (</w:t>
      </w:r>
      <w:r>
        <w:rPr>
          <w:i/>
        </w:rPr>
        <w:t>group exposure assessment</w:t>
      </w:r>
      <w:r>
        <w:rPr/>
        <w:t>):</w:t>
      </w:r>
    </w:p>
    <w:p>
      <w:pPr>
        <w:spacing w:after="40"/>
        <w:ind w:left="340" w:hanging="283"/>
      </w:pPr>
      <w:r>
        <w:rPr/>
        <w:t xml:space="preserve">1. </w:t>
      </w:r>
      <w:r>
        <w:rPr>
          <w:b/>
        </w:rPr>
        <w:t>Mangan dalam Darah Lengkap (</w:t>
      </w:r>
      <w:r>
        <w:rPr>
          <w:b/>
          <w:i/>
        </w:rPr>
        <w:t>Whole Blood Manganese</w:t>
      </w:r>
      <w:r>
        <w:rPr>
          <w:b/>
        </w:rPr>
        <w:t xml:space="preserve"> / Mn-B):</w:t>
      </w:r>
    </w:p>
    <w:p>
      <w:pPr>
        <w:pStyle w:val="ListBullet2"/>
        <w:spacing w:after="20"/>
      </w:pPr>
      <w:r>
        <w:rPr>
          <w:i/>
        </w:rPr>
        <w:t>Nilai Rujukan Latar Belakang:</w:t>
      </w:r>
      <w:r>
        <w:rPr/>
        <w:t xml:space="preserve"> </w:t>
      </w:r>
      <w:r>
        <w:rPr>
          <w:b/>
        </w:rPr>
        <w:t>4--15 µg/L</w:t>
      </w:r>
      <w:r>
        <w:rPr/>
        <w:t xml:space="preserve"> pada populasi umum.</w:t>
      </w:r>
    </w:p>
    <w:p>
      <w:pPr>
        <w:pStyle w:val="ListBullet2"/>
        <w:spacing w:after="20"/>
      </w:pPr>
      <w:r>
        <w:rPr>
          <w:i/>
        </w:rPr>
        <w:t>Waktu Pengambilan Sampel:</w:t>
      </w:r>
      <w:r>
        <w:rPr/>
        <w:t xml:space="preserve"> Akhir gilir kerja di akhir minggu kerja (</w:t>
      </w:r>
      <w:r>
        <w:rPr>
          <w:i/>
        </w:rPr>
        <w:t>End of shift at end of workweek</w:t>
      </w:r>
      <w:r>
        <w:rPr/>
        <w:t>).</w:t>
      </w:r>
    </w:p>
    <w:p>
      <w:pPr>
        <w:pStyle w:val="ListBullet2"/>
        <w:spacing w:after="20"/>
      </w:pPr>
      <w:r>
        <w:rPr>
          <w:i/>
        </w:rPr>
        <w:t>Peran Klinis:</w:t>
      </w:r>
      <w:r>
        <w:rPr/>
        <w:t xml:space="preserve"> Menilai apakah suatu kelompok kerja (</w:t>
      </w:r>
      <w:r>
        <w:rPr>
          <w:i/>
        </w:rPr>
        <w:t>similar exposure group</w:t>
      </w:r>
      <w:r>
        <w:rPr/>
        <w:t xml:space="preserve"> / SEG) terpajan mangan secara berlebih dalam beberapa minggu terakhir.</w:t>
      </w:r>
    </w:p>
    <w:p>
      <w:pPr>
        <w:pStyle w:val="ListBullet2"/>
        <w:spacing w:after="20"/>
      </w:pPr>
      <w:r>
        <w:rPr>
          <w:i/>
        </w:rPr>
        <w:t>Keterbatasan Mutlak:</w:t>
      </w:r>
      <w:r>
        <w:rPr/>
        <w:t xml:space="preserve"> Kadar Mn-B yang normal </w:t>
      </w:r>
      <w:r>
        <w:rPr>
          <w:b/>
        </w:rPr>
        <w:t>TIDAK menyingkirkan diagnosis manganisme kronis</w:t>
      </w:r>
      <w:r>
        <w:rPr/>
        <w:t>, karena kadar darah dapat meluruh turun sementara deposit di otak tetap merusak jaringan saraf.</w:t>
      </w:r>
    </w:p>
    <w:p>
      <w:pPr>
        <w:spacing w:after="40"/>
        <w:ind w:left="340" w:hanging="283"/>
      </w:pPr>
      <w:r>
        <w:rPr/>
        <w:t xml:space="preserve">2. </w:t>
      </w:r>
      <w:r>
        <w:rPr>
          <w:b/>
        </w:rPr>
        <w:t>Mangan dalam Urin (</w:t>
      </w:r>
      <w:r>
        <w:rPr>
          <w:b/>
          <w:i/>
        </w:rPr>
        <w:t>Urinary Manganese</w:t>
      </w:r>
      <w:r>
        <w:rPr>
          <w:b/>
        </w:rPr>
        <w:t xml:space="preserve"> / Mn-U):</w:t>
      </w:r>
    </w:p>
    <w:p>
      <w:pPr>
        <w:pStyle w:val="ListBullet2"/>
        <w:spacing w:after="20"/>
      </w:pPr>
      <w:r>
        <w:rPr>
          <w:i/>
        </w:rPr>
        <w:t>Nilai Rujukan Normal:</w:t>
      </w:r>
      <w:r>
        <w:rPr/>
        <w:t xml:space="preserve"> </w:t>
      </w:r>
      <w:r>
        <w:rPr>
          <w:b/>
        </w:rPr>
        <w:t>&lt; 1--2 µg/L</w:t>
      </w:r>
      <w:r>
        <w:rPr/>
        <w:t>.</w:t>
      </w:r>
    </w:p>
    <w:p>
      <w:pPr>
        <w:pStyle w:val="ListBullet2"/>
        <w:spacing w:after="20"/>
      </w:pPr>
      <w:r>
        <w:rPr>
          <w:i/>
        </w:rPr>
        <w:t>Keterbatasan Mutlak:</w:t>
      </w:r>
      <w:r>
        <w:rPr/>
        <w:t xml:space="preserve"> Karena ekskresi ginjal kurang dari 1% dari total eliminasi tubuh, variabilitas intra-individu sangat ekstrem. Mn-U tidak direkomendasikan untuk pengambilan keputusan medis individu pekerja.</w:t>
      </w:r>
    </w:p>
    <w:p>
      <w:pPr>
        <w:spacing w:after="40"/>
        <w:ind w:left="340" w:hanging="283"/>
      </w:pPr>
      <w:r>
        <w:rPr/>
        <w:t xml:space="preserve">3. </w:t>
      </w:r>
      <w:r>
        <w:rPr>
          <w:b/>
        </w:rPr>
        <w:t>Pencitraan MRI Otak T1-Weighted (</w:t>
      </w:r>
      <w:r>
        <w:rPr>
          <w:b/>
          <w:i/>
        </w:rPr>
        <w:t>Pallidal Index</w:t>
      </w:r>
      <w:r>
        <w:rPr>
          <w:b/>
        </w:rPr>
        <w:t xml:space="preserve"> / PI):</w:t>
      </w:r>
    </w:p>
    <w:p>
      <w:pPr>
        <w:pStyle w:val="ListBullet2"/>
        <w:spacing w:after="20"/>
      </w:pPr>
      <w:r>
        <w:rPr/>
        <w:t>Karena ion Mn²⁺ bersifat paramagnetik, akumulasi mangan di globus pallidus menghasilkan hiperintensitas sinyal T1 simetris bilateral.</w:t>
      </w:r>
    </w:p>
    <w:p>
      <w:pPr>
        <w:pStyle w:val="ListBullet2"/>
        <w:spacing w:after="20"/>
      </w:pPr>
      <w:r>
        <w:rPr/>
        <w:t xml:space="preserve">Rasio semi-kuantitatif </w:t>
      </w:r>
      <w:r>
        <w:rPr>
          <w:b/>
        </w:rPr>
        <w:t>Pallidal Index (PI) &gt; 105–110</w:t>
      </w:r>
      <w:r>
        <w:rPr/>
        <w:t xml:space="preserve"> mencerminkan kelebihan beban mangan otak akibat pajanan kerja beberapa bulan terakhir.</w:t>
      </w:r>
    </w:p>
    <w:p>
      <w:pPr>
        <w:pStyle w:val="ListBullet2"/>
        <w:spacing w:after="20"/>
      </w:pPr>
      <w:r>
        <w:rPr>
          <w:i/>
        </w:rPr>
        <w:t>Peringatan:</w:t>
      </w:r>
      <w:r>
        <w:rPr/>
        <w:t xml:space="preserve"> PI berkorelasi dengan </w:t>
      </w:r>
      <w:r>
        <w:rPr>
          <w:b/>
        </w:rPr>
        <w:t>pajanan yang sedang aktif berjalan</w:t>
      </w:r>
      <w:r>
        <w:rPr/>
        <w:t>, dan sinyal hiperintensitas ini akan memudar normal kembali dalam 6–12 bulan setelah pekerja berhenti terpajan, meskipun kecacatan neurologis ekstrapiramidal menetap permanen.</w:t>
      </w:r>
    </w:p>
    <w:p>
      <w:pPr>
        <w:spacing w:after="40"/>
        <w:ind w:left="340" w:hanging="283"/>
      </w:pPr>
      <w:r>
        <w:rPr/>
        <w:t xml:space="preserve">4. </w:t>
      </w:r>
      <w:r>
        <w:rPr>
          <w:b/>
        </w:rPr>
        <w:t>Matriks Tambahan (Rambut dan Kuku):</w:t>
      </w:r>
    </w:p>
    <w:p>
      <w:pPr>
        <w:spacing w:after="80"/>
      </w:pPr>
      <w:r>
        <w:rPr/>
        <w:t xml:space="preserve">Diteliti dalam studi lingkungan, namun memiliki kelemahan kritis berupa </w:t>
      </w:r>
      <w:r>
        <w:rPr>
          <w:b/>
        </w:rPr>
        <w:t>tingginya kontaminasi eksternal (</w:t>
      </w:r>
      <w:r>
        <w:rPr>
          <w:b/>
          <w:i/>
        </w:rPr>
        <w:t>external surface contamination</w:t>
      </w:r>
      <w:r>
        <w:rPr>
          <w:b/>
        </w:rPr>
        <w:t>)</w:t>
      </w:r>
      <w:r>
        <w:rPr/>
        <w:t xml:space="preserve"> dari debu industri yang menempel pada keratin, sehingga tidak direkomendasikan untuk uji klinis okupasi rutin.</w:t>
      </w:r>
    </w:p>
    <w:p>
      <w:pPr>
        <w:pStyle w:val="Heading3"/>
      </w:pPr>
      <w:r>
        <w:t>3. Tatalaksana Medis: Intoksikasi Akut dan Kronis</w:t>
      </w:r>
    </w:p>
    <w:p>
      <w:pPr>
        <w:spacing w:after="80"/>
      </w:pPr>
      <w:r>
        <w:rPr/>
        <w:t>Penanganan kasus intoksikasi mangan menuntut pendekatan farmakologis yang rasional dan berbasis bukti toksikologi terkini:</w:t>
      </w:r>
    </w:p>
    <w:p>
      <w:pPr>
        <w:spacing w:after="120"/>
        <w:ind w:left="170"/>
      </w:pPr>
      <w:r>
        <w:rPr>
          <w:rFonts w:ascii="Consolas" w:hAnsi="Consolas" w:eastAsia="Consolas"/>
          <w:sz w:val="13"/>
        </w:rPr>
        <w:t xml:space="preserve">                                [ ALGORITMA TATALAKSANA MANGAN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INTOKSIKASI AKUT / RESUAP ]                                                 [ INTOKSIKASI KRONIS / MANGANISME ]</w:t>
      </w:r>
      <w:r>
        <w:br/>
      </w:r>
      <w:r>
        <w:rPr>
          <w:rFonts w:ascii="Consolas" w:hAnsi="Consolas" w:eastAsia="Consolas"/>
          <w:sz w:val="13"/>
        </w:rPr>
        <w:t>• Metal Fume Fever: Istirahat, antipiretik,                                   1. PENGHENTIAN PAJANAN MUTLAK (Kunci Utama)</w:t>
      </w:r>
      <w:r>
        <w:br/>
      </w:r>
      <w:r>
        <w:rPr>
          <w:rFonts w:ascii="Consolas" w:hAnsi="Consolas" w:eastAsia="Consolas"/>
          <w:sz w:val="13"/>
        </w:rPr>
        <w:t xml:space="preserve">  suportif (sembuh spontan 24–48 jam)                                         2. TERAPI KELASI:</w:t>
      </w:r>
      <w:r>
        <w:br/>
      </w:r>
      <w:r>
        <w:rPr>
          <w:rFonts w:ascii="Consolas" w:hAnsi="Consolas" w:eastAsia="Consolas"/>
          <w:sz w:val="13"/>
        </w:rPr>
        <w:t>• Pneumonitis Kimia: Oksigenasi lembap, pantau                                   • CaNa₂EDTA: Meningkatkan ekskresi urin,</w:t>
      </w:r>
      <w:r>
        <w:br/>
      </w:r>
      <w:r>
        <w:rPr>
          <w:rFonts w:ascii="Consolas" w:hAnsi="Consolas" w:eastAsia="Consolas"/>
          <w:sz w:val="13"/>
        </w:rPr>
        <w:t xml:space="preserve">  fungsi respirasi &amp; profilaksis infeksi sekunder                                  namun efektivitas saraf minimal/terbatas</w:t>
      </w:r>
      <w:r>
        <w:br/>
      </w:r>
      <w:r>
        <w:rPr>
          <w:rFonts w:ascii="Consolas" w:hAnsi="Consolas" w:eastAsia="Consolas"/>
          <w:sz w:val="13"/>
        </w:rPr>
        <w:t xml:space="preserve">  bakteri pneumonia pneumokokus                                                  • Sodium PAS: Alternatif kelasi &amp; antiinflamasi</w:t>
      </w:r>
      <w:r>
        <w:br/>
      </w:r>
      <w:r>
        <w:rPr>
          <w:rFonts w:ascii="Consolas" w:hAnsi="Consolas" w:eastAsia="Consolas"/>
          <w:sz w:val="13"/>
        </w:rPr>
        <w:t xml:space="preserve">                                                                                 • BAL KONTRAINDIKASI (Redistribusi ke otak!)</w:t>
      </w:r>
      <w:r>
        <w:br/>
      </w:r>
      <w:r>
        <w:rPr>
          <w:rFonts w:ascii="Consolas" w:hAnsi="Consolas" w:eastAsia="Consolas"/>
          <w:sz w:val="13"/>
        </w:rPr>
        <w:t xml:space="preserve">                                                                              3. TERAPI SIMTOMATIK DOPAMINERGIK:</w:t>
      </w:r>
      <w:r>
        <w:br/>
      </w:r>
      <w:r>
        <w:rPr>
          <w:rFonts w:ascii="Consolas" w:hAnsi="Consolas" w:eastAsia="Consolas"/>
          <w:sz w:val="13"/>
        </w:rPr>
        <w:t xml:space="preserve">                                                                                 • Levodopa: RESPONS BURUK / SEMENTARA!</w:t>
      </w:r>
      <w:r>
        <w:br/>
      </w:r>
      <w:r>
        <w:rPr>
          <w:rFonts w:ascii="Consolas" w:hAnsi="Consolas" w:eastAsia="Consolas"/>
          <w:sz w:val="13"/>
        </w:rPr>
        <w:t xml:space="preserve">                                                                                 • Dopamin agonis / Antikolinergik (distonia)</w:t>
      </w:r>
    </w:p>
    <w:p>
      <w:pPr>
        <w:pStyle w:val="Heading4"/>
      </w:pPr>
      <w:r>
        <w:t>a. Tatalaksana Kasus Akut</w:t>
      </w:r>
    </w:p>
    <w:p>
      <w:pPr>
        <w:spacing w:after="40"/>
        <w:ind w:left="340" w:hanging="283"/>
      </w:pPr>
      <w:r>
        <w:rPr/>
        <w:t xml:space="preserve">1. </w:t>
      </w:r>
      <w:r>
        <w:rPr>
          <w:b/>
        </w:rPr>
        <w:t>Demam Uap Logam (</w:t>
      </w:r>
      <w:r>
        <w:rPr>
          <w:b/>
          <w:i/>
        </w:rPr>
        <w:t>Metal Fume Fever</w:t>
      </w:r>
      <w:r>
        <w:rPr>
          <w:b/>
        </w:rPr>
        <w:t>):</w:t>
      </w:r>
    </w:p>
    <w:p>
      <w:pPr>
        <w:spacing w:after="80"/>
      </w:pPr>
      <w:r>
        <w:rPr/>
        <w:t xml:space="preserve">Tatalaksana bersifat </w:t>
      </w:r>
      <w:r>
        <w:rPr>
          <w:b/>
        </w:rPr>
        <w:t>suportif murni</w:t>
      </w:r>
      <w:r>
        <w:rPr/>
        <w:t>: tirah baring, hidrasi adekuat, dan pemberian analgesik-antipiretik (seperti parasetamol atau NSAID) untuk mengatasi demam dan mialgia. Gejala akan mereda tuntas secara spontan dalam kurun waktu 24 hingga 48 jam.</w:t>
      </w:r>
    </w:p>
    <w:p>
      <w:pPr>
        <w:spacing w:after="40"/>
        <w:ind w:left="340" w:hanging="283"/>
      </w:pPr>
      <w:r>
        <w:rPr/>
        <w:t xml:space="preserve">2. </w:t>
      </w:r>
      <w:r>
        <w:rPr>
          <w:b/>
        </w:rPr>
        <w:t>Pneumonitis Kimiawi Akut dan Pneumonia Mangan:</w:t>
      </w:r>
    </w:p>
    <w:p>
      <w:pPr>
        <w:spacing w:after="80"/>
      </w:pPr>
      <w:r>
        <w:rPr/>
        <w:t xml:space="preserve">Evakuasi segera dari sumber aerosol debu/fume. Berikan terapi oksigenasi lembap aliran tinggi untuk mempertahankan saturasi oksigen. Jika terjadi kerusakan parenkim paru difus atau edema paru toksik, pertimbangkan bantuan ventilasi mekanik invasif dengan PEEP. Lakukan kultur dahak dan </w:t>
      </w:r>
      <w:r>
        <w:rPr>
          <w:b/>
        </w:rPr>
        <w:t>berikan antibiotik bakterisidal segera bila dicurigai timbul infeksi sekunder bakteri pneumonia pneumokokus (</w:t>
      </w:r>
      <w:r>
        <w:rPr>
          <w:b/>
          <w:i/>
        </w:rPr>
        <w:t>Streptococcus pneumoniae</w:t>
      </w:r>
      <w:r>
        <w:rPr>
          <w:b/>
        </w:rPr>
        <w:t>)</w:t>
      </w:r>
      <w:r>
        <w:rPr/>
        <w:t>, mengingat mangan melumpuhkan fungsi fagositosis makrofag alveolar secara parah.</w:t>
      </w:r>
    </w:p>
    <w:p>
      <w:pPr>
        <w:pStyle w:val="Heading4"/>
      </w:pPr>
      <w:r>
        <w:t>b. Tatalaksana Kronis: Manganisme Okupasi</w:t>
      </w:r>
    </w:p>
    <w:p>
      <w:pPr>
        <w:spacing w:after="40"/>
        <w:ind w:left="340" w:hanging="283"/>
      </w:pPr>
      <w:r>
        <w:rPr/>
        <w:t xml:space="preserve">1. </w:t>
      </w:r>
      <w:r>
        <w:rPr>
          <w:b/>
        </w:rPr>
        <w:t>Penghentian Total Pajanan Kerja (</w:t>
      </w:r>
      <w:r>
        <w:rPr>
          <w:b/>
          <w:i/>
        </w:rPr>
        <w:t>Immediate Source Removal</w:t>
      </w:r>
      <w:r>
        <w:rPr>
          <w:b/>
        </w:rPr>
        <w:t>):</w:t>
      </w:r>
    </w:p>
    <w:p>
      <w:pPr>
        <w:spacing w:after="80"/>
      </w:pPr>
      <w:r>
        <w:rPr/>
        <w:t xml:space="preserve">Merupakan </w:t>
      </w:r>
      <w:r>
        <w:rPr>
          <w:b/>
        </w:rPr>
        <w:t>langkah terapi yang paling krusial dan mutlak (</w:t>
      </w:r>
      <w:r>
        <w:rPr>
          <w:b/>
          <w:i/>
        </w:rPr>
        <w:t>cornerstone of management</w:t>
      </w:r>
      <w:r>
        <w:rPr>
          <w:b/>
        </w:rPr>
        <w:t>)</w:t>
      </w:r>
      <w:r>
        <w:rPr/>
        <w:t>. Begitu pekerja memperlihatkan tanda awal neuropsikiatrik (</w:t>
      </w:r>
      <w:r>
        <w:rPr>
          <w:i/>
        </w:rPr>
        <w:t>Locura mangánica</w:t>
      </w:r>
      <w:r>
        <w:rPr/>
        <w:t>) atau perubahan indeks MRI, pekerja wajib segera dipindahkan secara permanen dari lingkungan berpotensi mangan.</w:t>
      </w:r>
    </w:p>
    <w:p>
      <w:pPr>
        <w:spacing w:after="40"/>
        <w:ind w:left="340" w:hanging="283"/>
      </w:pPr>
      <w:r>
        <w:rPr/>
        <w:t xml:space="preserve">2. </w:t>
      </w:r>
      <w:r>
        <w:rPr>
          <w:b/>
        </w:rPr>
        <w:t>Evaluasi Terapi Kelasi:</w:t>
      </w:r>
    </w:p>
    <w:p>
      <w:pPr>
        <w:pStyle w:val="ListBullet2"/>
        <w:spacing w:after="20"/>
      </w:pPr>
      <w:r>
        <w:rPr>
          <w:b/>
        </w:rPr>
        <w:t>Kalsium Disodium Edetat (CaNa₂EDTA):</w:t>
      </w:r>
    </w:p>
    <w:p>
      <w:pPr>
        <w:pStyle w:val="ListBullet3"/>
        <w:spacing w:after="20"/>
      </w:pPr>
      <w:r>
        <w:rPr>
          <w:i/>
        </w:rPr>
        <w:t>Mekanisme &amp; Efikasi:</w:t>
      </w:r>
      <w:r>
        <w:rPr/>
        <w:t xml:space="preserve"> Diberikan secara intravena (1 g dalam 500 mL D5% atau NaCl 0,9% dua kali sehari selama 3–5 hari per siklus). CaNa₂EDTA terbukti meningkatkan ekskresi mangan melalui filtrasi urin hingga puluhan kali lipat dan mampu menurunkan konsentrasi mangan darah.</w:t>
      </w:r>
    </w:p>
    <w:p>
      <w:pPr>
        <w:pStyle w:val="ListBullet3"/>
        <w:spacing w:after="20"/>
      </w:pPr>
      <w:r>
        <w:rPr>
          <w:i/>
        </w:rPr>
        <w:t>Keterbatasan Klinis:</w:t>
      </w:r>
      <w:r>
        <w:rPr/>
        <w:t xml:space="preserve"> Karena molekul EDTA berikatan hidrofilik dan </w:t>
      </w:r>
      <w:r>
        <w:rPr>
          <w:b/>
        </w:rPr>
        <w:t>sulit menembus sawar darah otak (BBB) secara efektif</w:t>
      </w:r>
      <w:r>
        <w:rPr/>
        <w:t xml:space="preserve">, terapi kelasi EDTA </w:t>
      </w:r>
      <w:r>
        <w:rPr>
          <w:b/>
        </w:rPr>
        <w:t>memiliki efektivitas yang sangat terbatas atau kontroversial (</w:t>
      </w:r>
      <w:r>
        <w:rPr>
          <w:b/>
          <w:i/>
        </w:rPr>
        <w:t>limited or debated neurological efficacy</w:t>
      </w:r>
      <w:r>
        <w:rPr>
          <w:b/>
        </w:rPr>
        <w:t>) dalam memulihkan gejala defisit ekstrapiramidal</w:t>
      </w:r>
      <w:r>
        <w:rPr/>
        <w:t xml:space="preserve"> yang telah menetap di globus pallidus. Terapi ini paling bermanfaat jika diberikan pada fase sangat dini.</w:t>
      </w:r>
    </w:p>
    <w:p>
      <w:pPr>
        <w:pStyle w:val="ListBullet2"/>
        <w:spacing w:after="20"/>
      </w:pPr>
      <w:r>
        <w:rPr>
          <w:b/>
        </w:rPr>
        <w:t>Natrium Para-Aminosalisilat (</w:t>
      </w:r>
      <w:r>
        <w:rPr>
          <w:b/>
          <w:i/>
        </w:rPr>
        <w:t>Sodium PAS</w:t>
      </w:r>
      <w:r>
        <w:rPr>
          <w:b/>
        </w:rPr>
        <w:t xml:space="preserve"> / Para-aminosalicylic acid):</w:t>
      </w:r>
    </w:p>
    <w:p>
      <w:pPr>
        <w:pStyle w:val="ListBullet3"/>
        <w:spacing w:after="20"/>
      </w:pPr>
      <w:r>
        <w:rPr/>
        <w:t>Uji klinis dan laporan serial kasus (khususnya studi Ky et al. dan Zheng et al.) membuktikan bahwa infus intravena Sodium PAS (6 g/hari dalam siklus bertahap) memberikan perbaikan klinis motorik dan pemulihan fungsional yang lebih superior dibanding EDTA pada pekerja manganisme berat. PAS bekerja melalui efek antiinflamasi jaringan saraf, modulasi transporter asam organik, dan pembentukan kompleks kelat larut dengan mangan.</w:t>
      </w:r>
    </w:p>
    <w:p>
      <w:pPr>
        <w:pStyle w:val="ListBullet2"/>
        <w:spacing w:after="20"/>
      </w:pPr>
      <w:r>
        <w:rPr>
          <w:b/>
        </w:rPr>
        <w:t>KONTRAINDIKASI MUTLAK: Dimerkaprol (BAL / British Anti-Lewisite):</w:t>
      </w:r>
    </w:p>
    <w:p>
      <w:pPr>
        <w:pStyle w:val="ListBullet3"/>
        <w:spacing w:after="20"/>
      </w:pPr>
      <w:r>
        <w:rPr>
          <w:b/>
        </w:rPr>
        <w:t>BAL DILARANG DIGUNAKAN PADA INTOKSIKASI MANGAN!</w:t>
      </w:r>
    </w:p>
    <w:p>
      <w:pPr>
        <w:pStyle w:val="ListBullet3"/>
        <w:spacing w:after="20"/>
      </w:pPr>
      <w:r>
        <w:rPr>
          <w:i/>
        </w:rPr>
        <w:t>Rasional Toksikologis:</w:t>
      </w:r>
      <w:r>
        <w:rPr/>
        <w:t xml:space="preserve"> BAL adalah senyawa ditiol lipofilik yang mampu membentuk kompleks larut-lipid dengan mangan. Kompleks Mn-BAL ini </w:t>
      </w:r>
      <w:r>
        <w:rPr>
          <w:b/>
        </w:rPr>
        <w:t>akan terdistribusi ulang (</w:t>
      </w:r>
      <w:r>
        <w:rPr>
          <w:b/>
          <w:i/>
        </w:rPr>
        <w:t>redistribution</w:t>
      </w:r>
      <w:r>
        <w:rPr>
          <w:b/>
        </w:rPr>
        <w:t>) melintasi sawar darah otak dan membanjiri parenkim ganglia basalis</w:t>
      </w:r>
      <w:r>
        <w:rPr/>
        <w:t xml:space="preserve">, sehingga justru </w:t>
      </w:r>
      <w:r>
        <w:rPr>
          <w:b/>
        </w:rPr>
        <w:t>meningkatkan konsentrasi mangan di otak dan memperburuk kerusakan neurologis secara fatal</w:t>
      </w:r>
      <w:r>
        <w:rPr/>
        <w:t>.</w:t>
      </w:r>
    </w:p>
    <w:p>
      <w:pPr>
        <w:pStyle w:val="Heading4"/>
      </w:pPr>
      <w:r>
        <w:t>c. Terapi Simtomatik Farmakologis: Efektivitas Buruk Levodopa</w:t>
      </w:r>
    </w:p>
    <w:p>
      <w:pPr>
        <w:ind w:left="454"/>
      </w:pPr>
      <w:r>
        <w:rPr>
          <w:b/>
          <w:i/>
        </w:rPr>
        <w:t>Peringatan Kritis Dewan Penguji (</w:t>
      </w:r>
      <w:r>
        <w:rPr>
          <w:b/>
          <w:i/>
        </w:rPr>
        <w:t>High-Yield Board Question</w:t>
      </w:r>
      <w:r>
        <w:rPr>
          <w:b/>
          <w:i/>
        </w:rPr>
        <w:t>):</w:t>
      </w:r>
    </w:p>
    <w:p>
      <w:pPr>
        <w:ind w:left="454"/>
      </w:pPr>
      <w:r>
        <w:rPr>
          <w:i/>
        </w:rPr>
        <w:t xml:space="preserve">Mengapa pasien manganisme memberikan </w:t>
      </w:r>
      <w:r>
        <w:rPr>
          <w:b/>
          <w:i/>
        </w:rPr>
        <w:t>respons yang sangat buruk, minimal, atau hanya sementara (</w:t>
      </w:r>
      <w:r>
        <w:rPr>
          <w:b/>
          <w:i/>
        </w:rPr>
        <w:t>poor, transient, or absent response</w:t>
      </w:r>
      <w:r>
        <w:rPr>
          <w:b/>
          <w:i/>
        </w:rPr>
        <w:t>) terhadap terapi Levodopa (L-Dopa)</w:t>
      </w:r>
      <w:r>
        <w:rPr>
          <w:i/>
        </w:rPr>
        <w:t>, berbeda secara kontras dengan pasien Penyakit Parkinson idiopatik?</w:t>
      </w:r>
    </w:p>
    <w:p>
      <w:pPr>
        <w:pStyle w:val="ListBullet"/>
        <w:spacing w:after="20"/>
      </w:pPr>
      <w:r>
        <w:rPr>
          <w:b/>
        </w:rPr>
        <w:t>Rasional Patofisiologi Reseptor Pascasinaps:</w:t>
      </w:r>
    </w:p>
    <w:p>
      <w:pPr>
        <w:spacing w:after="40"/>
        <w:ind w:left="680" w:hanging="283"/>
      </w:pPr>
      <w:r>
        <w:rPr/>
        <w:t xml:space="preserve">1. Pada Penyakit Parkinson idiopatik, lesi primer terjadi pada sel dopaminergik presinaps di </w:t>
      </w:r>
      <w:r>
        <w:rPr>
          <w:i/>
        </w:rPr>
        <w:t>substantia nigra pars compacta</w:t>
      </w:r>
      <w:r>
        <w:rPr/>
        <w:t xml:space="preserve"> (SNpc). Pemberian L-Dopa bekerja dengan menggantikan neurotransmiter dopamin yang hilang, dan reseptor dopaminergik pascasinaps di striatum masih utuh sehingga memberikan perbaikan klinis yang dramatis.</w:t>
      </w:r>
    </w:p>
    <w:p>
      <w:pPr>
        <w:spacing w:after="40"/>
        <w:ind w:left="680" w:hanging="283"/>
      </w:pPr>
      <w:r>
        <w:rPr/>
        <w:t xml:space="preserve">2. Sebaliknya, pada </w:t>
      </w:r>
      <w:r>
        <w:rPr>
          <w:b/>
        </w:rPr>
        <w:t>Manganisme Okupasi, kerusakan primer terletak pada struktur pascasinaps (</w:t>
      </w:r>
      <w:r>
        <w:rPr>
          <w:b/>
          <w:i/>
        </w:rPr>
        <w:t>postsynaptic striato-pallidal output pathways</w:t>
      </w:r>
      <w:r>
        <w:rPr>
          <w:b/>
        </w:rPr>
        <w:t>)</w:t>
      </w:r>
      <w:r>
        <w:rPr/>
        <w:t xml:space="preserve">, khususnya atrofi neuronal parah pada </w:t>
      </w:r>
      <w:r>
        <w:rPr>
          <w:b/>
        </w:rPr>
        <w:t>Globus Pallidus</w:t>
      </w:r>
      <w:r>
        <w:rPr/>
        <w:t xml:space="preserve"> dan putamen.</w:t>
      </w:r>
    </w:p>
    <w:p>
      <w:pPr>
        <w:spacing w:after="40"/>
        <w:ind w:left="680" w:hanging="283"/>
      </w:pPr>
      <w:r>
        <w:rPr/>
        <w:t xml:space="preserve">3. Karena </w:t>
      </w:r>
      <w:r>
        <w:rPr>
          <w:b/>
        </w:rPr>
        <w:t>populasi sel neuron target dan reseptor dopamin pascasinaps telah hancur dan mengalami apoptosis ireversibel</w:t>
      </w:r>
      <w:r>
        <w:rPr/>
        <w:t>, pemberian prekursor L-Dopa tidak memiliki situs pengikatan fungsional untuk meneruskan sinyal motorik.</w:t>
      </w:r>
    </w:p>
    <w:p>
      <w:pPr>
        <w:spacing w:after="40"/>
        <w:ind w:left="680" w:hanging="283"/>
      </w:pPr>
      <w:r>
        <w:rPr/>
        <w:t>4. Uji klinis membuktikan L-Dopa hanya memberikan perbaikan motorik ringan transien pada sebagian kecil pasien fase awal (terutama yang memiliki komponen bradikinesia), namun efektivitasnya memudar cepat dan tidak mampu menghentikan progresi distonia atau gangguan gaya berjalan (</w:t>
      </w:r>
      <w:r>
        <w:rPr>
          <w:i/>
        </w:rPr>
        <w:t>cock-walk</w:t>
      </w:r>
      <w:r>
        <w:rPr/>
        <w:t>).</w:t>
      </w:r>
    </w:p>
    <w:p>
      <w:pPr>
        <w:pStyle w:val="ListBullet"/>
        <w:spacing w:after="20"/>
      </w:pPr>
      <w:r>
        <w:rPr>
          <w:i/>
        </w:rPr>
        <w:t>Modalitas Terapi Simtomatik Tambahan:</w:t>
      </w:r>
    </w:p>
    <w:p>
      <w:pPr>
        <w:pStyle w:val="ListBullet2"/>
        <w:spacing w:after="20"/>
      </w:pPr>
      <w:r>
        <w:rPr/>
        <w:t>Agonis Dopamin (pramipexole, ropinirole) dicoba secara empirik dengan hasil bervariasi.</w:t>
      </w:r>
    </w:p>
    <w:p>
      <w:pPr>
        <w:pStyle w:val="ListBullet2"/>
        <w:spacing w:after="20"/>
      </w:pPr>
      <w:r>
        <w:rPr/>
        <w:t>Agen Antikolinergik (triheksifenidil) dapat membantu mengurangi spasme distonia otot.</w:t>
      </w:r>
    </w:p>
    <w:p>
      <w:pPr>
        <w:pStyle w:val="ListBullet2"/>
        <w:spacing w:after="20"/>
      </w:pPr>
      <w:r>
        <w:rPr/>
        <w:t>Fisioterapi intensif, latihan keseimbangan statis/dinamis untuk mencegah retropulsi jatuh ke belakang, dan terapi wicara.</w:t>
      </w:r>
    </w:p>
    <w:p>
      <w:pPr>
        <w:pStyle w:val="Heading3"/>
      </w:pPr>
      <w:r>
        <w:t>4. Tatalaksana Okupasi: Individu dan Komunitas</w:t>
      </w:r>
    </w:p>
    <w:p>
      <w:pPr>
        <w:spacing w:after="80"/>
      </w:pPr>
      <w:r>
        <w:rPr/>
        <w:t>Penerapan prinsip kedokteran okupasi komprehensif mengintegrasikan instrumen medikolegal nasional dengan hierarki pencegahan industri:</w:t>
      </w:r>
    </w:p>
    <w:p>
      <w:pPr>
        <w:spacing w:after="120"/>
        <w:ind w:left="170"/>
      </w:pPr>
      <w:r>
        <w:rPr>
          <w:rFonts w:ascii="Consolas" w:hAnsi="Consolas" w:eastAsia="Consolas"/>
          <w:sz w:val="13"/>
        </w:rPr>
        <w:t xml:space="preserve">                      [ MANAJEMEN OKUPASI KOMPREHENSIF MANGAN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[ 7 LANGKAH PERMENKES 11/2022 ]    [ KELAIKAN KERJA (FITNESS) ]      [ HIERARKI KONTROL INDUSTRI ]</w:t>
      </w:r>
      <w:r>
        <w:br/>
      </w:r>
      <w:r>
        <w:rPr>
          <w:rFonts w:ascii="Consolas" w:hAnsi="Consolas" w:eastAsia="Consolas"/>
          <w:sz w:val="13"/>
        </w:rPr>
        <w:t>1. Diagnosis Klinis (ICD-10)       • Fit: Sehat, motorik normal      • Eliminasi/Substitusi: Kawat las</w:t>
      </w:r>
      <w:r>
        <w:br/>
      </w:r>
      <w:r>
        <w:rPr>
          <w:rFonts w:ascii="Consolas" w:hAnsi="Consolas" w:eastAsia="Consolas"/>
          <w:sz w:val="13"/>
        </w:rPr>
        <w:t>2. Pajanan Lapangan (Welding/Baja) • Fit with Restriction:             rendah Mn (Low-Mn Consumables)</w:t>
      </w:r>
      <w:r>
        <w:br/>
      </w:r>
      <w:r>
        <w:rPr>
          <w:rFonts w:ascii="Consolas" w:hAnsi="Consolas" w:eastAsia="Consolas"/>
          <w:sz w:val="13"/>
        </w:rPr>
        <w:t>3. Hubungan Kausalitas Ilmiah        Kadar Mn-B tinggi tanpa gejala, • Rekayasa: LEV bertudung hisap</w:t>
      </w:r>
      <w:r>
        <w:br/>
      </w:r>
      <w:r>
        <w:rPr>
          <w:rFonts w:ascii="Consolas" w:hAnsi="Consolas" w:eastAsia="Consolas"/>
          <w:sz w:val="13"/>
        </w:rPr>
        <w:t>4. Besaran Dosis (NAB, masa kerja)   dilarang confined space/welding   pada jarak &lt; 1–2 diameter cerobong</w:t>
      </w:r>
      <w:r>
        <w:br/>
      </w:r>
      <w:r>
        <w:rPr>
          <w:rFonts w:ascii="Consolas" w:hAnsi="Consolas" w:eastAsia="Consolas"/>
          <w:sz w:val="13"/>
        </w:rPr>
        <w:t>5. Faktor Host (DEFISIENSI BESI!)  • Temporary Unfit: Locura         • APD: Respirator PAPR filter P100</w:t>
      </w:r>
      <w:r>
        <w:br/>
      </w:r>
      <w:r>
        <w:rPr>
          <w:rFonts w:ascii="Consolas" w:hAnsi="Consolas" w:eastAsia="Consolas"/>
          <w:sz w:val="13"/>
        </w:rPr>
        <w:t>6. Faktor Luar (Air sumur, maneb)    manganica fase awal (REVERSIBEL)• Surveilans: Tes motorik halus,</w:t>
      </w:r>
      <w:r>
        <w:br/>
      </w:r>
      <w:r>
        <w:rPr>
          <w:rFonts w:ascii="Consolas" w:hAnsi="Consolas" w:eastAsia="Consolas"/>
          <w:sz w:val="13"/>
        </w:rPr>
        <w:t>7. KESIMPULAN DIAGNOSIS PAK        • Unfit (Permanent): Manganisme     skrining psikiatrik, pantau FERRITIN!</w:t>
      </w:r>
      <w:r>
        <w:br/>
      </w:r>
      <w:r>
        <w:rPr>
          <w:rFonts w:ascii="Consolas" w:hAnsi="Consolas" w:eastAsia="Consolas"/>
          <w:sz w:val="13"/>
        </w:rPr>
        <w:t xml:space="preserve">                                     ekstrapiramidal ireversibel</w:t>
      </w:r>
    </w:p>
    <w:p>
      <w:pPr>
        <w:pStyle w:val="Heading4"/>
      </w:pPr>
      <w:r>
        <w:t>a. Penerapan 7 Langkah Diagnosis PAK (Permenkes No. 11 Tahun 2022)</w:t>
      </w:r>
    </w:p>
    <w:p>
      <w:pPr>
        <w:spacing w:after="80"/>
      </w:pPr>
      <w:r>
        <w:rPr/>
        <w:t>Kasus: Seorang teknisi las industri galangan kapal (</w:t>
      </w:r>
      <w:r>
        <w:rPr>
          <w:i/>
        </w:rPr>
        <w:t>shipyard welder</w:t>
      </w:r>
      <w:r>
        <w:rPr/>
        <w:t>) berusia 42 tahun dengan keluhan gemetar postural, kesulitan berjalan menapak, dan perubahan kepribadian agresif:</w:t>
      </w:r>
    </w:p>
    <w:p>
      <w:pPr>
        <w:spacing w:after="40"/>
        <w:ind w:left="340" w:hanging="283"/>
      </w:pPr>
      <w:r>
        <w:rPr/>
        <w:t xml:space="preserve">1. </w:t>
      </w:r>
      <w:r>
        <w:rPr>
          <w:b/>
        </w:rPr>
        <w:t>Langkah 1 (Diagnosis Klinis):</w:t>
      </w:r>
    </w:p>
    <w:p>
      <w:pPr>
        <w:spacing w:after="80"/>
      </w:pPr>
      <w:r>
        <w:rPr>
          <w:i/>
        </w:rPr>
        <w:t>Secondary parkinsonism due to other external agents / Manganism</w:t>
      </w:r>
      <w:r>
        <w:rPr/>
        <w:t xml:space="preserve"> (ICD-10: G21.2) atau </w:t>
      </w:r>
      <w:r>
        <w:rPr>
          <w:i/>
        </w:rPr>
        <w:t>Organic personality and behavioral disorder due to heavy metal toxicity</w:t>
      </w:r>
      <w:r>
        <w:rPr/>
        <w:t xml:space="preserve"> (ICD-10: F06.8).</w:t>
      </w:r>
    </w:p>
    <w:p>
      <w:pPr>
        <w:spacing w:after="40"/>
        <w:ind w:left="340" w:hanging="283"/>
      </w:pPr>
      <w:r>
        <w:rPr/>
        <w:t xml:space="preserve">2. </w:t>
      </w:r>
      <w:r>
        <w:rPr>
          <w:b/>
        </w:rPr>
        <w:t>Langkah 2 (Pajanan di Tempat Kerja):</w:t>
      </w:r>
    </w:p>
    <w:p>
      <w:pPr>
        <w:spacing w:after="80"/>
      </w:pPr>
      <w:r>
        <w:rPr/>
        <w:t>Pekerja melakukan pengelasan busur listrik baja berkadar mangan tinggi di dalam ruang palka kapal tertutup (</w:t>
      </w:r>
      <w:r>
        <w:rPr>
          <w:i/>
        </w:rPr>
        <w:t>confined space</w:t>
      </w:r>
      <w:r>
        <w:rPr/>
        <w:t>) selama 8 jam sehari menggunakan elektroda fluks mangan.</w:t>
      </w:r>
    </w:p>
    <w:p>
      <w:pPr>
        <w:spacing w:after="40"/>
        <w:ind w:left="340" w:hanging="283"/>
      </w:pPr>
      <w:r>
        <w:rPr/>
        <w:t xml:space="preserve">3. </w:t>
      </w:r>
      <w:r>
        <w:rPr>
          <w:b/>
        </w:rPr>
        <w:t>Langkah 3 (Hubungan Kausalitas Pajanan dan Klinis):</w:t>
      </w:r>
    </w:p>
    <w:p>
      <w:pPr>
        <w:spacing w:after="80"/>
      </w:pPr>
      <w:r>
        <w:rPr/>
        <w:t>Secara biologis dan toksikologis terbukti sahih: partikulat uap mangan respirabel menembus alveoli dan bulbus olfaktorius, terakumulasi di astrosit dan neuron globus pallidus, memicu stres oksidatif mitokondria via aktivasi PKC-δ, supresi transporter glutamat EAAT2, dan degenerasi jaras motorik ekstrapiramidal.</w:t>
      </w:r>
    </w:p>
    <w:p>
      <w:pPr>
        <w:spacing w:after="40"/>
        <w:ind w:left="340" w:hanging="283"/>
      </w:pPr>
      <w:r>
        <w:rPr/>
        <w:t xml:space="preserve">4. </w:t>
      </w:r>
      <w:r>
        <w:rPr>
          <w:b/>
        </w:rPr>
        <w:t>Langkah 4 (Besarnya Dosis Pajanan):</w:t>
      </w:r>
    </w:p>
    <w:p>
      <w:pPr>
        <w:spacing w:after="80"/>
      </w:pPr>
      <w:r>
        <w:rPr/>
        <w:t>Hasil pengukuran lingkungan kerja membuktikan konsentrasi mangan respirabel melampaui NAB Permenaker 5/2018 (&gt; 0,02 mg/m³); masa kerja &gt; 7 tahun; jam kerja lembur; ventilasi hisap lokal tidak tersedia.</w:t>
      </w:r>
    </w:p>
    <w:p>
      <w:pPr>
        <w:spacing w:after="40"/>
        <w:ind w:left="340" w:hanging="283"/>
      </w:pPr>
      <w:r>
        <w:rPr/>
        <w:t xml:space="preserve">5. </w:t>
      </w:r>
      <w:r>
        <w:rPr>
          <w:b/>
        </w:rPr>
        <w:t>Langkah 5 (Faktor Kerentanan Individu - SANGAT KRITIS):</w:t>
      </w:r>
    </w:p>
    <w:p>
      <w:pPr>
        <w:spacing w:after="80"/>
      </w:pPr>
      <w:r>
        <w:rPr/>
        <w:t xml:space="preserve">Evaluasi kadar </w:t>
      </w:r>
      <w:r>
        <w:rPr>
          <w:b/>
        </w:rPr>
        <w:t>ferritin serum dan zat besi darah</w:t>
      </w:r>
      <w:r>
        <w:rPr/>
        <w:t xml:space="preserve">. Pasien yang menderita </w:t>
      </w:r>
      <w:r>
        <w:rPr>
          <w:b/>
        </w:rPr>
        <w:t>anemia defisiensi besi mengalami upregulasi transporter DMT-1 di enterosit dan barier kapiler</w:t>
      </w:r>
      <w:r>
        <w:rPr/>
        <w:t>, sehingga menyerap mangan 3 hingga 5 kali lipat lebih masif dibanding pekerja dengan status besi normal.</w:t>
      </w:r>
    </w:p>
    <w:p>
      <w:pPr>
        <w:spacing w:after="40"/>
        <w:ind w:left="340" w:hanging="283"/>
      </w:pPr>
      <w:r>
        <w:rPr/>
        <w:t xml:space="preserve">6. </w:t>
      </w:r>
      <w:r>
        <w:rPr>
          <w:b/>
        </w:rPr>
        <w:t>Langkah 6 (Faktor di Luar Tempat Kerja):</w:t>
      </w:r>
    </w:p>
    <w:p>
      <w:pPr>
        <w:spacing w:after="80"/>
      </w:pPr>
      <w:r>
        <w:rPr/>
        <w:t>Menyingkirkan riwayat keluarga dengan Penyakit Parkinson genetik (mutasi Parkin/LRRK2), menyingkirkan paparan pestisida maneb/mancozeb di kebun pribadi, konsumsi air tanah sumur bor yang tercemar mangan alami, dan riwayat sirosis hati/kolestasis kronis.</w:t>
      </w:r>
    </w:p>
    <w:p>
      <w:pPr>
        <w:spacing w:after="40"/>
        <w:ind w:left="340" w:hanging="283"/>
      </w:pPr>
      <w:r>
        <w:rPr/>
        <w:t xml:space="preserve">7. </w:t>
      </w:r>
      <w:r>
        <w:rPr>
          <w:b/>
        </w:rPr>
        <w:t>Langkah 7 (Kesimpulan Diagnosis Okupasi):</w:t>
      </w:r>
    </w:p>
    <w:p>
      <w:pPr>
        <w:spacing w:after="80"/>
      </w:pPr>
      <w:r>
        <w:rPr/>
        <w:t xml:space="preserve">Ditegakkan secara sah sebagai </w:t>
      </w:r>
      <w:r>
        <w:rPr>
          <w:b/>
        </w:rPr>
        <w:t>Penyakit Akibat Kerja (PAK)</w:t>
      </w:r>
      <w:r>
        <w:rPr/>
        <w:t xml:space="preserve"> berdasarkan </w:t>
      </w:r>
      <w:r>
        <w:rPr>
          <w:b/>
        </w:rPr>
        <w:t>Perpres No. 7 Tahun 2019 Lampiran I.a Butir 7</w:t>
      </w:r>
      <w:r>
        <w:rPr/>
        <w:t xml:space="preserve"> ("Penyakit yang disebabkan oleh mangan atau persenyawaannya"). Berhak memperoleh pembiayaan rehabilitasi medis dan kompensasi kecacatan dari BPJS Ketenagakerjaan (JKK).</w:t>
      </w:r>
    </w:p>
    <w:p>
      <w:pPr>
        <w:pStyle w:val="Heading4"/>
      </w:pPr>
      <w:r>
        <w:t>b. Penilaian Kelaikan Kerja (Fitness for Work)</w:t>
      </w:r>
    </w:p>
    <w:p>
      <w:pPr>
        <w:pStyle w:val="ListBullet"/>
        <w:spacing w:after="20"/>
      </w:pPr>
      <w:r>
        <w:rPr>
          <w:b/>
        </w:rPr>
        <w:t>Fit (Laik Kerja Penuh):</w:t>
      </w:r>
      <w:r>
        <w:rPr/>
        <w:t xml:space="preserve"> Pekerja sehat tanpa keluhan neurologis, fungsi motorik halus dan postur normal, serta kadar mangan lingkungan terbukti terkendali di bawah NAB.</w:t>
      </w:r>
    </w:p>
    <w:p>
      <w:pPr>
        <w:pStyle w:val="ListBullet"/>
        <w:spacing w:after="20"/>
      </w:pPr>
      <w:r>
        <w:rPr>
          <w:b/>
        </w:rPr>
        <w:t>Fit with Restriction (Laik Kerja dengan Pembatasan):</w:t>
      </w:r>
    </w:p>
    <w:p>
      <w:pPr>
        <w:spacing w:after="80"/>
      </w:pPr>
      <w:r>
        <w:rPr/>
        <w:t xml:space="preserve">Pekerja tanpa gejala neurologis namun memperlihatkan kadar Mn-B yang meningkat signifikan (&gt; 20 µg/L) atau pekerja dengan </w:t>
      </w:r>
      <w:r>
        <w:rPr>
          <w:b/>
        </w:rPr>
        <w:t>anemia defisiensi besi yang belum terkoreksi</w:t>
      </w:r>
      <w:r>
        <w:rPr/>
        <w:t>.</w:t>
      </w:r>
    </w:p>
    <w:p>
      <w:pPr>
        <w:spacing w:after="80"/>
      </w:pPr>
      <w:r>
        <w:rPr>
          <w:i/>
        </w:rPr>
        <w:t>Rekomendasi:</w:t>
      </w:r>
      <w:r>
        <w:rPr/>
        <w:t xml:space="preserve"> </w:t>
      </w:r>
      <w:r>
        <w:rPr>
          <w:b/>
        </w:rPr>
        <w:t>Dilarang bekerja di ruang terbatas (</w:t>
      </w:r>
      <w:r>
        <w:rPr>
          <w:b/>
          <w:i/>
        </w:rPr>
        <w:t>confined space</w:t>
      </w:r>
      <w:r>
        <w:rPr>
          <w:b/>
        </w:rPr>
        <w:t>) atau pekerjaan pengelasan panas tinggi</w:t>
      </w:r>
      <w:r>
        <w:rPr/>
        <w:t>; dialihkan sementara ke area fabrikasi dingin berventilasi baik hingga kadar darah normal dan status zat besi terkoreksi penuh.</w:t>
      </w:r>
    </w:p>
    <w:p>
      <w:pPr>
        <w:pStyle w:val="ListBullet"/>
        <w:spacing w:after="20"/>
      </w:pPr>
      <w:r>
        <w:rPr>
          <w:b/>
        </w:rPr>
        <w:t xml:space="preserve">Temporary Unfit (Tidak Laik Sementara / </w:t>
      </w:r>
      <w:r>
        <w:rPr>
          <w:b/>
          <w:i/>
        </w:rPr>
        <w:t>Medical Removal</w:t>
      </w:r>
      <w:r>
        <w:rPr>
          <w:b/>
        </w:rPr>
        <w:t>):</w:t>
      </w:r>
    </w:p>
    <w:p>
      <w:pPr>
        <w:spacing w:after="80"/>
      </w:pPr>
      <w:r>
        <w:rPr/>
        <w:t xml:space="preserve">Pekerja yang memperlihatkan </w:t>
      </w:r>
      <w:r>
        <w:rPr>
          <w:b/>
        </w:rPr>
        <w:t>gejala prodromal neuropsikiatrik fase awal (</w:t>
      </w:r>
      <w:r>
        <w:rPr>
          <w:b/>
          <w:i/>
        </w:rPr>
        <w:t>Locura mangánica</w:t>
      </w:r>
      <w:r>
        <w:rPr>
          <w:b/>
        </w:rPr>
        <w:t>)</w:t>
      </w:r>
      <w:r>
        <w:rPr/>
        <w:t xml:space="preserve"> seperti labilitas emosi, gangguan tidur berat, asthenia, atau peningkatan indeks MRI T1 (</w:t>
      </w:r>
      <w:r>
        <w:rPr>
          <w:i/>
        </w:rPr>
        <w:t>Pallidal Index</w:t>
      </w:r>
      <w:r>
        <w:rPr/>
        <w:t xml:space="preserve"> &gt; 110).</w:t>
      </w:r>
    </w:p>
    <w:p>
      <w:pPr>
        <w:spacing w:after="80"/>
      </w:pPr>
      <w:r>
        <w:rPr>
          <w:i/>
        </w:rPr>
        <w:t>Tindakan Medis:</w:t>
      </w:r>
      <w:r>
        <w:rPr/>
        <w:t xml:space="preserve"> </w:t>
      </w:r>
      <w:r>
        <w:rPr>
          <w:b/>
        </w:rPr>
        <w:t>Wajib ditarik segera dari segala pajanan mangan</w:t>
      </w:r>
      <w:r>
        <w:rPr/>
        <w:t xml:space="preserve">. Pada fase psikiatrik awal ini, kelainan fungsi otak </w:t>
      </w:r>
      <w:r>
        <w:rPr>
          <w:b/>
        </w:rPr>
        <w:t>MASIH BERSIFAT REVERSIBEL</w:t>
      </w:r>
      <w:r>
        <w:rPr/>
        <w:t xml:space="preserve"> jika pajanan segera diputus dan diberikan terapi suportif.</w:t>
      </w:r>
    </w:p>
    <w:p>
      <w:pPr>
        <w:pStyle w:val="ListBullet"/>
        <w:spacing w:after="20"/>
      </w:pPr>
      <w:r>
        <w:rPr>
          <w:b/>
        </w:rPr>
        <w:t>Unfit (Tidak Laik Kerja Permanen):</w:t>
      </w:r>
    </w:p>
    <w:p>
      <w:pPr>
        <w:spacing w:after="80"/>
      </w:pPr>
      <w:r>
        <w:rPr/>
        <w:t xml:space="preserve">Pekerja yang telah memasuki </w:t>
      </w:r>
      <w:r>
        <w:rPr>
          <w:b/>
        </w:rPr>
        <w:t>fase lanjut neurologis ekstrapiramidal permanen</w:t>
      </w:r>
      <w:r>
        <w:rPr/>
        <w:t xml:space="preserve"> (menderita rigiditas, distonia, </w:t>
      </w:r>
      <w:r>
        <w:rPr>
          <w:i/>
        </w:rPr>
        <w:t>cock-walk gait</w:t>
      </w:r>
      <w:r>
        <w:rPr/>
        <w:t>, retropulsi, atau demensia subkortikal). Kerusakan parenkim globus pallidus bersifat ireversibel dan tidak dapat disembuhkan. Direkomendasikan untuk terminasi pajanan permanen dan penetapan persentase kecacatan anatomis/fungsi untuk santunan berkala JKK.</w:t>
      </w:r>
    </w:p>
    <w:p>
      <w:pPr>
        <w:pStyle w:val="Heading4"/>
      </w:pPr>
      <w:r>
        <w:t>c. Rekomendasi Manajemen Industri Pengelasan dan Proteksi Komunitas</w:t>
      </w:r>
    </w:p>
    <w:p>
      <w:pPr>
        <w:spacing w:after="40"/>
        <w:ind w:left="340" w:hanging="283"/>
      </w:pPr>
      <w:r>
        <w:rPr/>
        <w:t xml:space="preserve">1. </w:t>
      </w:r>
      <w:r>
        <w:rPr>
          <w:b/>
        </w:rPr>
        <w:t>Hierarki Pengendalian Bahaya Pengelasan (Permenaker 5/2018 &amp; Kepmenaker 187/1999):</w:t>
      </w:r>
    </w:p>
    <w:p>
      <w:pPr>
        <w:pStyle w:val="ListBullet2"/>
        <w:spacing w:after="20"/>
      </w:pPr>
      <w:r>
        <w:rPr>
          <w:i/>
        </w:rPr>
        <w:t>Substitusi Material:</w:t>
      </w:r>
      <w:r>
        <w:rPr/>
        <w:t xml:space="preserve"> Beralih menggunakan kawat las dan fluks elektroda dengan formulasi rendah mangan (</w:t>
      </w:r>
      <w:r>
        <w:rPr>
          <w:i/>
        </w:rPr>
        <w:t>low-manganese welding consumables</w:t>
      </w:r>
      <w:r>
        <w:rPr/>
        <w:t>) jika spesifikasi teknik metalurgi memungkinkan.</w:t>
      </w:r>
    </w:p>
    <w:p>
      <w:pPr>
        <w:pStyle w:val="ListBullet2"/>
        <w:spacing w:after="20"/>
      </w:pPr>
      <w:r>
        <w:rPr>
          <w:i/>
        </w:rPr>
        <w:t>Rekayasa Teknis (*Engineering Controls</w:t>
      </w:r>
      <w:r>
        <w:rPr/>
        <w:t xml:space="preserve">):* Pemasangan </w:t>
      </w:r>
      <w:r>
        <w:rPr>
          <w:b/>
        </w:rPr>
        <w:t>Ventilasi Pembuangan Lokal (</w:t>
      </w:r>
      <w:r>
        <w:rPr>
          <w:b/>
          <w:i/>
        </w:rPr>
        <w:t>Local Exhaust Ventilation</w:t>
      </w:r>
      <w:r>
        <w:rPr>
          <w:b/>
        </w:rPr>
        <w:t xml:space="preserve"> / LEV)</w:t>
      </w:r>
      <w:r>
        <w:rPr/>
        <w:t xml:space="preserve"> dengan tudung hisap fleksibel (</w:t>
      </w:r>
      <w:r>
        <w:rPr>
          <w:i/>
        </w:rPr>
        <w:t>extraction hoods</w:t>
      </w:r>
      <w:r>
        <w:rPr/>
        <w:t xml:space="preserve">) yang wajib diposisikan </w:t>
      </w:r>
      <w:r>
        <w:rPr>
          <w:b/>
        </w:rPr>
        <w:t>berjarak tidak lebih dari 1 hingga 2 kali diameter pipa cerobong dari titik busur las</w:t>
      </w:r>
      <w:r>
        <w:rPr/>
        <w:t>; penggunaan sistem las otomatis/robotik (</w:t>
      </w:r>
      <w:r>
        <w:rPr>
          <w:i/>
        </w:rPr>
        <w:t>automated orbital welding</w:t>
      </w:r>
      <w:r>
        <w:rPr/>
        <w:t>) untuk pengerjaan serial.</w:t>
      </w:r>
    </w:p>
    <w:p>
      <w:pPr>
        <w:pStyle w:val="ListBullet2"/>
        <w:spacing w:after="20"/>
      </w:pPr>
      <w:r>
        <w:rPr>
          <w:i/>
        </w:rPr>
        <w:t>Pengendalian Administratif:</w:t>
      </w:r>
      <w:r>
        <w:rPr/>
        <w:t xml:space="preserve"> Pembatasan durasi jam kerja mengelas, larangan mutlak melakukan pengelasan di dalam ruang terbatas (</w:t>
      </w:r>
      <w:r>
        <w:rPr>
          <w:i/>
        </w:rPr>
        <w:t>confined spaces</w:t>
      </w:r>
      <w:r>
        <w:rPr/>
        <w:t>) tanpa ventilasi mekanik tiup-hisap bersertifikasi, serta rotasi tugas pekerja.</w:t>
      </w:r>
    </w:p>
    <w:p>
      <w:pPr>
        <w:pStyle w:val="ListBullet2"/>
        <w:spacing w:after="20"/>
      </w:pPr>
      <w:r>
        <w:rPr>
          <w:i/>
        </w:rPr>
        <w:t>Alat Pelindung Diri (APD):</w:t>
      </w:r>
      <w:r>
        <w:rPr/>
        <w:t xml:space="preserve"> Helm las dengan sistem respirator pemurni udara bertenaga (</w:t>
      </w:r>
      <w:r>
        <w:rPr>
          <w:i/>
        </w:rPr>
        <w:t>Powered Air-Purifying Respirator</w:t>
      </w:r>
      <w:r>
        <w:rPr/>
        <w:t xml:space="preserve"> / PAPR) yang dilengkapi filter partikulat P100 / HEPA efisiensi tinggi terintegrasi.</w:t>
      </w:r>
    </w:p>
    <w:p>
      <w:pPr>
        <w:spacing w:after="40"/>
        <w:ind w:left="340" w:hanging="283"/>
      </w:pPr>
      <w:r>
        <w:rPr/>
        <w:t xml:space="preserve">2. </w:t>
      </w:r>
      <w:r>
        <w:rPr>
          <w:b/>
        </w:rPr>
        <w:t>Surveilans Medis Okupasi Berkala:</w:t>
      </w:r>
    </w:p>
    <w:p>
      <w:pPr>
        <w:pStyle w:val="ListBullet2"/>
        <w:spacing w:after="20"/>
      </w:pPr>
      <w:r>
        <w:rPr/>
        <w:t xml:space="preserve">Pemeriksaan pra-kerja dan berkala (minimal 1 tahun sekali): Evaluasi neurologis terfokus mencakup tes motorik halus (menulis teks kalimat untuk mendeteksi mikrografia, uji kecepatan ketukan jari / </w:t>
      </w:r>
      <w:r>
        <w:rPr>
          <w:i/>
        </w:rPr>
        <w:t>finger tapping</w:t>
      </w:r>
      <w:r>
        <w:rPr/>
        <w:t>), tes gaya berjalan jinjit dan refleks keseimbangan postural tarikan ke belakang (</w:t>
      </w:r>
      <w:r>
        <w:rPr>
          <w:i/>
        </w:rPr>
        <w:t>pull test / retropulsion</w:t>
      </w:r>
      <w:r>
        <w:rPr/>
        <w:t>), serta kuesioner neuropsikiatrik suasana hati.</w:t>
      </w:r>
    </w:p>
    <w:p>
      <w:pPr>
        <w:pStyle w:val="ListBullet2"/>
        <w:spacing w:after="20"/>
      </w:pPr>
      <w:r>
        <w:rPr>
          <w:b/>
        </w:rPr>
        <w:t>Skrining Status Zat Besi Berkala:</w:t>
      </w:r>
      <w:r>
        <w:rPr/>
        <w:t xml:space="preserve"> Pemeriksaan kadar hemoglobin dan </w:t>
      </w:r>
      <w:r>
        <w:rPr>
          <w:b/>
        </w:rPr>
        <w:t>ferritin serum</w:t>
      </w:r>
      <w:r>
        <w:rPr/>
        <w:t xml:space="preserve"> secara rutin pada seluruh tenaga kerja las dan smelter. Pekerja yang terdeteksi menderita defisiensi besi harus segera diberikan suplementasi terapi besi oral guna mencegah hiperabsorpsi toksik mangan melalui induksi transporter DMT-1.</w:t>
      </w:r>
    </w:p>
    <w:p>
      <w:pPr>
        <w:pStyle w:val="Heading3"/>
      </w:pPr>
      <w:r>
        <w:t>5. Keterangan Lain: Karsinogenisitas IARC dan Toksisitas Senyawa MMT</w:t>
      </w:r>
    </w:p>
    <w:p>
      <w:pPr>
        <w:spacing w:after="120"/>
        <w:ind w:left="170"/>
      </w:pPr>
      <w:r>
        <w:rPr>
          <w:rFonts w:ascii="Consolas" w:hAnsi="Consolas" w:eastAsia="Consolas"/>
          <w:sz w:val="13"/>
        </w:rPr>
        <w:t xml:space="preserve">                     [ KETERANGAN REGULATORIK LAINNYA: IARC &amp; MMT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EVALUASI KARSINOGENISITAS IARC &amp; ACGIH ]                            [ SENYAWA ORGANIK MMT ]</w:t>
      </w:r>
      <w:r>
        <w:br/>
      </w:r>
      <w:r>
        <w:rPr>
          <w:rFonts w:ascii="Consolas" w:hAnsi="Consolas" w:eastAsia="Consolas"/>
          <w:sz w:val="13"/>
        </w:rPr>
        <w:t>• IARC: Mangan dan senyawanya TIDAK diklasifikasikan                  • Methylcyclopentadienyl Manganese</w:t>
      </w:r>
      <w:r>
        <w:br/>
      </w:r>
      <w:r>
        <w:rPr>
          <w:rFonts w:ascii="Consolas" w:hAnsi="Consolas" w:eastAsia="Consolas"/>
          <w:sz w:val="13"/>
        </w:rPr>
        <w:t xml:space="preserve">  sebagai Karsinogen Manusia Primer (Grup 3 / Inadequate)               Tricarbonyl [CAS 12108-13-3]</w:t>
      </w:r>
      <w:r>
        <w:br/>
      </w:r>
      <w:r>
        <w:rPr>
          <w:rFonts w:ascii="Consolas" w:hAnsi="Consolas" w:eastAsia="Consolas"/>
          <w:sz w:val="13"/>
        </w:rPr>
        <w:t>• ACGIH: Kategori A4 (Not Classifiable as a Human Carcinogen)         • Antiknock additive bensin tanpa timbal</w:t>
      </w:r>
      <w:r>
        <w:br/>
      </w:r>
      <w:r>
        <w:rPr>
          <w:rFonts w:ascii="Consolas" w:hAnsi="Consolas" w:eastAsia="Consolas"/>
          <w:sz w:val="13"/>
        </w:rPr>
        <w:t>• Mekanisme: Mangan bersifat non-genotoksik, neurotoksik              • Cairan volatil, sangat lipofilik</w:t>
      </w:r>
      <w:r>
        <w:br/>
      </w:r>
      <w:r>
        <w:rPr>
          <w:rFonts w:ascii="Consolas" w:hAnsi="Consolas" w:eastAsia="Consolas"/>
          <w:sz w:val="13"/>
        </w:rPr>
        <w:t xml:space="preserve">  murni pada ganglia basalis, bukan inisiator neoplasma               • NOTASI KULIT (SKIN): Diserap masif via perkutan!</w:t>
      </w:r>
    </w:p>
    <w:p>
      <w:pPr>
        <w:pStyle w:val="Heading4"/>
      </w:pPr>
      <w:r>
        <w:t>a. Klasifikasi Karsinogenisitas IARC dan ACGIH</w:t>
      </w:r>
    </w:p>
    <w:p>
      <w:pPr>
        <w:pStyle w:val="ListBullet"/>
        <w:spacing w:after="20"/>
      </w:pPr>
      <w:r>
        <w:rPr>
          <w:b/>
        </w:rPr>
        <w:t>Badan Internasional Riset Kanker (IARC):</w:t>
      </w:r>
      <w:r>
        <w:rPr/>
        <w:t xml:space="preserve"> Mangan dan persenyawaan anorganik mangan </w:t>
      </w:r>
      <w:r>
        <w:rPr>
          <w:b/>
        </w:rPr>
        <w:t xml:space="preserve">tidak diklasifikasikan sebagai karsinogen manusia primer (IARC Grup 3 / </w:t>
      </w:r>
      <w:r>
        <w:rPr>
          <w:b/>
          <w:i/>
        </w:rPr>
        <w:t>Not classifiable as to its carcinogenicity to humans</w:t>
      </w:r>
      <w:r>
        <w:rPr>
          <w:b/>
        </w:rPr>
        <w:t>)</w:t>
      </w:r>
      <w:r>
        <w:rPr/>
        <w:t xml:space="preserve"> akibat tidak adanya bukti epidemiologi yang memadai mengenai peningkatan keganasan pada manusia.</w:t>
      </w:r>
    </w:p>
    <w:p>
      <w:pPr>
        <w:pStyle w:val="ListBullet"/>
        <w:spacing w:after="20"/>
      </w:pPr>
      <w:r>
        <w:rPr>
          <w:b/>
        </w:rPr>
        <w:t>ACGIH:</w:t>
      </w:r>
      <w:r>
        <w:rPr/>
        <w:t xml:space="preserve"> Secara konsisten menetapkan kategori </w:t>
      </w:r>
      <w:r>
        <w:rPr>
          <w:b/>
        </w:rPr>
        <w:t>A4 (</w:t>
      </w:r>
      <w:r>
        <w:rPr>
          <w:b/>
          <w:i/>
        </w:rPr>
        <w:t>Not Classifiable as a Human Carcinogen</w:t>
      </w:r>
      <w:r>
        <w:rPr>
          <w:b/>
        </w:rPr>
        <w:t>)</w:t>
      </w:r>
      <w:r>
        <w:rPr/>
        <w:t>.</w:t>
      </w:r>
    </w:p>
    <w:p>
      <w:pPr>
        <w:pStyle w:val="ListBullet"/>
        <w:spacing w:after="20"/>
      </w:pPr>
      <w:r>
        <w:rPr>
          <w:i/>
        </w:rPr>
        <w:t>Fokus Patologi:</w:t>
      </w:r>
      <w:r>
        <w:rPr/>
        <w:t xml:space="preserve"> Target biologis kritis mangan adalah sitotoksisitas neurodegeneratif selektif pada sirkuit ganglia basalis, bukan transformasi neoplastik genomik.</w:t>
      </w:r>
    </w:p>
    <w:p>
      <w:pPr>
        <w:pStyle w:val="Heading4"/>
      </w:pPr>
      <w:r>
        <w:t>b. Toksisitas Khusus Senyawa MMT (Methylcyclopentadienyl Manganese Tricarbonyl)</w:t>
      </w:r>
    </w:p>
    <w:p>
      <w:pPr>
        <w:pStyle w:val="ListBullet"/>
        <w:spacing w:after="20"/>
      </w:pPr>
      <w:r>
        <w:rPr>
          <w:b/>
        </w:rPr>
        <w:t>Penggunaan Industri:</w:t>
      </w:r>
      <w:r>
        <w:rPr/>
        <w:t xml:space="preserve"> Cairan organologam kuning yang diperkenalkan sebagai bahan aditif peningkat angka oktan (</w:t>
      </w:r>
      <w:r>
        <w:rPr>
          <w:i/>
        </w:rPr>
        <w:t>antiknock agent</w:t>
      </w:r>
      <w:r>
        <w:rPr/>
        <w:t>) dalam bahan bakar bensin (</w:t>
      </w:r>
      <w:r>
        <w:rPr>
          <w:i/>
        </w:rPr>
        <w:t>unleaded gasoline</w:t>
      </w:r>
      <w:r>
        <w:rPr/>
        <w:t>) pasca-pelarangan tetraetil timbal (TEL).</w:t>
      </w:r>
    </w:p>
    <w:p>
      <w:pPr>
        <w:pStyle w:val="ListBullet"/>
        <w:spacing w:after="20"/>
      </w:pPr>
      <w:r>
        <w:rPr>
          <w:b/>
        </w:rPr>
        <w:t>Notasi Bahaya Kulit (</w:t>
      </w:r>
      <w:r>
        <w:rPr>
          <w:b/>
          <w:i/>
        </w:rPr>
        <w:t>Skin Notation</w:t>
      </w:r>
      <w:r>
        <w:rPr>
          <w:b/>
        </w:rPr>
        <w:t>):</w:t>
      </w:r>
    </w:p>
    <w:p>
      <w:pPr>
        <w:pStyle w:val="ListBullet2"/>
        <w:spacing w:after="20"/>
      </w:pPr>
      <w:r>
        <w:rPr/>
        <w:t xml:space="preserve">ACGIH (TLV-TWA 0,2 mg/m³) dan NIOSH menetapkan </w:t>
      </w:r>
      <w:r>
        <w:rPr>
          <w:b/>
        </w:rPr>
        <w:t>notasi *Skin</w:t>
      </w:r>
      <w:r>
        <w:rPr/>
        <w:t>*.</w:t>
      </w:r>
    </w:p>
    <w:p>
      <w:pPr>
        <w:pStyle w:val="ListBullet2"/>
        <w:spacing w:after="20"/>
      </w:pPr>
      <w:r>
        <w:rPr/>
        <w:t xml:space="preserve">Karena sifat fisikokimianya yang </w:t>
      </w:r>
      <w:r>
        <w:rPr>
          <w:b/>
        </w:rPr>
        <w:t>sangat larut dalam lemak (</w:t>
      </w:r>
      <w:r>
        <w:rPr>
          <w:b/>
          <w:i/>
        </w:rPr>
        <w:t>highly lipophilic</w:t>
      </w:r>
      <w:r>
        <w:rPr>
          <w:b/>
        </w:rPr>
        <w:t>)</w:t>
      </w:r>
      <w:r>
        <w:rPr/>
        <w:t xml:space="preserve">, cairan MMT </w:t>
      </w:r>
      <w:r>
        <w:rPr>
          <w:b/>
        </w:rPr>
        <w:t>diserap secara tuntas dan cepat menembus lapisan kulit utuh (</w:t>
      </w:r>
      <w:r>
        <w:rPr>
          <w:b/>
          <w:i/>
        </w:rPr>
        <w:t>percutaneous absorption</w:t>
      </w:r>
      <w:r>
        <w:rPr>
          <w:b/>
        </w:rPr>
        <w:t>)</w:t>
      </w:r>
      <w:r>
        <w:rPr/>
        <w:t>, memicu intoksikasi sistemik tanpa harus melalui inhalasi.</w:t>
      </w:r>
    </w:p>
    <w:p>
      <w:pPr>
        <w:pStyle w:val="ListBullet"/>
        <w:spacing w:after="20"/>
      </w:pPr>
      <w:r>
        <w:rPr>
          <w:b/>
        </w:rPr>
        <w:t>Profil Toksisitas Akut MMT:</w:t>
      </w:r>
    </w:p>
    <w:p>
      <w:pPr>
        <w:pStyle w:val="ListBullet2"/>
        <w:spacing w:after="20"/>
      </w:pPr>
      <w:r>
        <w:rPr/>
        <w:t>Paparan uap atau kontak kulit MMT dosis tinggi memicu penembusan langsung ke sawar darah otak, menyebabkan depresi susunan saraf pusat akut, disorientasi berat, ataksia, konvulsi kejang, serta iritasi saluran napas kimiawi dan kerusakan tubular ginjal serta hepatotoksisitas.</w:t>
      </w:r>
    </w:p>
    <w:p>
      <w:pPr>
        <w:pStyle w:val="Heading3"/>
      </w:pPr>
      <w:r>
        <w:t>6. Clinical Pearls dan Jebakan Ujian Khusus Mangan</w:t>
      </w:r>
    </w:p>
    <w:p>
      <w:pPr>
        <w:spacing w:after="80"/>
      </w:pPr>
      <w:r>
        <w:rPr/>
        <w:t>Kuasai konsep-konsep kunci yang kerap menjadi jebakan dewan penguji spesialis kedokteran okupasi:</w:t>
      </w:r>
    </w:p>
    <w:p>
      <w:pPr>
        <w:spacing w:after="120"/>
        <w:ind w:left="170"/>
      </w:pPr>
      <w:r>
        <w:rPr>
          <w:rFonts w:ascii="Consolas" w:hAnsi="Consolas" w:eastAsia="Consolas"/>
          <w:sz w:val="13"/>
        </w:rPr>
        <w:t xml:space="preserve">                            [ JEBAKAN UJIAN DEWAN SPESIALIS MANGAN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JEBAKAN 1: STATUS BEI ACGIH ]         [ JEBAKAN 2: MRI T1 PALLIDAL ]         [ JEBAKAN 3: KONTRAINDIKASI BAL ]</w:t>
      </w:r>
      <w:r>
        <w:br/>
      </w:r>
      <w:r>
        <w:rPr>
          <w:rFonts w:ascii="Consolas" w:hAnsi="Consolas" w:eastAsia="Consolas"/>
          <w:sz w:val="13"/>
        </w:rPr>
        <w:t xml:space="preserve"> JANGAN PERNAH mengarang angka BEI!      MRI Normal TIDAK MENYINGKIRKAN         JANGAN PERNAH berikan BAL!</w:t>
      </w:r>
      <w:r>
        <w:br/>
      </w:r>
      <w:r>
        <w:rPr>
          <w:rFonts w:ascii="Consolas" w:hAnsi="Consolas" w:eastAsia="Consolas"/>
          <w:sz w:val="13"/>
        </w:rPr>
        <w:t xml:space="preserve"> ACGIH TIDAK MEMILIKI BEI Mangan         manganisme kronis! Hiperintensitas     BAL meredistribusi mangan bebas</w:t>
      </w:r>
      <w:r>
        <w:br/>
      </w:r>
      <w:r>
        <w:rPr>
          <w:rFonts w:ascii="Consolas" w:hAnsi="Consolas" w:eastAsia="Consolas"/>
          <w:sz w:val="13"/>
        </w:rPr>
        <w:t xml:space="preserve"> (Negative Feasibility Assessment        T1 memudar dalam 6–12 bulan pasca-     masuk menembus sawar darah otak</w:t>
      </w:r>
      <w:r>
        <w:br/>
      </w:r>
      <w:r>
        <w:rPr>
          <w:rFonts w:ascii="Consolas" w:hAnsi="Consolas" w:eastAsia="Consolas"/>
          <w:sz w:val="13"/>
        </w:rPr>
        <w:t xml:space="preserve"> karena ekskresi bilier feses &gt;95%).     pajanan, tapi CACAT SARAF PERMANEN.    ──► NEUROTOKSISITAS OTAK FATAL.</w:t>
      </w:r>
    </w:p>
    <w:p>
      <w:pPr>
        <w:pStyle w:val="ListBullet"/>
        <w:spacing w:after="20"/>
      </w:pPr>
      <w:r>
        <w:rPr>
          <w:b/>
        </w:rPr>
        <w:t>Clinical Pearl 1: Trias Patognomonik Pembeda Manganisme vs. Parkinson Idiopatik</w:t>
      </w:r>
    </w:p>
    <w:p>
      <w:pPr>
        <w:spacing w:after="80"/>
      </w:pPr>
      <w:r>
        <w:rPr/>
        <w:t xml:space="preserve">Hafalkan di luar kepala: Pasien manganisme datang dengan </w:t>
      </w:r>
      <w:r>
        <w:rPr>
          <w:b/>
        </w:rPr>
        <w:t xml:space="preserve">(1) Tremor intensional/postural kinetik (bukan tremor istirahat </w:t>
      </w:r>
      <w:r>
        <w:rPr>
          <w:b/>
          <w:i/>
        </w:rPr>
        <w:t>pill-rolling</w:t>
      </w:r>
      <w:r>
        <w:rPr>
          <w:b/>
        </w:rPr>
        <w:t>)</w:t>
      </w:r>
      <w:r>
        <w:rPr/>
        <w:t xml:space="preserve">, </w:t>
      </w:r>
      <w:r>
        <w:rPr>
          <w:b/>
        </w:rPr>
        <w:t xml:space="preserve">(2) Gaya berjalan </w:t>
      </w:r>
      <w:r>
        <w:rPr>
          <w:b/>
          <w:i/>
        </w:rPr>
        <w:t>Cock-Walk Gait</w:t>
      </w:r>
      <w:r>
        <w:rPr>
          <w:b/>
        </w:rPr>
        <w:t xml:space="preserve"> (berjalan kaku jinjit di atas bantalan jari kaki dengan fleksi panggul/lutut)</w:t>
      </w:r>
      <w:r>
        <w:rPr/>
        <w:t xml:space="preserve">, dan </w:t>
      </w:r>
      <w:r>
        <w:rPr>
          <w:b/>
        </w:rPr>
        <w:t>(3) Kecenderungan jatuh ke belakang (</w:t>
      </w:r>
      <w:r>
        <w:rPr>
          <w:b/>
          <w:i/>
        </w:rPr>
        <w:t>retropulsion</w:t>
      </w:r>
      <w:r>
        <w:rPr>
          <w:b/>
        </w:rPr>
        <w:t>) yang timbul sangat dini</w:t>
      </w:r>
      <w:r>
        <w:rPr/>
        <w:t xml:space="preserve">, disertai </w:t>
      </w:r>
      <w:r>
        <w:rPr>
          <w:b/>
        </w:rPr>
        <w:t>kegagalan respons terhadap terapi Levodopa</w:t>
      </w:r>
      <w:r>
        <w:rPr/>
        <w:t>.</w:t>
      </w:r>
    </w:p>
    <w:p>
      <w:pPr>
        <w:pStyle w:val="ListBullet"/>
        <w:spacing w:after="20"/>
      </w:pPr>
      <w:r>
        <w:rPr>
          <w:b/>
        </w:rPr>
        <w:t>Clinical Pearl 2: Hubungan Anemia Defisiensi Besi dengan Kerentanan Mangan</w:t>
      </w:r>
    </w:p>
    <w:p>
      <w:pPr>
        <w:spacing w:after="80"/>
      </w:pPr>
      <w:r>
        <w:rPr/>
        <w:t>Tingkat absorbsi mangan diatur secara kompetitif oleh transporter kation divalen (</w:t>
      </w:r>
      <w:r>
        <w:rPr>
          <w:b/>
        </w:rPr>
        <w:t>DMT-1</w:t>
      </w:r>
      <w:r>
        <w:rPr/>
        <w:t xml:space="preserve">). Pekerja pengelasan atau pekerja tambang yang menderita </w:t>
      </w:r>
      <w:r>
        <w:rPr>
          <w:b/>
        </w:rPr>
        <w:t>anemia defisiensi besi (ferritin serum rendah) memiliki risiko 3 hingga 5 kali lebih tinggi mengalami manganisme</w:t>
      </w:r>
      <w:r>
        <w:rPr/>
        <w:t>, karena tubuhnya secara otomatis meningkatkan jumlah reseptor DMT-1 yang ikut memompa masuk mangan secara masif ke peredaran darah.</w:t>
      </w:r>
    </w:p>
    <w:p>
      <w:pPr>
        <w:pStyle w:val="ListBullet"/>
        <w:spacing w:after="20"/>
      </w:pPr>
      <w:r>
        <w:rPr>
          <w:b/>
        </w:rPr>
        <w:t>Board Trap 1: Jebakan Nilai Standar BEI Mangan</w:t>
      </w:r>
    </w:p>
    <w:p>
      <w:pPr>
        <w:spacing w:after="80"/>
      </w:pPr>
      <w:r>
        <w:rPr/>
        <w:t xml:space="preserve">Jika penguji bertanya: </w:t>
      </w:r>
      <w:r>
        <w:rPr>
          <w:i/>
        </w:rPr>
        <w:t>"Berapa nilai baku BEI ACGIH atau IPB Permenaker 5/2018 untuk Mangan dalam urin atau darah?"</w:t>
      </w:r>
    </w:p>
    <w:p>
      <w:pPr>
        <w:spacing w:after="80"/>
      </w:pPr>
      <w:r>
        <w:rPr>
          <w:b/>
        </w:rPr>
        <w:t>Jawab dengan tegas:</w:t>
      </w:r>
      <w:r>
        <w:rPr/>
        <w:t xml:space="preserve"> </w:t>
      </w:r>
      <w:r>
        <w:rPr>
          <w:i/>
        </w:rPr>
        <w:t>"Tidak ada nilai baku BEI ACGIH maupun IPB Permenaker untuk Mangan, Dokter. Komite BEI ACGIH telah menerbitkan Negative Feasibility Assessment karena ekskresi utama mangan melalui feses bilier (&gt;95%), waktu paruh vaskularnya singkat, dan tidak adanya korelasi kuantitatif antara kadar cairan tubuh dengan tingkat keparahan manganisme individu"</w:t>
      </w:r>
      <w:r>
        <w:rPr/>
        <w:t>.</w:t>
      </w:r>
    </w:p>
    <w:p>
      <w:pPr>
        <w:pStyle w:val="ListBullet"/>
        <w:spacing w:after="20"/>
      </w:pPr>
      <w:r>
        <w:rPr>
          <w:b/>
        </w:rPr>
        <w:t>Board Trap 2: Sifat Dinamis Hiperintensitas MRI T1 Globus Pallidus</w:t>
      </w:r>
    </w:p>
    <w:p>
      <w:pPr>
        <w:spacing w:after="80"/>
      </w:pPr>
      <w:r>
        <w:rPr/>
        <w:t xml:space="preserve">Penguji menyajikan kasus: </w:t>
      </w:r>
      <w:r>
        <w:rPr>
          <w:i/>
        </w:rPr>
        <w:t>"Seorang mantan tukang las kapal pensiun 3 tahun lalu dengan keluhan rigiditas dan cock-walk gait berat. Hasil MRI kepala T1-weighted tidak menunjukkan hiperintensitas sinyal di globus pallidus. Apakah ini menyingkirkan diagnosis manganisme akibat kerja?"</w:t>
      </w:r>
    </w:p>
    <w:p>
      <w:pPr>
        <w:spacing w:after="80"/>
      </w:pPr>
      <w:r>
        <w:rPr>
          <w:b/>
        </w:rPr>
        <w:t>Jawab:</w:t>
      </w:r>
      <w:r>
        <w:rPr/>
        <w:t xml:space="preserve"> </w:t>
      </w:r>
      <w:r>
        <w:rPr>
          <w:i/>
        </w:rPr>
        <w:t>"Sama sekali tidak menyingkirkan, Dokter. Hiperintensitas sinyal T1 pada MRI hanya mencerminkan penumpukan aktif mangan paramagnetik selama pajanan masih berlangsung, dan gambaran MRI tersebut akan memudar normal dalam 6 hingga 12 bulan setelah pajanan berhenti. Kerusakan neurodegeneratif pascasinaps globus pallidus yang mendasari kecacatan motorik pasien bersifat ireversibel dan menetap seumur hidup"</w:t>
      </w:r>
      <w:r>
        <w:rPr/>
        <w:t>.</w:t>
      </w:r>
    </w:p>
    <w:p>
      <w:pPr>
        <w:pStyle w:val="ListBullet"/>
        <w:spacing w:after="20"/>
      </w:pPr>
      <w:r>
        <w:rPr>
          <w:b/>
        </w:rPr>
        <w:t>Board Trap 3: Pemilihan Obat Kelator (BAL vs. EDTA)</w:t>
      </w:r>
    </w:p>
    <w:p>
      <w:pPr>
        <w:spacing w:after="80"/>
      </w:pPr>
      <w:r>
        <w:rPr/>
        <w:t xml:space="preserve">Jika penguji bertanya: </w:t>
      </w:r>
      <w:r>
        <w:rPr>
          <w:i/>
        </w:rPr>
        <w:t>"Apakah Anda akan meresepkan BAL (Dimerkaprol) intramuskular untuk mendetoksifikasi deposit mangan di otak pasien?"</w:t>
      </w:r>
    </w:p>
    <w:p>
      <w:pPr>
        <w:spacing w:after="80"/>
      </w:pPr>
      <w:r>
        <w:rPr>
          <w:b/>
        </w:rPr>
        <w:t>Jawab:</w:t>
      </w:r>
      <w:r>
        <w:rPr/>
        <w:t xml:space="preserve"> </w:t>
      </w:r>
      <w:r>
        <w:rPr>
          <w:i/>
        </w:rPr>
        <w:t>"BAL dikontraindikasikan secara mutlak pada toksisitas mangan, Dokter. BAL bersifat sangat lipofilik dan membentuk kompleks kelat yang meredistribusikan mangan masuk menembus sawar darah otak, sehingga justru melipatgandakan akumulasi mangan di ganglia basalis dan mempercepat kematian neuronal. Agen kelasi yang dapat dipertimbangkan adalah CaNa2EDTA intravena atau Sodium PAS"</w:t>
      </w:r>
      <w:r>
        <w:rPr/>
        <w:t>.</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Manganese, elemental and inorganic compounds, as Mn</w:t>
      </w:r>
      <w:r>
        <w:rPr>
          <w:color w:val="595959"/>
          <w:sz w:val="16"/>
        </w:rPr>
        <w:t xml:space="preserve"> [CAS 7439-96-5] (TLV-TWA 0,02 mg/m³ Respirable fraction; 0,1 mg/m³ Inhalable fraction; Notasi A4; TLV Basis: CNS impairment).</w:t>
      </w:r>
    </w:p>
    <w:p>
      <w:pPr>
        <w:spacing w:after="0"/>
        <w:ind w:left="283"/>
      </w:pPr>
      <w:r>
        <w:rPr>
          <w:color w:val="595959"/>
          <w:sz w:val="16"/>
        </w:rPr>
        <w:t xml:space="preserve">Tabel Adopsi TLV: </w:t>
      </w:r>
      <w:r>
        <w:rPr>
          <w:i/>
          <w:color w:val="595959"/>
          <w:sz w:val="16"/>
        </w:rPr>
        <w:t>Manganese cyclopentadienyl tricarbonyl, as Mn</w:t>
      </w:r>
      <w:r>
        <w:rPr>
          <w:color w:val="595959"/>
          <w:sz w:val="16"/>
        </w:rPr>
        <w:t xml:space="preserve"> [CAS 12079-65-1] (TLV-TWA 0,1 mg/m³, Notasi Skin; TLV Basis: Skin irr, CNS impair).</w:t>
      </w:r>
    </w:p>
    <w:p>
      <w:pPr>
        <w:spacing w:after="0"/>
        <w:ind w:left="283"/>
      </w:pPr>
      <w:r>
        <w:rPr>
          <w:color w:val="595959"/>
          <w:sz w:val="16"/>
        </w:rPr>
        <w:t xml:space="preserve">Tabel Adopsi TLV: </w:t>
      </w:r>
      <w:r>
        <w:rPr>
          <w:i/>
          <w:color w:val="595959"/>
          <w:sz w:val="16"/>
        </w:rPr>
        <w:t>Methylcyclopentadienyl manganese tricarbonyl (MMT), as Mn</w:t>
      </w:r>
      <w:r>
        <w:rPr>
          <w:color w:val="595959"/>
          <w:sz w:val="16"/>
        </w:rPr>
        <w:t xml:space="preserve"> [CAS 12108-13-3] (TLV-TWA 0,2 mg/m³, Notasi Skin; TLV Basis: Skin irr, CNS impair).</w:t>
      </w:r>
    </w:p>
    <w:p>
      <w:pPr>
        <w:spacing w:after="0"/>
        <w:ind w:left="283"/>
      </w:pPr>
      <w:r>
        <w:rPr>
          <w:color w:val="595959"/>
          <w:sz w:val="16"/>
        </w:rPr>
        <w:t>Definisi dan Signifikansi Notasi A4 (</w:t>
      </w:r>
      <w:r>
        <w:rPr>
          <w:i/>
          <w:color w:val="595959"/>
          <w:sz w:val="16"/>
        </w:rPr>
        <w:t>Not Classifiable as a Human Carcinogen</w:t>
      </w:r>
      <w:r>
        <w:rPr>
          <w:color w:val="595959"/>
          <w:sz w:val="16"/>
        </w:rPr>
        <w:t>).</w:t>
      </w:r>
    </w:p>
    <w:p>
      <w:pPr>
        <w:spacing w:after="0"/>
        <w:ind w:left="283"/>
      </w:pPr>
      <w:r>
        <w:rPr>
          <w:i/>
          <w:color w:val="595959"/>
          <w:sz w:val="16"/>
        </w:rPr>
        <w:t>Chemical Substances and Other Issues Under Study:</w:t>
      </w:r>
      <w:r>
        <w:rPr>
          <w:color w:val="595959"/>
          <w:sz w:val="16"/>
        </w:rPr>
        <w:t xml:space="preserve"> Tabel </w:t>
      </w:r>
      <w:r>
        <w:rPr>
          <w:i/>
          <w:color w:val="595959"/>
          <w:sz w:val="16"/>
        </w:rPr>
        <w:t>Feasibility Assessments</w:t>
      </w:r>
      <w:r>
        <w:rPr>
          <w:color w:val="595959"/>
          <w:sz w:val="16"/>
        </w:rPr>
        <w:t xml:space="preserve"> — </w:t>
      </w:r>
      <w:r>
        <w:rPr>
          <w:b/>
          <w:color w:val="595959"/>
          <w:sz w:val="16"/>
        </w:rPr>
        <w:t>Manganese (October 2017: Developing a BEI is not currently feasible owing to inadequate scientific data)</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Mangan dan persenyawaan anorganik sebagai Mn (NAB 0,1 mg/m³ Inhalabel; Notasi A4).</w:t>
      </w:r>
    </w:p>
    <w:p>
      <w:pPr>
        <w:spacing w:after="0"/>
        <w:ind w:left="283"/>
      </w:pPr>
      <w:r>
        <w:rPr>
          <w:color w:val="595959"/>
          <w:sz w:val="16"/>
        </w:rPr>
        <w:t>Lampiran 3: Mangan siklopentadienil trikarbonil sebagai Mn (NAB 0,1 mg/m³, Notasi Kulit).</w:t>
      </w:r>
    </w:p>
    <w:p>
      <w:pPr>
        <w:spacing w:after="0"/>
        <w:ind w:left="283"/>
      </w:pPr>
      <w:r>
        <w:rPr>
          <w:color w:val="595959"/>
          <w:sz w:val="16"/>
        </w:rPr>
        <w:t>Lampiran 4: Tabel Indeks Pajanan Biologi (IPB) — Mangan tidak tercantum dalam daftar IPB.</w:t>
      </w:r>
    </w:p>
    <w:p>
      <w:pPr>
        <w:spacing w:after="0"/>
        <w:ind w:left="283"/>
      </w:pPr>
      <w:r>
        <w:rPr>
          <w:b/>
          <w:color w:val="595959"/>
          <w:sz w:val="16"/>
        </w:rPr>
        <w:t>Caito, S. &amp; Aschner, M. (2015).</w:t>
      </w:r>
      <w:r>
        <w:rPr>
          <w:color w:val="595959"/>
          <w:sz w:val="16"/>
        </w:rPr>
        <w:t xml:space="preserve"> </w:t>
      </w:r>
      <w:r>
        <w:rPr>
          <w:i/>
          <w:color w:val="595959"/>
          <w:sz w:val="16"/>
        </w:rPr>
        <w:t>Neurotoxicity of Metals.</w:t>
      </w:r>
      <w:r>
        <w:rPr>
          <w:color w:val="595959"/>
          <w:sz w:val="16"/>
        </w:rPr>
        <w:t xml:space="preserve"> Handbook of Clinical Neurology, Vol. 131:</w:t>
      </w:r>
    </w:p>
    <w:p>
      <w:pPr>
        <w:spacing w:after="0"/>
        <w:ind w:left="283"/>
      </w:pPr>
      <w:r>
        <w:rPr>
          <w:color w:val="595959"/>
          <w:sz w:val="16"/>
        </w:rPr>
        <w:t xml:space="preserve">Manganisme vs Penyakit Parkinson: Ketiadaan Badan Lewy, Integritas Neuron Dopaminergik SNpc Presinaps; </w:t>
      </w:r>
      <w:r>
        <w:rPr>
          <w:b/>
          <w:color w:val="595959"/>
          <w:sz w:val="16"/>
        </w:rPr>
        <w:t>Respons Buruk / Tidak Berespons terhadap Terapi Levodopa (</w:t>
      </w:r>
      <w:r>
        <w:rPr>
          <w:b/>
          <w:i/>
          <w:color w:val="595959"/>
          <w:sz w:val="16"/>
        </w:rPr>
        <w:t>Patients with manganism respond poorly to levodopa</w:t>
      </w:r>
      <w:r>
        <w:rPr>
          <w:b/>
          <w:color w:val="595959"/>
          <w:sz w:val="16"/>
        </w:rPr>
        <w:t>)</w:t>
      </w:r>
      <w:r>
        <w:rPr>
          <w:color w:val="595959"/>
          <w:sz w:val="16"/>
        </w:rPr>
        <w:t xml:space="preserve">; Karakteristik Pola Berjalan </w:t>
      </w:r>
      <w:r>
        <w:rPr>
          <w:i/>
          <w:color w:val="595959"/>
          <w:sz w:val="16"/>
        </w:rPr>
        <w:t>Cock-Walk Gait</w:t>
      </w:r>
      <w:r>
        <w:rPr>
          <w:color w:val="595959"/>
          <w:sz w:val="16"/>
        </w:rPr>
        <w:t xml:space="preserve"> dan Retropulsi Postural Dini; Nilai Pencitraan MRI T1 </w:t>
      </w:r>
      <w:r>
        <w:rPr>
          <w:i/>
          <w:color w:val="595959"/>
          <w:sz w:val="16"/>
        </w:rPr>
        <w:t>Pallidal Index</w:t>
      </w:r>
      <w:r>
        <w:rPr>
          <w:color w:val="595959"/>
          <w:sz w:val="16"/>
        </w:rPr>
        <w:t xml:space="preserve"> (PI); serta Efektivitas Terapi Kelasi EDTA dan Keterbatasannya.</w:t>
      </w:r>
    </w:p>
    <w:p>
      <w:pPr>
        <w:spacing w:after="0"/>
        <w:ind w:left="283"/>
      </w:pPr>
      <w:r>
        <w:rPr>
          <w:b/>
          <w:color w:val="595959"/>
          <w:sz w:val="16"/>
        </w:rPr>
        <w:t>Carey N. Pope &amp; Jing Liu (2020).</w:t>
      </w:r>
      <w:r>
        <w:rPr>
          <w:color w:val="595959"/>
          <w:sz w:val="16"/>
        </w:rPr>
        <w:t xml:space="preserve"> </w:t>
      </w:r>
      <w:r>
        <w:rPr>
          <w:i/>
          <w:color w:val="595959"/>
          <w:sz w:val="16"/>
        </w:rPr>
        <w:t>An Introduction to Interdisciplinary Toxicology (Academic Press)</w:t>
      </w:r>
      <w:r>
        <w:rPr>
          <w:color w:val="595959"/>
          <w:sz w:val="16"/>
        </w:rPr>
        <w:t>:</w:t>
      </w:r>
    </w:p>
    <w:p>
      <w:pPr>
        <w:spacing w:after="0"/>
        <w:ind w:left="283"/>
      </w:pPr>
      <w:r>
        <w:rPr>
          <w:color w:val="595959"/>
          <w:sz w:val="16"/>
        </w:rPr>
        <w:t>Bab 7: Patofisiologi Manganisme — Transporter Kation DMT-1; Translokasi Olfaktorius Nasal Langsung ke Otak; Stres Oksidatif Mitokondria via Jalur Sitokrom C, Kaspase-3, dan Pembelahan Proteolitik Enzim PKC-δ; Disfungsi Astrosit Menekan Transporter Glutamat EAAT2 via Represor Ying Yang 1 (YY1) Memicu Eksitotoksisitas; serta Peran Pajanan Pengelasan (</w:t>
      </w:r>
      <w:r>
        <w:rPr>
          <w:i/>
          <w:color w:val="595959"/>
          <w:sz w:val="16"/>
        </w:rPr>
        <w:t>Welding</w:t>
      </w:r>
      <w:r>
        <w:rPr>
          <w:color w:val="595959"/>
          <w:sz w:val="16"/>
        </w:rPr>
        <w:t>) dan Fungisida Maneb/Mancozeb.</w:t>
      </w:r>
    </w:p>
    <w:p>
      <w:pPr>
        <w:spacing w:after="0"/>
        <w:ind w:left="283"/>
      </w:pPr>
      <w:r>
        <w:rPr>
          <w:color w:val="595959"/>
          <w:sz w:val="16"/>
        </w:rPr>
        <w:t>Bab 20: Toksisitas Bahan Aditif Bensin MMT dan Manganisme Okupasi.</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4 &amp; Bab 15: Sifat Logam Esensial dengan Kurva U-Shaped; Rute Eliminasi Primer Melalui Jalur Ekskresi Hepatobilier ke Feses (&gt;95%); Sifat Kimiawi Ditiol BAL dan Bahaya Redistribusi Logam; serta Terapi Kelasi Menggunakan Garam Kalsium EDTA.</w:t>
      </w:r>
    </w:p>
    <w:p>
      <w:pPr>
        <w:spacing w:after="0"/>
        <w:ind w:left="283"/>
      </w:pPr>
      <w:r>
        <w:rPr>
          <w:b/>
          <w:color w:val="595959"/>
          <w:sz w:val="16"/>
        </w:rPr>
        <w:t>Dib Chakif &amp; Julien Furrer (2026).</w:t>
      </w:r>
      <w:r>
        <w:rPr>
          <w:color w:val="595959"/>
          <w:sz w:val="16"/>
        </w:rPr>
        <w:t xml:space="preserve"> </w:t>
      </w:r>
      <w:r>
        <w:rPr>
          <w:i/>
          <w:color w:val="595959"/>
          <w:sz w:val="16"/>
        </w:rPr>
        <w:t>Heavy Metal Toxicity in Clinical and Environmental Health.</w:t>
      </w:r>
      <w:r>
        <w:rPr>
          <w:color w:val="595959"/>
          <w:sz w:val="16"/>
        </w:rPr>
        <w:t xml:space="preserve"> International Journal of Molecular Sciences, 27(3): 03513:</w:t>
      </w:r>
    </w:p>
    <w:p>
      <w:pPr>
        <w:spacing w:after="0"/>
        <w:ind w:left="283"/>
      </w:pPr>
      <w:r>
        <w:rPr>
          <w:color w:val="595959"/>
          <w:sz w:val="16"/>
        </w:rPr>
        <w:t>Prinsip Penanganan Logam Berat: Penghentian Pajanan sebagai Modalitas Utama Terapi (</w:t>
      </w:r>
      <w:r>
        <w:rPr>
          <w:i/>
          <w:color w:val="595959"/>
          <w:sz w:val="16"/>
        </w:rPr>
        <w:t>Source removal</w:t>
      </w:r>
      <w:r>
        <w:rPr>
          <w:color w:val="595959"/>
          <w:sz w:val="16"/>
        </w:rPr>
        <w:t>); Tinjauan Farmakologi Thiol Chelators dan Polycarboxylates; serta Non-Linearitas Biomarker dengan Luaran Klinis Saraf.</w:t>
      </w:r>
    </w:p>
    <w:p>
      <w:pPr>
        <w:spacing w:after="0"/>
        <w:ind w:left="283"/>
      </w:pPr>
      <w:r>
        <w:rPr>
          <w:b/>
          <w:color w:val="595959"/>
          <w:sz w:val="16"/>
        </w:rPr>
        <w:t>NIOSH Pocket Guide to Chemical Hazards (2005-149):</w:t>
      </w:r>
    </w:p>
    <w:p>
      <w:pPr>
        <w:spacing w:after="0"/>
        <w:ind w:left="283"/>
      </w:pPr>
      <w:r>
        <w:rPr>
          <w:i/>
          <w:color w:val="595959"/>
          <w:sz w:val="16"/>
        </w:rPr>
        <w:t>Manganese compounds and fume (as Mn)</w:t>
      </w:r>
      <w:r>
        <w:rPr>
          <w:color w:val="595959"/>
          <w:sz w:val="16"/>
        </w:rPr>
        <w:t xml:space="preserve"> [CAS 7439-96-5]: NIOSH REL TWA 1 mg/m³, STEL 3 mg/m³; OSHA PEL C 5 mg/m³; Gejala Parkinsonisme, Asthenia, Metal Fume Fever.</w:t>
      </w:r>
    </w:p>
    <w:p>
      <w:pPr>
        <w:spacing w:after="0"/>
        <w:ind w:left="283"/>
      </w:pPr>
      <w:r>
        <w:rPr>
          <w:i/>
          <w:color w:val="595959"/>
          <w:sz w:val="16"/>
        </w:rPr>
        <w:t>Methyl cyclopentadienyl manganese tricarbonyl (as Mn)</w:t>
      </w:r>
      <w:r>
        <w:rPr>
          <w:color w:val="595959"/>
          <w:sz w:val="16"/>
        </w:rPr>
        <w:t xml:space="preserve"> [CAS 12108-13-3]: NIOSH REL TWA 0,2 mg/m³ [skin]; OSHA PEL C 5 mg/m³.</w:t>
      </w:r>
    </w:p>
    <w:p>
      <w:pPr>
        <w:spacing w:after="0"/>
        <w:ind w:left="283"/>
      </w:pPr>
      <w:r>
        <w:rPr>
          <w:b/>
          <w:color w:val="595959"/>
          <w:sz w:val="16"/>
        </w:rPr>
        <w:t>Peraturan Presiden Republik Indonesia Nomor 7 Tahun 2019 &amp; Permenkes No. 11 Tahun 2022:</w:t>
      </w:r>
    </w:p>
    <w:p>
      <w:pPr>
        <w:spacing w:after="0"/>
        <w:ind w:left="283"/>
      </w:pPr>
      <w:r>
        <w:rPr>
          <w:color w:val="595959"/>
          <w:sz w:val="16"/>
        </w:rPr>
        <w:t>Lampiran I.a Butir 7 Perpres 7/2019 (Penyakit Akibat Kerja Faktor Kimia Mangan dan Persenyawaannya); Serta Implementasi Tujuh Langkah Penegakan Diagnosis PAK Permenkes 11/2022.</w:t>
      </w:r>
    </w:p>
    <w:p>
      <w:r>
        <w:br w:type="page"/>
      </w:r>
    </w:p>
    <w:p>
      <w:pPr>
        <w:pStyle w:val="Heading2"/>
      </w:pPr>
      <w:bookmarkStart w:id="126" w:name="toc_026"/>
      <w:r>
        <w:t>3A.7 Nikel (Ni)</w:t>
      </w:r>
      <w:bookmarkEnd w:id="126"/>
    </w:p>
    <w:p>
      <w:pPr>
        <w:pStyle w:val="Heading3"/>
      </w:pPr>
      <w:r>
        <w:t>1. Sifat Fisik-Kimia dan Klasifikasi Spesiasi Nikel</w:t>
      </w:r>
    </w:p>
    <w:p>
      <w:pPr>
        <w:spacing w:after="80"/>
      </w:pPr>
      <w:r>
        <w:rPr/>
        <w:t xml:space="preserve">Nikel (nomor atom 28, berat atom 58,69 g/mol) terletak pada Golongan VIIIB (kelompok logam transisi besi-kobalt-nikel) periode 4 tabel periodik. Dalam toksikologi industri dan kimia analitik okupasi, nikel diklasifikasikan ke dalam </w:t>
      </w:r>
      <w:r>
        <w:rPr>
          <w:b/>
        </w:rPr>
        <w:t>empat fraksi spesiasi utama</w:t>
      </w:r>
      <w:r>
        <w:rPr/>
        <w:t xml:space="preserve"> berdasarkan kelarutan dan reaktivitas kimianya:</w:t>
      </w:r>
    </w:p>
    <w:p>
      <w:pPr>
        <w:spacing w:after="120"/>
        <w:ind w:left="170"/>
      </w:pPr>
      <w:r>
        <w:rPr>
          <w:rFonts w:ascii="Consolas" w:hAnsi="Consolas" w:eastAsia="Consolas"/>
          <w:sz w:val="13"/>
        </w:rPr>
        <w:t xml:space="preserve">                                [ KLASIFIKASI SPESIASI NIKEL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                           ▼</w:t>
      </w:r>
      <w:r>
        <w:br/>
      </w:r>
      <w:r>
        <w:rPr>
          <w:rFonts w:ascii="Consolas" w:hAnsi="Consolas" w:eastAsia="Consolas"/>
          <w:sz w:val="13"/>
        </w:rPr>
        <w:t>[ NIKEL ELEMENTAL / LOGAM ]  [ SENYAWA LARUT AIR ]   [ SENYAWA TIDAK LARUT AIR ]   [ NIKEL KARBONIL ]</w:t>
      </w:r>
      <w:r>
        <w:br/>
      </w:r>
      <w:r>
        <w:rPr>
          <w:rFonts w:ascii="Consolas" w:hAnsi="Consolas" w:eastAsia="Consolas"/>
          <w:sz w:val="13"/>
        </w:rPr>
        <w:t>• Logam murni Ni⁰ &amp; aloi     • NiSO₄ (Nikel Sulfat)  • Ni₃S₂ (Nikel Subsulfida)    • Ni(CO)₄ (Tetrakarbonil)</w:t>
      </w:r>
      <w:r>
        <w:br/>
      </w:r>
      <w:r>
        <w:rPr>
          <w:rFonts w:ascii="Consolas" w:hAnsi="Consolas" w:eastAsia="Consolas"/>
          <w:sz w:val="13"/>
        </w:rPr>
        <w:t>• Sangat tahan korosi        • NiCl₂ (Nikel Klorida) • NiS (Nikel Monosulfida)     • Cairan volatil, sangat</w:t>
      </w:r>
      <w:r>
        <w:br/>
      </w:r>
      <w:r>
        <w:rPr>
          <w:rFonts w:ascii="Consolas" w:hAnsi="Consolas" w:eastAsia="Consolas"/>
          <w:sz w:val="13"/>
        </w:rPr>
        <w:t>• Titik leleh: 1453°C        • Ni(NO₃)₂ (Nitrat)     • NiO (Oksida hijau &amp; hitam)    lipofilik (Mond Process)</w:t>
      </w:r>
      <w:r>
        <w:br/>
      </w:r>
      <w:r>
        <w:rPr>
          <w:rFonts w:ascii="Consolas" w:hAnsi="Consolas" w:eastAsia="Consolas"/>
          <w:sz w:val="13"/>
        </w:rPr>
        <w:t>• Melarut lambat oleh asam   • Bioavailabilitas darah • Biopersistensi paru lama    • Titik didih: 43°C (110°F)</w:t>
      </w:r>
      <w:r>
        <w:br/>
      </w:r>
      <w:r>
        <w:rPr>
          <w:rFonts w:ascii="Consolas" w:hAnsi="Consolas" w:eastAsia="Consolas"/>
          <w:sz w:val="13"/>
        </w:rPr>
        <w:t xml:space="preserve">  organik keringat (keringat)  tinggi, urin cepat     • Fagositosis intraseluler    • Paling toksik akut!</w:t>
      </w:r>
    </w:p>
    <w:p>
      <w:pPr>
        <w:spacing w:after="40"/>
        <w:ind w:left="340" w:hanging="283"/>
      </w:pPr>
      <w:r>
        <w:rPr/>
        <w:t xml:space="preserve">1. </w:t>
      </w:r>
      <w:r>
        <w:rPr>
          <w:b/>
        </w:rPr>
        <w:t>Nikel Logam / Elemental [Ni(0)] [CAS 7440-02-0]:</w:t>
      </w:r>
    </w:p>
    <w:p>
      <w:pPr>
        <w:pStyle w:val="ListBullet2"/>
        <w:spacing w:after="20"/>
      </w:pPr>
      <w:r>
        <w:rPr>
          <w:i/>
        </w:rPr>
        <w:t>Karakteristik:</w:t>
      </w:r>
      <w:r>
        <w:rPr/>
        <w:t xml:space="preserve"> Logam transisi padat berwarna putih keperakan (</w:t>
      </w:r>
      <w:r>
        <w:rPr>
          <w:i/>
        </w:rPr>
        <w:t>lustrous, silvery solid</w:t>
      </w:r>
      <w:r>
        <w:rPr/>
        <w:t>), memiliki sifat feromagnetik, konduktor panas dan listrik yang baik, tahan terhadap oksidasi dan korosi basa, titik leleh 1453°C (2831°F), dan titik didih 2837°C (5139°F).</w:t>
      </w:r>
    </w:p>
    <w:p>
      <w:pPr>
        <w:pStyle w:val="ListBullet2"/>
        <w:spacing w:after="20"/>
      </w:pPr>
      <w:r>
        <w:rPr>
          <w:i/>
        </w:rPr>
        <w:t>Reaktivitas Biologis:</w:t>
      </w:r>
      <w:r>
        <w:rPr/>
        <w:t xml:space="preserve"> Bentuk bongkahan padatnya bersifat lembam (</w:t>
      </w:r>
      <w:r>
        <w:rPr>
          <w:i/>
        </w:rPr>
        <w:t>inert</w:t>
      </w:r>
      <w:r>
        <w:rPr/>
        <w:t xml:space="preserve">), namun bubuk partikulat halus nikel logam dapat larut secara lambat oleh asam lemah atau cairan biologis. Pada kontak kulit yang lama, nikel logam </w:t>
      </w:r>
      <w:r>
        <w:rPr>
          <w:b/>
        </w:rPr>
        <w:t>terlarut secara perlahan oleh asam organik dan natrium klorida di dalam keringat (</w:t>
      </w:r>
      <w:r>
        <w:rPr>
          <w:b/>
          <w:i/>
        </w:rPr>
        <w:t>sweat dissolution</w:t>
      </w:r>
      <w:r>
        <w:rPr>
          <w:b/>
        </w:rPr>
        <w:t>)</w:t>
      </w:r>
      <w:r>
        <w:rPr/>
        <w:t>, melepaskan kation divalen (</w:t>
      </w:r>
      <w:r>
        <w:rPr>
          <w:b/>
        </w:rPr>
        <w:t>Ni²⁺</w:t>
      </w:r>
      <w:r>
        <w:rPr/>
        <w:t>) yang memicu sensitisasi imun.</w:t>
      </w:r>
    </w:p>
    <w:p>
      <w:pPr>
        <w:spacing w:after="40"/>
        <w:ind w:left="340" w:hanging="283"/>
      </w:pPr>
      <w:r>
        <w:rPr/>
        <w:t xml:space="preserve">2. </w:t>
      </w:r>
      <w:r>
        <w:rPr>
          <w:b/>
        </w:rPr>
        <w:t>Senyawa Nikel Larut Air (</w:t>
      </w:r>
      <w:r>
        <w:rPr>
          <w:b/>
          <w:i/>
        </w:rPr>
        <w:t>Soluble Nickel Compounds</w:t>
      </w:r>
      <w:r>
        <w:rPr>
          <w:b/>
        </w:rPr>
        <w:t>):</w:t>
      </w:r>
    </w:p>
    <w:p>
      <w:pPr>
        <w:pStyle w:val="ListBullet2"/>
        <w:spacing w:after="20"/>
      </w:pPr>
      <w:r>
        <w:rPr>
          <w:i/>
        </w:rPr>
        <w:t>Senyawa Kunci:</w:t>
      </w:r>
      <w:r>
        <w:rPr/>
        <w:t xml:space="preserve"> </w:t>
      </w:r>
      <w:r>
        <w:rPr>
          <w:b/>
        </w:rPr>
        <w:t>Nikel sulfat heksahidrat [NiSO₄· 6H₂O]</w:t>
      </w:r>
      <w:r>
        <w:rPr/>
        <w:t xml:space="preserve">, </w:t>
      </w:r>
      <w:r>
        <w:rPr>
          <w:b/>
        </w:rPr>
        <w:t>nikel klorida [NiCl₂· 6H₂O]</w:t>
      </w:r>
      <w:r>
        <w:rPr/>
        <w:t xml:space="preserve">, dan </w:t>
      </w:r>
      <w:r>
        <w:rPr>
          <w:b/>
        </w:rPr>
        <w:t>nikel nitrat [Ni(NO₃)₂]</w:t>
      </w:r>
      <w:r>
        <w:rPr/>
        <w:t>.</w:t>
      </w:r>
    </w:p>
    <w:p>
      <w:pPr>
        <w:pStyle w:val="ListBullet2"/>
        <w:spacing w:after="20"/>
      </w:pPr>
      <w:r>
        <w:rPr>
          <w:i/>
        </w:rPr>
        <w:t>Karakteristik:</w:t>
      </w:r>
      <w:r>
        <w:rPr/>
        <w:t xml:space="preserve"> Sangat mudah larut dalam air (</w:t>
      </w:r>
      <w:r>
        <w:rPr>
          <w:i/>
        </w:rPr>
        <w:t>water-soluble</w:t>
      </w:r>
      <w:r>
        <w:rPr/>
        <w:t>), membentuk ion heksahidrat kehijauan [Ni(H₂O)₆²⁺] di dalam larutan netral.</w:t>
      </w:r>
    </w:p>
    <w:p>
      <w:pPr>
        <w:pStyle w:val="ListBullet2"/>
        <w:spacing w:after="20"/>
      </w:pPr>
      <w:r>
        <w:rPr>
          <w:i/>
        </w:rPr>
        <w:t>Perilaku Biologis:</w:t>
      </w:r>
      <w:r>
        <w:rPr/>
        <w:t xml:space="preserve"> Diabsorpsi secara cepat melintasi mukosa saluran cerna dan epitel kapiler paru ke dalam darah vaskular, serta </w:t>
      </w:r>
      <w:r>
        <w:rPr>
          <w:b/>
        </w:rPr>
        <w:t>dieliminasi secara cepat melalui ekskresi filtrasi ginjal ke dalam urin</w:t>
      </w:r>
      <w:r>
        <w:rPr/>
        <w:t>.</w:t>
      </w:r>
    </w:p>
    <w:p>
      <w:pPr>
        <w:spacing w:after="40"/>
        <w:ind w:left="340" w:hanging="283"/>
      </w:pPr>
      <w:r>
        <w:rPr/>
        <w:t xml:space="preserve">3. </w:t>
      </w:r>
      <w:r>
        <w:rPr>
          <w:b/>
        </w:rPr>
        <w:t>Senyawa Nikel Tidak Larut Air (</w:t>
      </w:r>
      <w:r>
        <w:rPr>
          <w:b/>
          <w:i/>
        </w:rPr>
        <w:t>Insoluble / Sparingly Soluble Nickel Compounds</w:t>
      </w:r>
      <w:r>
        <w:rPr>
          <w:b/>
        </w:rPr>
        <w:t>):</w:t>
      </w:r>
    </w:p>
    <w:p>
      <w:pPr>
        <w:pStyle w:val="ListBullet2"/>
        <w:spacing w:after="20"/>
      </w:pPr>
      <w:r>
        <w:rPr>
          <w:i/>
        </w:rPr>
        <w:t>Senyawa Kunci:</w:t>
      </w:r>
    </w:p>
    <w:p>
      <w:pPr>
        <w:pStyle w:val="ListBullet3"/>
        <w:spacing w:after="20"/>
      </w:pPr>
      <w:r>
        <w:rPr>
          <w:i/>
        </w:rPr>
        <w:t>Fraksi Sulfida:</w:t>
      </w:r>
      <w:r>
        <w:rPr/>
        <w:t xml:space="preserve"> </w:t>
      </w:r>
      <w:r>
        <w:rPr>
          <w:b/>
        </w:rPr>
        <w:t>Nikel subsulfida [α-Ni₃S₂]</w:t>
      </w:r>
      <w:r>
        <w:rPr/>
        <w:t>, nikel monosulfida kristalin [NiS], dan heksasulfida.</w:t>
      </w:r>
    </w:p>
    <w:p>
      <w:pPr>
        <w:pStyle w:val="ListBullet3"/>
        <w:spacing w:after="20"/>
      </w:pPr>
      <w:r>
        <w:rPr>
          <w:i/>
        </w:rPr>
        <w:t>Fraksi Oksida &amp; Hidroksida:</w:t>
      </w:r>
      <w:r>
        <w:rPr/>
        <w:t xml:space="preserve"> </w:t>
      </w:r>
      <w:r>
        <w:rPr>
          <w:b/>
        </w:rPr>
        <w:t>Nikel monoksida [NiO]</w:t>
      </w:r>
      <w:r>
        <w:rPr/>
        <w:t xml:space="preserve"> (baik varian </w:t>
      </w:r>
      <w:r>
        <w:rPr>
          <w:i/>
        </w:rPr>
        <w:t>green nickel oxide</w:t>
      </w:r>
      <w:r>
        <w:rPr/>
        <w:t xml:space="preserve"> yang dikalsinasi suhu tinggi maupun </w:t>
      </w:r>
      <w:r>
        <w:rPr>
          <w:i/>
        </w:rPr>
        <w:t>black nickel oxide</w:t>
      </w:r>
      <w:r>
        <w:rPr/>
        <w:t xml:space="preserve"> yang lebih reaktif), nikel trioksida [Ni₂O₃], nikel hidroksida [Ni(OH)₂], dan nikel karbonat.</w:t>
      </w:r>
    </w:p>
    <w:p>
      <w:pPr>
        <w:pStyle w:val="ListBullet2"/>
        <w:spacing w:after="20"/>
      </w:pPr>
      <w:r>
        <w:rPr>
          <w:i/>
        </w:rPr>
        <w:t>Karakteristik:</w:t>
      </w:r>
      <w:r>
        <w:rPr/>
        <w:t xml:space="preserve"> Praktis tidak larut dalam air dan tahan terhadap degradasi ekstraseluler.</w:t>
      </w:r>
    </w:p>
    <w:p>
      <w:pPr>
        <w:pStyle w:val="ListBullet2"/>
        <w:spacing w:after="20"/>
      </w:pPr>
      <w:r>
        <w:rPr>
          <w:i/>
        </w:rPr>
        <w:t>Perilaku Biologis (Sangat Penting):</w:t>
      </w:r>
      <w:r>
        <w:rPr/>
        <w:t xml:space="preserve"> Partikulat kristalin senyawa ini memiliki </w:t>
      </w:r>
      <w:r>
        <w:rPr>
          <w:b/>
        </w:rPr>
        <w:t>biopersistensi pulmonal yang sangat tinggi (</w:t>
      </w:r>
      <w:r>
        <w:rPr>
          <w:b/>
          <w:i/>
        </w:rPr>
        <w:t>high lung biopersistence</w:t>
      </w:r>
      <w:r>
        <w:rPr>
          <w:b/>
        </w:rPr>
        <w:t>)</w:t>
      </w:r>
      <w:r>
        <w:rPr/>
        <w:t xml:space="preserve">. Partikel tidak langsung larut di mukus, melainkan </w:t>
      </w:r>
      <w:r>
        <w:rPr>
          <w:b/>
        </w:rPr>
        <w:t>diinternalisasi ke dalam sel-sel epitel bronkial dan makrofag melalui proses endositosis/fagositosis aktif</w:t>
      </w:r>
      <w:r>
        <w:rPr/>
        <w:t xml:space="preserve">. Di dalam vakuola lisosom intraseluler, partikel mengalami pelarutan lambat secara berkesinambungan, bertindak sebagai </w:t>
      </w:r>
      <w:r>
        <w:rPr>
          <w:b/>
        </w:rPr>
        <w:t>depot intraseluler pelepasan ion Ni²⁺ pekat langsung ke inti sel (nukleus)</w:t>
      </w:r>
      <w:r>
        <w:rPr/>
        <w:t>.</w:t>
      </w:r>
    </w:p>
    <w:p>
      <w:pPr>
        <w:spacing w:after="40"/>
        <w:ind w:left="340" w:hanging="283"/>
      </w:pPr>
      <w:r>
        <w:rPr/>
        <w:t xml:space="preserve">4. </w:t>
      </w:r>
      <w:r>
        <w:rPr>
          <w:b/>
        </w:rPr>
        <w:t>Nikel Karbonil / Tetrakarbonil Nikel [Ni(CO)₄] [CAS 13463-39-3]:</w:t>
      </w:r>
    </w:p>
    <w:p>
      <w:pPr>
        <w:pStyle w:val="ListBullet2"/>
        <w:spacing w:after="20"/>
      </w:pPr>
      <w:r>
        <w:rPr>
          <w:i/>
        </w:rPr>
        <w:t>Karakteristik Fisik-Kimia:</w:t>
      </w:r>
      <w:r>
        <w:rPr/>
        <w:t xml:space="preserve"> Senyawa organologam kompleks koordinasi berbentuk </w:t>
      </w:r>
      <w:r>
        <w:rPr>
          <w:b/>
        </w:rPr>
        <w:t>cairan tak berwarna hingga kekuningan yang sangat mudah menguap (</w:t>
      </w:r>
      <w:r>
        <w:rPr>
          <w:b/>
          <w:i/>
        </w:rPr>
        <w:t>volatile liquid</w:t>
      </w:r>
      <w:r>
        <w:rPr>
          <w:b/>
        </w:rPr>
        <w:t>)</w:t>
      </w:r>
      <w:r>
        <w:rPr/>
        <w:t xml:space="preserve"> dengan aroma khas seperti jamur/musty odor.</w:t>
      </w:r>
    </w:p>
    <w:p>
      <w:pPr>
        <w:pStyle w:val="ListBullet2"/>
        <w:spacing w:after="20"/>
      </w:pPr>
      <w:r>
        <w:rPr>
          <w:i/>
        </w:rPr>
        <w:t>Konstanta Fisik:</w:t>
      </w:r>
      <w:r>
        <w:rPr/>
        <w:t xml:space="preserve"> Memiliki berat molekul 170,7 g/mol, titik didih sangat rendah yaitu </w:t>
      </w:r>
      <w:r>
        <w:rPr>
          <w:b/>
        </w:rPr>
        <w:t>43°C (110°F)</w:t>
      </w:r>
      <w:r>
        <w:rPr/>
        <w:t xml:space="preserve"> (sehingga menjadi gas pada suhu ruang hangat), titik beku -25°C, dan tekanan uap yang luar biasa tinggi (</w:t>
      </w:r>
      <w:r>
        <w:rPr>
          <w:b/>
        </w:rPr>
        <w:t>315 mmHg pada 20°C</w:t>
      </w:r>
      <w:r>
        <w:rPr/>
        <w:t>). Bersifat mudah terbakar (</w:t>
      </w:r>
      <w:r>
        <w:rPr>
          <w:i/>
        </w:rPr>
        <w:t>Class IB Flammable Liquid</w:t>
      </w:r>
      <w:r>
        <w:rPr/>
        <w:t>) dan dapat meledak bila bereaksi dengan udara atau oksigen.</w:t>
      </w:r>
    </w:p>
    <w:p>
      <w:pPr>
        <w:pStyle w:val="ListBullet2"/>
        <w:spacing w:after="20"/>
      </w:pPr>
      <w:r>
        <w:rPr>
          <w:i/>
        </w:rPr>
        <w:t>Kelarutan:</w:t>
      </w:r>
      <w:r>
        <w:rPr/>
        <w:t xml:space="preserve"> Sangat larut dalam pelarut organik non-polar dan </w:t>
      </w:r>
      <w:r>
        <w:rPr>
          <w:b/>
        </w:rPr>
        <w:t>sangat lipofilik (</w:t>
      </w:r>
      <w:r>
        <w:rPr>
          <w:b/>
          <w:i/>
        </w:rPr>
        <w:t>highly lipophilic</w:t>
      </w:r>
      <w:r>
        <w:rPr>
          <w:b/>
        </w:rPr>
        <w:t>)</w:t>
      </w:r>
      <w:r>
        <w:rPr/>
        <w:t>, memungkinkannya melintasi membran fosfolipid alveolo-kapiler dan sawar darah otak secara instan.</w:t>
      </w:r>
    </w:p>
    <w:p>
      <w:pPr>
        <w:pStyle w:val="Heading3"/>
      </w:pPr>
      <w:r>
        <w:t>1. Standar Batas Pajanan Udara (Exposure Limits): Spesiasi, Notasi Karsinogen, dan Regulasi</w:t>
      </w:r>
    </w:p>
    <w:p>
      <w:pPr>
        <w:spacing w:after="80"/>
      </w:pPr>
      <w:r>
        <w:rPr/>
        <w:t xml:space="preserve">Penguji dewan spesialis akan menuntut Anda membedakan nilai ambang batas inhalasi nikel berdasarkan </w:t>
      </w:r>
      <w:r>
        <w:rPr>
          <w:b/>
        </w:rPr>
        <w:t>spesiasi kimianya</w:t>
      </w:r>
      <w:r>
        <w:rPr/>
        <w:t>. ACGIH membagi nikel menjadi empat kategori anorganik dan satu gas organologam, dengan rentang notasi karsinogen yang sangat kontras:</w:t>
      </w:r>
    </w:p>
    <w:p>
      <w:pPr>
        <w:spacing w:after="120"/>
        <w:ind w:left="170"/>
      </w:pPr>
      <w:r>
        <w:rPr>
          <w:rFonts w:ascii="Consolas" w:hAnsi="Consolas" w:eastAsia="Consolas"/>
          <w:sz w:val="13"/>
        </w:rPr>
        <w:t xml:space="preserve">                     [ SPEKTRUM NILAI AMBANG BATAS NIKEL (ACGIH TLV 2026)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                       ▼</w:t>
      </w:r>
      <w:r>
        <w:br/>
      </w:r>
      <w:r>
        <w:rPr>
          <w:rFonts w:ascii="Consolas" w:hAnsi="Consolas" w:eastAsia="Consolas"/>
          <w:sz w:val="13"/>
        </w:rPr>
        <w:t>[ NIKEL ELEMENTAL / LOGAM ]  [ SENYAWA LARUT AIR (NOS) ]    [ SENYAWA TAK LARUT &amp; SUBSULFIDA ]  [ NIKEL KARBONIL ]</w:t>
      </w:r>
      <w:r>
        <w:br/>
      </w:r>
      <w:r>
        <w:rPr>
          <w:rFonts w:ascii="Consolas" w:hAnsi="Consolas" w:eastAsia="Consolas"/>
          <w:sz w:val="13"/>
        </w:rPr>
        <w:t>• TLV-TWA: 1,5 mg/m³ (I)     • TLV-TWA: 0,1 mg/m³ (I)       • Tak Larut (NOS): 0,2 mg/m³ (I)   • TLV-CEILING: 0,05 ppm</w:t>
      </w:r>
      <w:r>
        <w:br/>
      </w:r>
      <w:r>
        <w:rPr>
          <w:rFonts w:ascii="Consolas" w:hAnsi="Consolas" w:eastAsia="Consolas"/>
          <w:sz w:val="13"/>
        </w:rPr>
        <w:t>• Notasi: A5; BEI            • Notasi: A4; BEI                Notasi: A1; BEI                    Notasi: A3</w:t>
      </w:r>
      <w:r>
        <w:br/>
      </w:r>
      <w:r>
        <w:rPr>
          <w:rFonts w:ascii="Consolas" w:hAnsi="Consolas" w:eastAsia="Consolas"/>
          <w:sz w:val="13"/>
        </w:rPr>
        <w:t>• Basis: Dermatitis &amp;        • Basis: Kerusakan paru &amp;      • Subsulfida: 0,1 mg/m³ (I)        • Basis: Iritasi paru</w:t>
      </w:r>
      <w:r>
        <w:br/>
      </w:r>
      <w:r>
        <w:rPr>
          <w:rFonts w:ascii="Consolas" w:hAnsi="Consolas" w:eastAsia="Consolas"/>
          <w:sz w:val="13"/>
        </w:rPr>
        <w:t xml:space="preserve">  pneumokoniosis               kanker nasal                   Notasi: A1; BEI (Basis: Kanker)    (Pneumonitis/Edema)</w:t>
      </w:r>
    </w:p>
    <w:p>
      <w:pPr>
        <w:pStyle w:val="Heading4"/>
      </w:pPr>
      <w:r>
        <w:t>a. Standar ACGIH TLV-TWA (Edisi Terkini / 2026)</w:t>
      </w:r>
    </w:p>
    <w:p>
      <w:pPr>
        <w:spacing w:after="80"/>
      </w:pPr>
      <w:r>
        <w:rPr/>
        <w:t xml:space="preserve">Berdasarkan dokumen resmi ACGIH (2026), seluruh batas partikulat nikel ditetapkan pada </w:t>
      </w:r>
      <w:r>
        <w:rPr>
          <w:b/>
        </w:rPr>
        <w:t>Fraksi Inhalabel (</w:t>
      </w:r>
      <w:r>
        <w:rPr>
          <w:b/>
          <w:i/>
        </w:rPr>
        <w:t>Inhalable particulate matter</w:t>
      </w:r>
      <w:r>
        <w:rPr>
          <w:b/>
        </w:rPr>
        <w:t xml:space="preserve"> / I)</w:t>
      </w:r>
      <w:r>
        <w:rPr/>
        <w:t>:</w:t>
      </w:r>
    </w:p>
    <w:p>
      <w:pPr>
        <w:spacing w:after="40"/>
        <w:ind w:left="340" w:hanging="283"/>
      </w:pPr>
      <w:r>
        <w:rPr/>
        <w:t xml:space="preserve">1. </w:t>
      </w:r>
      <w:r>
        <w:rPr>
          <w:b/>
        </w:rPr>
        <w:t>Nikel Logam / Elemental [CAS 7440-02-0]:</w:t>
      </w:r>
    </w:p>
    <w:p>
      <w:pPr>
        <w:pStyle w:val="ListBullet2"/>
        <w:spacing w:after="20"/>
      </w:pPr>
      <w:r>
        <w:rPr>
          <w:b/>
        </w:rPr>
        <w:t>TLV-TWA:</w:t>
      </w:r>
      <w:r>
        <w:rPr/>
        <w:t xml:space="preserve"> </w:t>
      </w:r>
      <w:r>
        <w:rPr>
          <w:b/>
        </w:rPr>
        <w:t>1,5 mg/m³</w:t>
      </w:r>
      <w:r>
        <w:rPr/>
        <w:t xml:space="preserve"> (Fraksi Inhalabel [I]).</w:t>
      </w:r>
    </w:p>
    <w:p>
      <w:pPr>
        <w:pStyle w:val="ListBullet2"/>
        <w:spacing w:after="20"/>
      </w:pPr>
      <w:r>
        <w:rPr>
          <w:i/>
        </w:rPr>
        <w:t>Notasi Resmi:</w:t>
      </w:r>
      <w:r>
        <w:rPr/>
        <w:t xml:space="preserve"> </w:t>
      </w:r>
      <w:r>
        <w:rPr>
          <w:b/>
        </w:rPr>
        <w:t>A5; BEI</w:t>
      </w:r>
      <w:r>
        <w:rPr/>
        <w:t>.</w:t>
      </w:r>
    </w:p>
    <w:p>
      <w:pPr>
        <w:pStyle w:val="ListBullet2"/>
        <w:spacing w:after="20"/>
      </w:pPr>
      <w:r>
        <w:rPr>
          <w:i/>
        </w:rPr>
        <w:t>Dasar Penetapan Efek Kritis (*TLV Basis</w:t>
      </w:r>
      <w:r>
        <w:rPr/>
        <w:t xml:space="preserve">):* </w:t>
      </w:r>
      <w:r>
        <w:rPr>
          <w:b/>
        </w:rPr>
        <w:t>Dermatitis dan Pneumokoniosis</w:t>
      </w:r>
      <w:r>
        <w:rPr/>
        <w:t>.</w:t>
      </w:r>
    </w:p>
    <w:p>
      <w:pPr>
        <w:spacing w:after="40"/>
        <w:ind w:left="340" w:hanging="283"/>
      </w:pPr>
      <w:r>
        <w:rPr/>
        <w:t xml:space="preserve">2. </w:t>
      </w:r>
      <w:r>
        <w:rPr>
          <w:b/>
        </w:rPr>
        <w:t>Senyawa Anorganik Nikel Larut Air (</w:t>
      </w:r>
      <w:r>
        <w:rPr>
          <w:b/>
          <w:i/>
        </w:rPr>
        <w:t>Soluble inorganic compounds, NOS</w:t>
      </w:r>
      <w:r>
        <w:rPr>
          <w:b/>
        </w:rPr>
        <w:t>):</w:t>
      </w:r>
    </w:p>
    <w:p>
      <w:pPr>
        <w:pStyle w:val="ListBullet2"/>
        <w:spacing w:after="20"/>
      </w:pPr>
      <w:r>
        <w:rPr>
          <w:b/>
        </w:rPr>
        <w:t>TLV-TWA:</w:t>
      </w:r>
      <w:r>
        <w:rPr/>
        <w:t xml:space="preserve"> </w:t>
      </w:r>
      <w:r>
        <w:rPr>
          <w:b/>
        </w:rPr>
        <w:t>0,1 mg/m³</w:t>
      </w:r>
      <w:r>
        <w:rPr/>
        <w:t xml:space="preserve"> (Fraksi Inhalabel [I]).</w:t>
      </w:r>
    </w:p>
    <w:p>
      <w:pPr>
        <w:pStyle w:val="ListBullet2"/>
        <w:spacing w:after="20"/>
      </w:pPr>
      <w:r>
        <w:rPr>
          <w:i/>
        </w:rPr>
        <w:t>Notasi Resmi:</w:t>
      </w:r>
      <w:r>
        <w:rPr/>
        <w:t xml:space="preserve"> </w:t>
      </w:r>
      <w:r>
        <w:rPr>
          <w:b/>
        </w:rPr>
        <w:t>A4; BEI</w:t>
      </w:r>
      <w:r>
        <w:rPr/>
        <w:t>.</w:t>
      </w:r>
    </w:p>
    <w:p>
      <w:pPr>
        <w:pStyle w:val="ListBullet2"/>
        <w:spacing w:after="20"/>
      </w:pPr>
      <w:r>
        <w:rPr>
          <w:i/>
        </w:rPr>
        <w:t>Dasar Penetapan Efek Kritis (*TLV Basis</w:t>
      </w:r>
      <w:r>
        <w:rPr/>
        <w:t xml:space="preserve">):* </w:t>
      </w:r>
      <w:r>
        <w:rPr>
          <w:b/>
        </w:rPr>
        <w:t>Kerusakan Paru (</w:t>
      </w:r>
      <w:r>
        <w:rPr>
          <w:b/>
          <w:i/>
        </w:rPr>
        <w:t>Lung damage</w:t>
      </w:r>
      <w:r>
        <w:rPr>
          <w:b/>
        </w:rPr>
        <w:t>) dan Kanker Nasal</w:t>
      </w:r>
      <w:r>
        <w:rPr/>
        <w:t>.</w:t>
      </w:r>
    </w:p>
    <w:p>
      <w:pPr>
        <w:spacing w:after="40"/>
        <w:ind w:left="340" w:hanging="283"/>
      </w:pPr>
      <w:r>
        <w:rPr/>
        <w:t xml:space="preserve">3. </w:t>
      </w:r>
      <w:r>
        <w:rPr>
          <w:b/>
        </w:rPr>
        <w:t>Senyawa Anorganik Nikel Tidak Larut Air (</w:t>
      </w:r>
      <w:r>
        <w:rPr>
          <w:b/>
          <w:i/>
        </w:rPr>
        <w:t>Insoluble inorganic compounds, NOS</w:t>
      </w:r>
      <w:r>
        <w:rPr>
          <w:b/>
        </w:rPr>
        <w:t>):</w:t>
      </w:r>
    </w:p>
    <w:p>
      <w:pPr>
        <w:pStyle w:val="ListBullet2"/>
        <w:spacing w:after="20"/>
      </w:pPr>
      <w:r>
        <w:rPr>
          <w:b/>
        </w:rPr>
        <w:t>TLV-TWA:</w:t>
      </w:r>
      <w:r>
        <w:rPr/>
        <w:t xml:space="preserve"> </w:t>
      </w:r>
      <w:r>
        <w:rPr>
          <w:b/>
        </w:rPr>
        <w:t>0,2 mg/m³</w:t>
      </w:r>
      <w:r>
        <w:rPr/>
        <w:t xml:space="preserve"> (Fraksi Inhalabel [I]).</w:t>
      </w:r>
    </w:p>
    <w:p>
      <w:pPr>
        <w:pStyle w:val="ListBullet2"/>
        <w:spacing w:after="20"/>
      </w:pPr>
      <w:r>
        <w:rPr>
          <w:i/>
        </w:rPr>
        <w:t>Notasi Resmi:</w:t>
      </w:r>
      <w:r>
        <w:rPr/>
        <w:t xml:space="preserve"> </w:t>
      </w:r>
      <w:r>
        <w:rPr>
          <w:b/>
        </w:rPr>
        <w:t>A1; BEI</w:t>
      </w:r>
      <w:r>
        <w:rPr/>
        <w:t>.</w:t>
      </w:r>
    </w:p>
    <w:p>
      <w:pPr>
        <w:pStyle w:val="ListBullet2"/>
        <w:spacing w:after="20"/>
      </w:pPr>
      <w:r>
        <w:rPr>
          <w:i/>
        </w:rPr>
        <w:t>Dasar Penetapan Efek Kritis (*TLV Basis</w:t>
      </w:r>
      <w:r>
        <w:rPr/>
        <w:t xml:space="preserve">):* </w:t>
      </w:r>
      <w:r>
        <w:rPr>
          <w:b/>
        </w:rPr>
        <w:t>Kanker Paru (</w:t>
      </w:r>
      <w:r>
        <w:rPr>
          <w:b/>
          <w:i/>
        </w:rPr>
        <w:t>Lung cancer</w:t>
      </w:r>
      <w:r>
        <w:rPr>
          <w:b/>
        </w:rPr>
        <w:t>)</w:t>
      </w:r>
      <w:r>
        <w:rPr/>
        <w:t>.</w:t>
      </w:r>
    </w:p>
    <w:p>
      <w:pPr>
        <w:spacing w:after="40"/>
        <w:ind w:left="340" w:hanging="283"/>
      </w:pPr>
      <w:r>
        <w:rPr/>
        <w:t xml:space="preserve">4. </w:t>
      </w:r>
      <w:r>
        <w:rPr>
          <w:b/>
        </w:rPr>
        <w:t>Nikel Subsulfida [CAS 12035-72-2], sebagai Ni:</w:t>
      </w:r>
    </w:p>
    <w:p>
      <w:pPr>
        <w:pStyle w:val="ListBullet2"/>
        <w:spacing w:after="20"/>
      </w:pPr>
      <w:r>
        <w:rPr>
          <w:b/>
        </w:rPr>
        <w:t>TLV-TWA:</w:t>
      </w:r>
      <w:r>
        <w:rPr/>
        <w:t xml:space="preserve"> </w:t>
      </w:r>
      <w:r>
        <w:rPr>
          <w:b/>
        </w:rPr>
        <w:t>0,1 mg/m³</w:t>
      </w:r>
      <w:r>
        <w:rPr/>
        <w:t xml:space="preserve"> (Fraksi Inhalabel [I]).</w:t>
      </w:r>
    </w:p>
    <w:p>
      <w:pPr>
        <w:pStyle w:val="ListBullet2"/>
        <w:spacing w:after="20"/>
      </w:pPr>
      <w:r>
        <w:rPr>
          <w:i/>
        </w:rPr>
        <w:t>Notasi Resmi:</w:t>
      </w:r>
      <w:r>
        <w:rPr/>
        <w:t xml:space="preserve"> </w:t>
      </w:r>
      <w:r>
        <w:rPr>
          <w:b/>
        </w:rPr>
        <w:t>A1; BEI</w:t>
      </w:r>
      <w:r>
        <w:rPr/>
        <w:t>.</w:t>
      </w:r>
    </w:p>
    <w:p>
      <w:pPr>
        <w:pStyle w:val="ListBullet2"/>
        <w:spacing w:after="20"/>
      </w:pPr>
      <w:r>
        <w:rPr>
          <w:i/>
        </w:rPr>
        <w:t>Dasar Penetapan Efek Kritis (*TLV Basis</w:t>
      </w:r>
      <w:r>
        <w:rPr/>
        <w:t xml:space="preserve">):* </w:t>
      </w:r>
      <w:r>
        <w:rPr>
          <w:b/>
        </w:rPr>
        <w:t>Kanker Paru (</w:t>
      </w:r>
      <w:r>
        <w:rPr>
          <w:b/>
          <w:i/>
        </w:rPr>
        <w:t>Lung cancer</w:t>
      </w:r>
      <w:r>
        <w:rPr>
          <w:b/>
        </w:rPr>
        <w:t>)</w:t>
      </w:r>
      <w:r>
        <w:rPr/>
        <w:t>.</w:t>
      </w:r>
    </w:p>
    <w:p>
      <w:pPr>
        <w:spacing w:after="40"/>
        <w:ind w:left="340" w:hanging="283"/>
      </w:pPr>
      <w:r>
        <w:rPr/>
        <w:t xml:space="preserve">5. </w:t>
      </w:r>
      <w:r>
        <w:rPr>
          <w:b/>
        </w:rPr>
        <w:t>Nikel Karbonil [CAS 13463-39-3], sebagai Ni:</w:t>
      </w:r>
    </w:p>
    <w:p>
      <w:pPr>
        <w:pStyle w:val="ListBullet2"/>
        <w:spacing w:after="20"/>
      </w:pPr>
      <w:r>
        <w:rPr>
          <w:b/>
        </w:rPr>
        <w:t>TLV-Ceiling (C):</w:t>
      </w:r>
      <w:r>
        <w:rPr/>
        <w:t xml:space="preserve"> </w:t>
      </w:r>
      <w:r>
        <w:rPr>
          <w:b/>
        </w:rPr>
        <w:t>0,05 ppm</w:t>
      </w:r>
      <w:r>
        <w:rPr/>
        <w:t xml:space="preserve"> (setara </w:t>
      </w:r>
      <w:r>
        <w:rPr>
          <w:b/>
        </w:rPr>
        <w:t>0,35 mg/m³</w:t>
      </w:r>
      <w:r>
        <w:rPr/>
        <w:t>). Tidak ada TWA 8 jam karena sifat letalitas akutnya; konsentrasi udara tidak boleh melampaui angka ini sedetik pun.</w:t>
      </w:r>
    </w:p>
    <w:p>
      <w:pPr>
        <w:pStyle w:val="ListBullet2"/>
        <w:spacing w:after="20"/>
      </w:pPr>
      <w:r>
        <w:rPr>
          <w:i/>
        </w:rPr>
        <w:t>Notasi Resmi:</w:t>
      </w:r>
      <w:r>
        <w:rPr/>
        <w:t xml:space="preserve"> </w:t>
      </w:r>
      <w:r>
        <w:rPr>
          <w:b/>
        </w:rPr>
        <w:t>A3</w:t>
      </w:r>
      <w:r>
        <w:rPr/>
        <w:t>.</w:t>
      </w:r>
    </w:p>
    <w:p>
      <w:pPr>
        <w:pStyle w:val="ListBullet2"/>
        <w:spacing w:after="20"/>
      </w:pPr>
      <w:r>
        <w:rPr>
          <w:i/>
        </w:rPr>
        <w:t>Dasar Penetapan Efek Kritis (*TLV Basis</w:t>
      </w:r>
      <w:r>
        <w:rPr/>
        <w:t xml:space="preserve">):* </w:t>
      </w:r>
      <w:r>
        <w:rPr>
          <w:b/>
        </w:rPr>
        <w:t>Iritasi Paru Berat (</w:t>
      </w:r>
      <w:r>
        <w:rPr>
          <w:b/>
          <w:i/>
        </w:rPr>
        <w:t>Lung irritation / Acute pulmonary edema</w:t>
      </w:r>
      <w:r>
        <w:rPr>
          <w:b/>
        </w:rPr>
        <w:t>)</w:t>
      </w:r>
      <w:r>
        <w:rPr/>
        <w:t>.</w:t>
      </w:r>
    </w:p>
    <w:p>
      <w:pPr>
        <w:pStyle w:val="Heading4"/>
      </w:pPr>
      <w:r>
        <w:t>b. Makna Toksikologis Notasi Karsinogen ACGIH (A1, A3, A4, A5) dan Notasi SEN</w:t>
      </w:r>
    </w:p>
    <w:p>
      <w:pPr>
        <w:pStyle w:val="ListBullet"/>
        <w:spacing w:after="20"/>
      </w:pPr>
      <w:r>
        <w:rPr>
          <w:b/>
        </w:rPr>
        <w:t>Notasi A1 (</w:t>
      </w:r>
      <w:r>
        <w:rPr>
          <w:b/>
          <w:i/>
        </w:rPr>
        <w:t>Confirmed Human Carcinogen</w:t>
      </w:r>
      <w:r>
        <w:rPr>
          <w:b/>
        </w:rPr>
        <w:t>):</w:t>
      </w:r>
      <w:r>
        <w:rPr/>
        <w:t xml:space="preserve"> Diberikan pada </w:t>
      </w:r>
      <w:r>
        <w:rPr>
          <w:b/>
        </w:rPr>
        <w:t>nikel subsulfida dan senyawa tidak larut</w:t>
      </w:r>
      <w:r>
        <w:rPr/>
        <w:t xml:space="preserve"> karena bukti epidemiologi pada pekerja kilang pemurnian (</w:t>
      </w:r>
      <w:r>
        <w:rPr>
          <w:i/>
        </w:rPr>
        <w:t>refinery workers</w:t>
      </w:r>
      <w:r>
        <w:rPr/>
        <w:t>) secara konklusif membuktikan peningkatan mortalitas karsinoma paru bronkogenik dan karsinoma rongga hidung/sinus paranasal.</w:t>
      </w:r>
    </w:p>
    <w:p>
      <w:pPr>
        <w:pStyle w:val="ListBullet"/>
        <w:spacing w:after="20"/>
      </w:pPr>
      <w:r>
        <w:rPr>
          <w:b/>
        </w:rPr>
        <w:t>Notasi A3 (</w:t>
      </w:r>
      <w:r>
        <w:rPr>
          <w:b/>
          <w:i/>
        </w:rPr>
        <w:t>Confirmed Animal Carcinogen with Unknown Relevance to Humans</w:t>
      </w:r>
      <w:r>
        <w:rPr>
          <w:b/>
        </w:rPr>
        <w:t>):</w:t>
      </w:r>
      <w:r>
        <w:rPr/>
        <w:t xml:space="preserve"> Diberikan pada </w:t>
      </w:r>
      <w:r>
        <w:rPr>
          <w:b/>
        </w:rPr>
        <w:t>nikel karbonil</w:t>
      </w:r>
      <w:r>
        <w:rPr/>
        <w:t xml:space="preserve"> karena bioassay hewan coba membuktikan induksi tumor paru, namun pada manusia kematian akut akibat edema paru toksik terjadi jauh mendahului periode laten terbentuknya kanker.</w:t>
      </w:r>
    </w:p>
    <w:p>
      <w:pPr>
        <w:pStyle w:val="ListBullet"/>
        <w:spacing w:after="20"/>
      </w:pPr>
      <w:r>
        <w:rPr>
          <w:b/>
        </w:rPr>
        <w:t>Notasi A4 (</w:t>
      </w:r>
      <w:r>
        <w:rPr>
          <w:b/>
          <w:i/>
        </w:rPr>
        <w:t>Not Classifiable as a Human Carcinogen</w:t>
      </w:r>
      <w:r>
        <w:rPr>
          <w:b/>
        </w:rPr>
        <w:t>):</w:t>
      </w:r>
      <w:r>
        <w:rPr/>
        <w:t xml:space="preserve"> Diberikan pada </w:t>
      </w:r>
      <w:r>
        <w:rPr>
          <w:b/>
        </w:rPr>
        <w:t>senyawa anorganik larut</w:t>
      </w:r>
      <w:r>
        <w:rPr/>
        <w:t>; meskipun senyawa larut menginduksi kerusakan genotoksik dan efek sitotoksik paru, data epidemiologi manusia murni pada paparan senyawa larut terisolasi dinilai belum memadai secara independen dibanding senyawa tidak larut.</w:t>
      </w:r>
    </w:p>
    <w:p>
      <w:pPr>
        <w:pStyle w:val="ListBullet"/>
        <w:spacing w:after="20"/>
      </w:pPr>
      <w:r>
        <w:rPr>
          <w:b/>
        </w:rPr>
        <w:t>Notasi A5 (</w:t>
      </w:r>
      <w:r>
        <w:rPr>
          <w:b/>
          <w:i/>
        </w:rPr>
        <w:t>Not Suspected as a Human Carcinogen</w:t>
      </w:r>
      <w:r>
        <w:rPr>
          <w:b/>
        </w:rPr>
        <w:t>):</w:t>
      </w:r>
      <w:r>
        <w:rPr/>
        <w:t xml:space="preserve"> Diberikan pada </w:t>
      </w:r>
      <w:r>
        <w:rPr>
          <w:b/>
        </w:rPr>
        <w:t>nikel logam/elemental</w:t>
      </w:r>
      <w:r>
        <w:rPr/>
        <w:t>; studi kohort pada pekerja bubuk nikel murni tidak menunjukkan peningkatan risiko kanker yang signifikan secara statistik bila terbebas dari fraksi subsulfida atau oksida.</w:t>
      </w:r>
    </w:p>
    <w:p>
      <w:pPr>
        <w:pStyle w:val="ListBullet"/>
        <w:spacing w:after="20"/>
      </w:pPr>
      <w:r>
        <w:rPr>
          <w:b/>
        </w:rPr>
        <w:t>Notasi Sensitisasi (SEN / DSEN / RSEN):</w:t>
      </w:r>
    </w:p>
    <w:p>
      <w:pPr>
        <w:pStyle w:val="ListBullet2"/>
        <w:spacing w:after="20"/>
      </w:pPr>
      <w:r>
        <w:rPr>
          <w:b/>
        </w:rPr>
        <w:t>DSEN (</w:t>
      </w:r>
      <w:r>
        <w:rPr>
          <w:b/>
          <w:i/>
        </w:rPr>
        <w:t>Dermal Sensitization</w:t>
      </w:r>
      <w:r>
        <w:rPr>
          <w:b/>
        </w:rPr>
        <w:t>):</w:t>
      </w:r>
      <w:r>
        <w:rPr/>
        <w:t xml:space="preserve"> Mengindikasikan potensi memicu sensitisasi kulit dan dermatitis kontak alergi tipe IV.</w:t>
      </w:r>
    </w:p>
    <w:p>
      <w:pPr>
        <w:pStyle w:val="ListBullet2"/>
        <w:spacing w:after="20"/>
      </w:pPr>
      <w:r>
        <w:rPr>
          <w:b/>
        </w:rPr>
        <w:t>RSEN (</w:t>
      </w:r>
      <w:r>
        <w:rPr>
          <w:b/>
          <w:i/>
        </w:rPr>
        <w:t>Respiratory Sensitization</w:t>
      </w:r>
      <w:r>
        <w:rPr>
          <w:b/>
        </w:rPr>
        <w:t>):</w:t>
      </w:r>
      <w:r>
        <w:rPr/>
        <w:t xml:space="preserve"> Mengindikasikan potensi memicu asma akibat kerja termediasi imunologis (terutama kompleks garam nikel terlarut dengan albumin serum).</w:t>
      </w:r>
    </w:p>
    <w:p>
      <w:pPr>
        <w:pStyle w:val="Heading4"/>
      </w:pPr>
      <w:r>
        <w:t>c. Nilai Ambang Batas Permenaker No. 5 Tahun 2018 (Lampiran 3)</w:t>
      </w:r>
    </w:p>
    <w:p>
      <w:pPr>
        <w:spacing w:after="80"/>
      </w:pPr>
      <w:r>
        <w:rPr/>
        <w:t>Regulasi keselamatan dan kesehatan kerja nasional mengadopsi standar yang selaras:</w:t>
      </w:r>
    </w:p>
    <w:p>
      <w:pPr>
        <w:pStyle w:val="ListBullet"/>
        <w:spacing w:after="20"/>
      </w:pPr>
      <w:r>
        <w:rPr>
          <w:b/>
        </w:rPr>
        <w:t>Nikel Logam:</w:t>
      </w:r>
      <w:r>
        <w:rPr/>
        <w:t xml:space="preserve"> NAB TWA </w:t>
      </w:r>
      <w:r>
        <w:rPr>
          <w:b/>
        </w:rPr>
        <w:t>1,5 mg/m³</w:t>
      </w:r>
      <w:r>
        <w:rPr/>
        <w:t xml:space="preserve"> (Inhalabel), Notasi </w:t>
      </w:r>
      <w:r>
        <w:rPr>
          <w:b/>
        </w:rPr>
        <w:t>A5</w:t>
      </w:r>
      <w:r>
        <w:rPr/>
        <w:t>.</w:t>
      </w:r>
    </w:p>
    <w:p>
      <w:pPr>
        <w:pStyle w:val="ListBullet"/>
        <w:spacing w:after="20"/>
      </w:pPr>
      <w:r>
        <w:rPr>
          <w:b/>
        </w:rPr>
        <w:t>Senyawa Nikel Larut (sebagai Ni):</w:t>
      </w:r>
      <w:r>
        <w:rPr/>
        <w:t xml:space="preserve"> NAB TWA </w:t>
      </w:r>
      <w:r>
        <w:rPr>
          <w:b/>
        </w:rPr>
        <w:t>0,1 mg/m³</w:t>
      </w:r>
      <w:r>
        <w:rPr/>
        <w:t xml:space="preserve"> (Inhalabel), Notasi </w:t>
      </w:r>
      <w:r>
        <w:rPr>
          <w:b/>
        </w:rPr>
        <w:t>A4</w:t>
      </w:r>
      <w:r>
        <w:rPr/>
        <w:t>.</w:t>
      </w:r>
    </w:p>
    <w:p>
      <w:pPr>
        <w:pStyle w:val="ListBullet"/>
        <w:spacing w:after="20"/>
      </w:pPr>
      <w:r>
        <w:rPr>
          <w:b/>
        </w:rPr>
        <w:t>Senyawa Nikel Tidak Larut (sebagai Ni):</w:t>
      </w:r>
      <w:r>
        <w:rPr/>
        <w:t xml:space="preserve"> NAB TWA </w:t>
      </w:r>
      <w:r>
        <w:rPr>
          <w:b/>
        </w:rPr>
        <w:t>0,2 mg/m³</w:t>
      </w:r>
      <w:r>
        <w:rPr/>
        <w:t xml:space="preserve"> (Inhalabel), Notasi </w:t>
      </w:r>
      <w:r>
        <w:rPr>
          <w:b/>
        </w:rPr>
        <w:t>A1</w:t>
      </w:r>
      <w:r>
        <w:rPr/>
        <w:t>.</w:t>
      </w:r>
    </w:p>
    <w:p>
      <w:pPr>
        <w:pStyle w:val="ListBullet"/>
        <w:spacing w:after="20"/>
      </w:pPr>
      <w:r>
        <w:rPr>
          <w:b/>
        </w:rPr>
        <w:t>Nikel Subsulfida (sebagai Ni):</w:t>
      </w:r>
      <w:r>
        <w:rPr/>
        <w:t xml:space="preserve"> NAB TWA </w:t>
      </w:r>
      <w:r>
        <w:rPr>
          <w:b/>
        </w:rPr>
        <w:t>0,1 mg/m³</w:t>
      </w:r>
      <w:r>
        <w:rPr/>
        <w:t xml:space="preserve"> (Inhalabel), Notasi </w:t>
      </w:r>
      <w:r>
        <w:rPr>
          <w:b/>
        </w:rPr>
        <w:t>A1</w:t>
      </w:r>
      <w:r>
        <w:rPr/>
        <w:t>.</w:t>
      </w:r>
    </w:p>
    <w:p>
      <w:pPr>
        <w:pStyle w:val="ListBullet"/>
        <w:spacing w:after="20"/>
      </w:pPr>
      <w:r>
        <w:rPr>
          <w:b/>
        </w:rPr>
        <w:t>Nikel Karbonil (sebagai Ni):</w:t>
      </w:r>
      <w:r>
        <w:rPr/>
        <w:t xml:space="preserve"> NAB Tertinggi / </w:t>
      </w:r>
      <w:r>
        <w:rPr>
          <w:b/>
        </w:rPr>
        <w:t>Ceiling (C) 0,05 ppm</w:t>
      </w:r>
      <w:r>
        <w:rPr/>
        <w:t xml:space="preserve"> (0,35 mg/m³), Notasi </w:t>
      </w:r>
      <w:r>
        <w:rPr>
          <w:b/>
        </w:rPr>
        <w:t>A3</w:t>
      </w:r>
      <w:r>
        <w:rPr/>
        <w:t>.</w:t>
      </w:r>
    </w:p>
    <w:p>
      <w:pPr>
        <w:pStyle w:val="Heading3"/>
      </w:pPr>
      <w:r>
        <w:t>2. Standar BEI/IPB Nikel dan Strategi Biomonitoring Okupasi</w:t>
      </w:r>
    </w:p>
    <w:p>
      <w:pPr>
        <w:spacing w:after="80"/>
      </w:pPr>
      <w:r>
        <w:rPr/>
        <w:t xml:space="preserve">Di meja ujian, penguji sering menguji pemahaman Anda: </w:t>
      </w:r>
      <w:r>
        <w:rPr>
          <w:i/>
        </w:rPr>
        <w:t>"Apakah nikel memiliki nilai baku BEI resmi?"</w:t>
      </w:r>
      <w:r>
        <w:rPr/>
        <w:t xml:space="preserve"> Jawaban Anda harus tegas dan tepat secara analitis:</w:t>
      </w:r>
    </w:p>
    <w:p>
      <w:pPr>
        <w:spacing w:after="120"/>
        <w:ind w:left="170"/>
      </w:pPr>
      <w:r>
        <w:rPr>
          <w:rFonts w:ascii="Consolas" w:hAnsi="Consolas" w:eastAsia="Consolas"/>
          <w:sz w:val="13"/>
        </w:rPr>
        <w:t xml:space="preserve">                       [ STRATEGI ACGIH BEI NIKEL (ADOPSI 2021/2026)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PAJANAN SENYAWA LARUT AIR ]                                             [ PAJANAN ELEMENTAL &amp; KURANG LARUT ]</w:t>
      </w:r>
      <w:r>
        <w:br/>
      </w:r>
      <w:r>
        <w:rPr>
          <w:rFonts w:ascii="Consolas" w:hAnsi="Consolas" w:eastAsia="Consolas"/>
          <w:sz w:val="13"/>
        </w:rPr>
        <w:t>• Determinan: Total nikel dalam urin                                      • Determinan: Total nikel dalam urin</w:t>
      </w:r>
      <w:r>
        <w:br/>
      </w:r>
      <w:r>
        <w:rPr>
          <w:rFonts w:ascii="Consolas" w:hAnsi="Consolas" w:eastAsia="Consolas"/>
          <w:sz w:val="13"/>
        </w:rPr>
        <w:t>• Nilai BEI: 30 µg/L                                                      • Nilai BEI: 5 µg/L</w:t>
      </w:r>
      <w:r>
        <w:br/>
      </w:r>
      <w:r>
        <w:rPr>
          <w:rFonts w:ascii="Consolas" w:hAnsi="Consolas" w:eastAsia="Consolas"/>
          <w:sz w:val="13"/>
        </w:rPr>
        <w:t>• Waktu Sampling: Akhir gilir kerja di akhir minggu kerja                 • Notasi: B (Background normal 1–3 µg/L)</w:t>
      </w:r>
      <w:r>
        <w:br/>
      </w:r>
      <w:r>
        <w:rPr>
          <w:rFonts w:ascii="Consolas" w:hAnsi="Consolas" w:eastAsia="Consolas"/>
          <w:sz w:val="13"/>
        </w:rPr>
        <w:t xml:space="preserve">  (Post-shift at end of workweek)                                         • Waktu: Akhir gilir kerja di akhir minggu kerja</w:t>
      </w:r>
    </w:p>
    <w:p>
      <w:pPr>
        <w:pStyle w:val="Heading4"/>
      </w:pPr>
      <w:r>
        <w:t>a. Standar Resmi ACGIH BEI (Edisi Terkini / 2026)</w:t>
      </w:r>
    </w:p>
    <w:p>
      <w:pPr>
        <w:spacing w:after="80"/>
      </w:pPr>
      <w:r>
        <w:rPr/>
        <w:t xml:space="preserve">Komite BEI ACGIH secara resmi telah mengadopsi nilai </w:t>
      </w:r>
      <w:r>
        <w:rPr>
          <w:b/>
        </w:rPr>
        <w:t>Biological Exposure Indices (BEI)</w:t>
      </w:r>
      <w:r>
        <w:rPr/>
        <w:t xml:space="preserve"> untuk nikel dengan membedakan sifat kelarutan kimianya:</w:t>
      </w:r>
    </w:p>
    <w:p>
      <w:pPr>
        <w:spacing w:after="40"/>
        <w:ind w:left="340" w:hanging="283"/>
      </w:pPr>
      <w:r>
        <w:rPr/>
        <w:t xml:space="preserve">1. </w:t>
      </w:r>
      <w:r>
        <w:rPr>
          <w:b/>
        </w:rPr>
        <w:t>Nikel dalam Urin setelah Pajanan Senyawa Nikel Larut (</w:t>
      </w:r>
      <w:r>
        <w:rPr>
          <w:b/>
          <w:i/>
        </w:rPr>
        <w:t>Nickel in urine after exposure to soluble compounds</w:t>
      </w:r>
      <w:r>
        <w:rPr>
          <w:b/>
        </w:rPr>
        <w:t>):</w:t>
      </w:r>
    </w:p>
    <w:p>
      <w:pPr>
        <w:pStyle w:val="ListBullet2"/>
        <w:spacing w:after="20"/>
      </w:pPr>
      <w:r>
        <w:rPr>
          <w:b/>
        </w:rPr>
        <w:t>Nilai Baku BEI:</w:t>
      </w:r>
      <w:r>
        <w:rPr/>
        <w:t xml:space="preserve"> </w:t>
      </w:r>
      <w:r>
        <w:rPr>
          <w:b/>
        </w:rPr>
        <w:t>30 µg/L</w:t>
      </w:r>
      <w:r>
        <w:rPr/>
        <w:t>.</w:t>
      </w:r>
    </w:p>
    <w:p>
      <w:pPr>
        <w:pStyle w:val="ListBullet2"/>
        <w:spacing w:after="20"/>
      </w:pPr>
      <w:r>
        <w:rPr>
          <w:i/>
        </w:rPr>
        <w:t>Signifikansi:</w:t>
      </w:r>
      <w:r>
        <w:rPr/>
        <w:t xml:space="preserve"> Mencerminkan pajanan kerja mingguan terhadap aerosol kabut elektroplating, tangki elektrolisis, dan garam nikel sulfat/klorida.</w:t>
      </w:r>
    </w:p>
    <w:p>
      <w:pPr>
        <w:spacing w:after="40"/>
        <w:ind w:left="340" w:hanging="283"/>
      </w:pPr>
      <w:r>
        <w:rPr/>
        <w:t xml:space="preserve">2. </w:t>
      </w:r>
      <w:r>
        <w:rPr>
          <w:b/>
        </w:rPr>
        <w:t>Nikel dalam Urin setelah Pajanan Nikel Elemental dan Senyawa Kurang Larut (</w:t>
      </w:r>
      <w:r>
        <w:rPr>
          <w:b/>
          <w:i/>
        </w:rPr>
        <w:t>Nickel in urine after exposure to elemental Nickel and poorly soluble compounds</w:t>
      </w:r>
      <w:r>
        <w:rPr>
          <w:b/>
        </w:rPr>
        <w:t>):</w:t>
      </w:r>
    </w:p>
    <w:p>
      <w:pPr>
        <w:pStyle w:val="ListBullet2"/>
        <w:spacing w:after="20"/>
      </w:pPr>
      <w:r>
        <w:rPr>
          <w:b/>
        </w:rPr>
        <w:t>Nilai Baku BEI:</w:t>
      </w:r>
      <w:r>
        <w:rPr/>
        <w:t xml:space="preserve"> </w:t>
      </w:r>
      <w:r>
        <w:rPr>
          <w:b/>
        </w:rPr>
        <w:t>5 µg/L</w:t>
      </w:r>
      <w:r>
        <w:rPr/>
        <w:t>.</w:t>
      </w:r>
    </w:p>
    <w:p>
      <w:pPr>
        <w:pStyle w:val="ListBullet2"/>
        <w:spacing w:after="20"/>
      </w:pPr>
      <w:r>
        <w:rPr>
          <w:i/>
        </w:rPr>
        <w:t>Notasi:</w:t>
      </w:r>
      <w:r>
        <w:rPr/>
        <w:t xml:space="preserve"> </w:t>
      </w:r>
      <w:r>
        <w:rPr>
          <w:b/>
        </w:rPr>
        <w:t>B (</w:t>
      </w:r>
      <w:r>
        <w:rPr>
          <w:b/>
          <w:i/>
        </w:rPr>
        <w:t>Background</w:t>
      </w:r>
      <w:r>
        <w:rPr>
          <w:b/>
        </w:rPr>
        <w:t>)</w:t>
      </w:r>
      <w:r>
        <w:rPr/>
        <w:t>. Menandakan bahwa asupan diet makanan harian pada populasi umum menghasilkan kadar nikel latar belakang sebesar 1 hingga 3 µg/L (atau &lt; 2–3 µg/g kreatinin).</w:t>
      </w:r>
    </w:p>
    <w:p>
      <w:pPr>
        <w:pStyle w:val="Heading4"/>
      </w:pPr>
      <w:r>
        <w:t>b. Waktu Pengambilan Sampel (Sampling Time)</w:t>
      </w:r>
    </w:p>
    <w:p>
      <w:pPr>
        <w:pStyle w:val="ListBullet"/>
        <w:spacing w:after="20"/>
      </w:pPr>
      <w:r>
        <w:rPr>
          <w:b/>
        </w:rPr>
        <w:t>Waktu Pengambilan Resmi:</w:t>
      </w:r>
      <w:r>
        <w:rPr/>
        <w:t xml:space="preserve"> </w:t>
      </w:r>
      <w:r>
        <w:rPr>
          <w:b/>
        </w:rPr>
        <w:t>Akhir Gilir Kerja di Akhir Minggu Kerja (</w:t>
      </w:r>
      <w:r>
        <w:rPr>
          <w:b/>
          <w:i/>
        </w:rPr>
        <w:t>Post-shift at end of workweek</w:t>
      </w:r>
      <w:r>
        <w:rPr>
          <w:b/>
        </w:rPr>
        <w:t>)</w:t>
      </w:r>
      <w:r>
        <w:rPr/>
        <w:t>.</w:t>
      </w:r>
    </w:p>
    <w:p>
      <w:pPr>
        <w:pStyle w:val="ListBullet"/>
        <w:spacing w:after="20"/>
      </w:pPr>
      <w:r>
        <w:rPr>
          <w:i/>
        </w:rPr>
        <w:t>Rasional Toksikokinetik:</w:t>
      </w:r>
      <w:r>
        <w:rPr/>
        <w:t xml:space="preserve"> Karena waktu paruh eliminasi nikel terlarut dari kompartemen darah adalah sekitar </w:t>
      </w:r>
      <w:r>
        <w:rPr>
          <w:b/>
        </w:rPr>
        <w:t>24 hingga 32 jam</w:t>
      </w:r>
      <w:r>
        <w:rPr/>
        <w:t xml:space="preserve">, terjadi </w:t>
      </w:r>
      <w:r>
        <w:rPr>
          <w:b/>
        </w:rPr>
        <w:t>akumulasi bertahap konsentrasi nikel tubuh sepanjang minggu kerja (</w:t>
      </w:r>
      <w:r>
        <w:rPr>
          <w:b/>
          <w:i/>
        </w:rPr>
        <w:t>weekly accumulation</w:t>
      </w:r>
      <w:r>
        <w:rPr>
          <w:b/>
        </w:rPr>
        <w:t>)</w:t>
      </w:r>
      <w:r>
        <w:rPr/>
        <w:t>. Pengambilan sampel pada hari kerja terakhir (misalnya Jumat sore) menangkap titik puncak ekskresi nikel sistemik yang paling mewakili pajanan higienis industri.</w:t>
      </w:r>
    </w:p>
    <w:p>
      <w:pPr>
        <w:pStyle w:val="Heading4"/>
      </w:pPr>
      <w:r>
        <w:t>c. Status Regulasi Nasional (Permenaker No. 5 Tahun 2018 Lampiran 4)</w:t>
      </w:r>
    </w:p>
    <w:p>
      <w:pPr>
        <w:pStyle w:val="ListBullet"/>
        <w:spacing w:after="20"/>
      </w:pPr>
      <w:r>
        <w:rPr/>
        <w:t xml:space="preserve">Di dalam </w:t>
      </w:r>
      <w:r>
        <w:rPr>
          <w:b/>
        </w:rPr>
        <w:t>Lampiran 4 Permenaker No. 5 Tahun 2018 (Indeks Pajanan Biologi / IPB)</w:t>
      </w:r>
      <w:r>
        <w:rPr/>
        <w:t xml:space="preserve">, parameter nikel </w:t>
      </w:r>
      <w:r>
        <w:rPr>
          <w:b/>
        </w:rPr>
        <w:t>belum dicantumkan secara definitif dalam daftar tabel IPB nasional</w:t>
      </w:r>
      <w:r>
        <w:rPr/>
        <w:t xml:space="preserve"> (berbeda dengan timbal, kadmium, toluena, dan benzena).</w:t>
      </w:r>
    </w:p>
    <w:p>
      <w:pPr>
        <w:pStyle w:val="ListBullet"/>
        <w:spacing w:after="20"/>
      </w:pPr>
      <w:r>
        <w:rPr>
          <w:i/>
        </w:rPr>
        <w:t>Tindakan Dokter Okupasi:</w:t>
      </w:r>
      <w:r>
        <w:rPr/>
        <w:t xml:space="preserve"> Mengacu pada prinsip ilmiah kedokteran okupasi internasional dan adopsi resmi ACGIH BEI (2026) sebagai pedoman evaluasi medik pekerja di Indonesia.</w:t>
      </w:r>
    </w:p>
    <w:p>
      <w:pPr>
        <w:pStyle w:val="Heading3"/>
      </w:pPr>
      <w:r>
        <w:t>3. Tatalaksana Medis: Intoksikasi Akut Nikel Karbonil dan Dermatitis Kontak</w:t>
      </w:r>
    </w:p>
    <w:p>
      <w:pPr>
        <w:spacing w:after="80"/>
      </w:pPr>
      <w:r>
        <w:rPr/>
        <w:t>Kedaruratan nikel karbonil dan morbiditas dermatitis kontak alergi menuntut protokol penanganan yang sangat spesifik:</w:t>
      </w:r>
    </w:p>
    <w:p>
      <w:pPr>
        <w:spacing w:after="120"/>
        <w:ind w:left="170"/>
      </w:pPr>
      <w:r>
        <w:rPr>
          <w:rFonts w:ascii="Consolas" w:hAnsi="Consolas" w:eastAsia="Consolas"/>
          <w:sz w:val="13"/>
        </w:rPr>
        <w:t xml:space="preserve">                                [ ALGORITMA KERACUNAN NIKEL KARBONIL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OBSERVASI RAWAT INAP KETAT (24–48 JAM) ]                                        [ ANTIDOTUM SPESIFIK &amp; TERAPI KELASI ]</w:t>
      </w:r>
      <w:r>
        <w:br/>
      </w:r>
      <w:r>
        <w:rPr>
          <w:rFonts w:ascii="Consolas" w:hAnsi="Consolas" w:eastAsia="Consolas"/>
          <w:sz w:val="13"/>
        </w:rPr>
        <w:t>• Evakuasi segera ke udara bersih, lepas pakaian                                  • PILIHAN UTAMA: Natrium Dietilditiokarbamat</w:t>
      </w:r>
      <w:r>
        <w:br/>
      </w:r>
      <w:r>
        <w:rPr>
          <w:rFonts w:ascii="Consolas" w:hAnsi="Consolas" w:eastAsia="Consolas"/>
          <w:sz w:val="13"/>
        </w:rPr>
        <w:t>• WASPADAI FASE LATEN MENIPU!                                                       (Na-DDC / Ditiokarb) oral atau IV lambat</w:t>
      </w:r>
      <w:r>
        <w:br/>
      </w:r>
      <w:r>
        <w:rPr>
          <w:rFonts w:ascii="Consolas" w:hAnsi="Consolas" w:eastAsia="Consolas"/>
          <w:sz w:val="13"/>
        </w:rPr>
        <w:t>• Pasien merasa membaik dalam 2–4 jam pasca-evakuasi,                             • ALTERNATIF ORAL: Disulfiram (Antabuse)</w:t>
      </w:r>
      <w:r>
        <w:br/>
      </w:r>
      <w:r>
        <w:rPr>
          <w:rFonts w:ascii="Consolas" w:hAnsi="Consolas" w:eastAsia="Consolas"/>
          <w:sz w:val="13"/>
        </w:rPr>
        <w:t xml:space="preserve">  lalu 24–48 jam kemudian jatuh ke dalam ARDS LETAL!                              • KONTRAINDIKASI / TIDAK EFEKTIF:</w:t>
      </w:r>
      <w:r>
        <w:br/>
      </w:r>
      <w:r>
        <w:rPr>
          <w:rFonts w:ascii="Consolas" w:hAnsi="Consolas" w:eastAsia="Consolas"/>
          <w:sz w:val="13"/>
        </w:rPr>
        <w:t>• Oksigenasi lembap, ventilator lung-protective                                     - BAL: Toksisitas inheren &amp; redistribusi</w:t>
      </w:r>
      <w:r>
        <w:br/>
      </w:r>
      <w:r>
        <w:rPr>
          <w:rFonts w:ascii="Consolas" w:hAnsi="Consolas" w:eastAsia="Consolas"/>
          <w:sz w:val="13"/>
        </w:rPr>
        <w:t>• Tirah baring mutlak, pantau foto toraks serial                                    - CaNa₂EDTA: Gagal cegah kematian paru</w:t>
      </w:r>
    </w:p>
    <w:p>
      <w:pPr>
        <w:pStyle w:val="Heading4"/>
      </w:pPr>
      <w:r>
        <w:t>a. Tatalaksana Keracunan Akut Gas Nikel Karbonil [Ni(CO)₄]</w:t>
      </w:r>
    </w:p>
    <w:p>
      <w:pPr>
        <w:spacing w:after="40"/>
        <w:ind w:left="340" w:hanging="283"/>
      </w:pPr>
      <w:r>
        <w:rPr/>
        <w:t xml:space="preserve">1. </w:t>
      </w:r>
      <w:r>
        <w:rPr>
          <w:b/>
        </w:rPr>
        <w:t>Evakuasi dan Dekontaminasi Segera:</w:t>
      </w:r>
    </w:p>
    <w:p>
      <w:pPr>
        <w:spacing w:after="80"/>
      </w:pPr>
      <w:r>
        <w:rPr/>
        <w:t>Segera bawa korban keluar dari area kebocoran gas ke udara terbuka. Tanggalkan seluruh pakaian yang terkontaminasi dan siram kulit dengan air mengalir serta sabun. Pasang akses intravena dan posisikan pasien tirah baring mutlak (</w:t>
      </w:r>
      <w:r>
        <w:rPr>
          <w:i/>
        </w:rPr>
        <w:t>absolute bed rest</w:t>
      </w:r>
      <w:r>
        <w:rPr/>
        <w:t>) guna meminimalkan konsumsi oksigen miokard dan paru.</w:t>
      </w:r>
    </w:p>
    <w:p>
      <w:pPr>
        <w:spacing w:after="40"/>
        <w:ind w:left="340" w:hanging="283"/>
      </w:pPr>
      <w:r>
        <w:rPr/>
        <w:t xml:space="preserve">2. </w:t>
      </w:r>
      <w:r>
        <w:rPr>
          <w:b/>
        </w:rPr>
        <w:t>Kewaspadaan Periode Laten Menipu (</w:t>
      </w:r>
      <w:r>
        <w:rPr>
          <w:b/>
          <w:i/>
        </w:rPr>
        <w:t>Mandatory 24–48 Hours Observation</w:t>
      </w:r>
      <w:r>
        <w:rPr>
          <w:b/>
        </w:rPr>
        <w:t>):</w:t>
      </w:r>
    </w:p>
    <w:p>
      <w:pPr>
        <w:pStyle w:val="ListBullet2"/>
        <w:spacing w:after="20"/>
      </w:pPr>
      <w:r>
        <w:rPr>
          <w:b/>
        </w:rPr>
        <w:t>Semua pekerja yang terpapar gas nikel karbonil WAJIB DIRAWAT INAP UNTUK OBSERVASI KETAT MINIMAL 24 HINGGA 48 JAM</w:t>
      </w:r>
      <w:r>
        <w:rPr/>
        <w:t>, terlepas dari apakah pekerja tersebut merasa sehat atau gejala awal sakit kepalanya telah hilang.</w:t>
      </w:r>
    </w:p>
    <w:p>
      <w:pPr>
        <w:pStyle w:val="ListBullet2"/>
        <w:spacing w:after="20"/>
      </w:pPr>
      <w:r>
        <w:rPr>
          <w:i/>
        </w:rPr>
        <w:t>Bahaya Laten:</w:t>
      </w:r>
      <w:r>
        <w:rPr/>
        <w:t xml:space="preserve"> Kematian pekerja akibat </w:t>
      </w:r>
      <w:r>
        <w:rPr>
          <w:b/>
        </w:rPr>
        <w:t>Pneumonitis Kimiawi Akut Difus dan Edema Paru Non-Kardiogenik Masif / ARDS</w:t>
      </w:r>
      <w:r>
        <w:rPr/>
        <w:t xml:space="preserve"> umumnya terjadi pada hari ke-3 hingga hari ke-5 pasca-paparan jika periode laten ini diabaikan.</w:t>
      </w:r>
    </w:p>
    <w:p>
      <w:pPr>
        <w:spacing w:after="40"/>
        <w:ind w:left="340" w:hanging="283"/>
      </w:pPr>
      <w:r>
        <w:rPr/>
        <w:t xml:space="preserve">3. </w:t>
      </w:r>
      <w:r>
        <w:rPr>
          <w:b/>
        </w:rPr>
        <w:t>Terapi Antidotum Spesifik / Kelasi Pilihan: Natrium Dietilditiokarbamat (Na-DDC / Ditiokarb):</w:t>
      </w:r>
    </w:p>
    <w:p>
      <w:pPr>
        <w:pStyle w:val="ListBullet2"/>
        <w:spacing w:after="20"/>
      </w:pPr>
      <w:r>
        <w:rPr>
          <w:i/>
        </w:rPr>
        <w:t>Drug of Choice:</w:t>
      </w:r>
      <w:r>
        <w:rPr/>
        <w:t xml:space="preserve"> </w:t>
      </w:r>
      <w:r>
        <w:rPr>
          <w:b/>
        </w:rPr>
        <w:t>Natrium Dietilditiokarbamat (Na-DDC / Ditiokarb / Sodium Diethyldithiocarbamate)</w:t>
      </w:r>
      <w:r>
        <w:rPr/>
        <w:t xml:space="preserve"> merupakan antidotum kelator spesifik lini pertama (</w:t>
      </w:r>
      <w:r>
        <w:rPr>
          <w:i/>
        </w:rPr>
        <w:t>gold standard</w:t>
      </w:r>
      <w:r>
        <w:rPr/>
        <w:t>) yang dikembangkan oleh F.W. Sunderman.</w:t>
      </w:r>
    </w:p>
    <w:p>
      <w:pPr>
        <w:pStyle w:val="ListBullet2"/>
        <w:spacing w:after="20"/>
      </w:pPr>
      <w:r>
        <w:rPr>
          <w:i/>
        </w:rPr>
        <w:t>Mekanisme:</w:t>
      </w:r>
      <w:r>
        <w:rPr/>
        <w:t xml:space="preserve"> Gugus ditiokarbamat pada Na-DDC mengikat kation nikel intraseluler dari dekomposisi nikel karbonil, membentuk kompleks kelat kelarutan stabil yang diekskresikan secara masif dan aman melalui ginjal, serta terbukti secara dramatis menurunkan angka kematian dan mencegah pembentukan lesi paru destruktif.</w:t>
      </w:r>
    </w:p>
    <w:p>
      <w:pPr>
        <w:pStyle w:val="ListBullet2"/>
        <w:spacing w:after="20"/>
      </w:pPr>
      <w:r>
        <w:rPr>
          <w:i/>
        </w:rPr>
        <w:t>Dosis dan Rute:</w:t>
      </w:r>
    </w:p>
    <w:p>
      <w:pPr>
        <w:pStyle w:val="ListBullet3"/>
        <w:spacing w:after="20"/>
      </w:pPr>
      <w:r>
        <w:rPr>
          <w:i/>
        </w:rPr>
        <w:t>Kasus Ringan-Sedang (U-Ni 8 jam 100–500 µg/L):</w:t>
      </w:r>
      <w:r>
        <w:rPr/>
        <w:t xml:space="preserve"> Diberikan per oral dengan dosis awal 1 g, dilanjutkan 200–400 mg setiap 4 jam.</w:t>
      </w:r>
    </w:p>
    <w:p>
      <w:pPr>
        <w:pStyle w:val="ListBullet3"/>
        <w:spacing w:after="20"/>
      </w:pPr>
      <w:r>
        <w:rPr>
          <w:i/>
        </w:rPr>
        <w:t>Kasus Berat / Kritis (U-Ni 8 jam &gt; 500 µg/L atau timbul dispnea):</w:t>
      </w:r>
      <w:r>
        <w:rPr/>
        <w:t xml:space="preserve"> Diberikan via infus intravena lambat dengan dosis awal 25 mg/kgBB dilarutkan dalam 500 mL D5% atau NaCl 0,9%.</w:t>
      </w:r>
    </w:p>
    <w:p>
      <w:pPr>
        <w:spacing w:after="40"/>
        <w:ind w:left="340" w:hanging="283"/>
      </w:pPr>
      <w:r>
        <w:rPr/>
        <w:t xml:space="preserve">4. </w:t>
      </w:r>
      <w:r>
        <w:rPr>
          <w:b/>
        </w:rPr>
        <w:t>Alternatif Farmakologis: Disulfiram (Antabuse):</w:t>
      </w:r>
    </w:p>
    <w:p>
      <w:pPr>
        <w:pStyle w:val="ListBullet2"/>
        <w:spacing w:after="20"/>
      </w:pPr>
      <w:r>
        <w:rPr/>
        <w:t xml:space="preserve">Jika sediaan Na-DDC tidak tersedia di fasilitas darurat, obat </w:t>
      </w:r>
      <w:r>
        <w:rPr>
          <w:b/>
        </w:rPr>
        <w:t>Disulfiram</w:t>
      </w:r>
      <w:r>
        <w:rPr/>
        <w:t xml:space="preserve"> per oral dapat digunakan sebagai alternatif penyelamat.</w:t>
      </w:r>
    </w:p>
    <w:p>
      <w:pPr>
        <w:pStyle w:val="ListBullet2"/>
        <w:spacing w:after="20"/>
      </w:pPr>
      <w:r>
        <w:rPr>
          <w:i/>
        </w:rPr>
        <w:t>Mekanisme Biotransformasi:</w:t>
      </w:r>
      <w:r>
        <w:rPr/>
        <w:t xml:space="preserve"> Di dalam tubuh manusia, molekul disulfiram (tetraetiltiuram disulfida) mengalami reduksi enzimatik cepat menghasilkan </w:t>
      </w:r>
      <w:r>
        <w:rPr>
          <w:b/>
        </w:rPr>
        <w:t>dua molekul dietilditiokarbamat (DDC)</w:t>
      </w:r>
      <w:r>
        <w:rPr/>
        <w:t xml:space="preserve"> bebas yang langsung bertindak sebagai agen kelasi nikel aktif. Diberikan dosis oral awal 1 g, diikuti 500 mg setiap 8 jam.</w:t>
      </w:r>
    </w:p>
    <w:p>
      <w:pPr>
        <w:spacing w:after="40"/>
        <w:ind w:left="340" w:hanging="283"/>
      </w:pPr>
      <w:r>
        <w:rPr/>
        <w:t xml:space="preserve">5. </w:t>
      </w:r>
      <w:r>
        <w:rPr>
          <w:b/>
        </w:rPr>
        <w:t>Kegagalan / Kontraindikasi Relatif BAL dan CaNa₂EDTA:</w:t>
      </w:r>
    </w:p>
    <w:p>
      <w:pPr>
        <w:pStyle w:val="ListBullet2"/>
        <w:spacing w:after="20"/>
      </w:pPr>
      <w:r>
        <w:rPr>
          <w:b/>
        </w:rPr>
        <w:t>BAL (Dimerkaprol):</w:t>
      </w:r>
      <w:r>
        <w:rPr/>
        <w:t xml:space="preserve"> Dahulu digunakan sebelum ditemukannya Ditiokarb, namun uji klinis membuktikan BAL memiliki efikasi yang jauh lebih rendah, toksisitas sampingan tinggi, dan </w:t>
      </w:r>
      <w:r>
        <w:rPr>
          <w:b/>
        </w:rPr>
        <w:t>dapat memicu redistribusi transien nikel ke organ parenkim lain</w:t>
      </w:r>
      <w:r>
        <w:rPr/>
        <w:t>.</w:t>
      </w:r>
    </w:p>
    <w:p>
      <w:pPr>
        <w:pStyle w:val="ListBullet2"/>
        <w:spacing w:after="20"/>
      </w:pPr>
      <w:r>
        <w:rPr>
          <w:b/>
        </w:rPr>
        <w:t>CaNa₂EDTA:</w:t>
      </w:r>
      <w:r>
        <w:rPr/>
        <w:t xml:space="preserve"> Meskipun mampu mengikat nikel ekstraseluler dalam serum, molekul EDTA bersifat hidrofilik dan </w:t>
      </w:r>
      <w:r>
        <w:rPr>
          <w:b/>
        </w:rPr>
        <w:t>gagal menembus barier intraseluler sel paru secara memadai</w:t>
      </w:r>
      <w:r>
        <w:rPr/>
        <w:t>, sehingga terbukti tidak efektif mencegah kerusakan alveolar fatal pasca-inhalasi nikel karbonil.</w:t>
      </w:r>
    </w:p>
    <w:p>
      <w:pPr>
        <w:spacing w:after="40"/>
        <w:ind w:left="340" w:hanging="283"/>
      </w:pPr>
      <w:r>
        <w:rPr/>
        <w:t xml:space="preserve">6. </w:t>
      </w:r>
      <w:r>
        <w:rPr>
          <w:b/>
        </w:rPr>
        <w:t>Tatalaksana Suportif ARDS:</w:t>
      </w:r>
    </w:p>
    <w:p>
      <w:pPr>
        <w:pStyle w:val="ListBullet2"/>
        <w:spacing w:after="20"/>
      </w:pPr>
      <w:r>
        <w:rPr/>
        <w:t>Suplementasi oksigen lembap aliran tinggi guna mempertahankan SpO₂ &gt; 92%.</w:t>
      </w:r>
    </w:p>
    <w:p>
      <w:pPr>
        <w:pStyle w:val="ListBullet2"/>
        <w:spacing w:after="20"/>
      </w:pPr>
      <w:r>
        <w:rPr/>
        <w:t xml:space="preserve">Jika terjadi gagal napas hipoksemik refrakter, inisiasi intubasi endotrakeal dan </w:t>
      </w:r>
      <w:r>
        <w:rPr>
          <w:b/>
        </w:rPr>
        <w:t>ventilasi mekanik proteksi paru (</w:t>
      </w:r>
      <w:r>
        <w:rPr>
          <w:b/>
          <w:i/>
        </w:rPr>
        <w:t>lung-protective mechanical ventilation</w:t>
      </w:r>
      <w:r>
        <w:rPr>
          <w:b/>
        </w:rPr>
        <w:t>) dengan volume tidal rendah (6 mL/kgBB prediksi) dan titrasi PEEP optimal</w:t>
      </w:r>
      <w:r>
        <w:rPr/>
        <w:t>.</w:t>
      </w:r>
    </w:p>
    <w:p>
      <w:pPr>
        <w:pStyle w:val="ListBullet2"/>
        <w:spacing w:after="20"/>
      </w:pPr>
      <w:r>
        <w:rPr/>
        <w:t>Pemberian kortikosteroid intravena (misalnya metilprednisolon) dapat dipertimbangkan pada fase eksudatif dini untuk menekan kaskade sitokin paru.</w:t>
      </w:r>
    </w:p>
    <w:p>
      <w:pPr>
        <w:pStyle w:val="Heading4"/>
      </w:pPr>
      <w:r>
        <w:t>b. Tatalaksana Dermatitis Kontak Alergi (Nickel Itch)</w:t>
      </w:r>
    </w:p>
    <w:p>
      <w:pPr>
        <w:spacing w:after="40"/>
        <w:ind w:left="340" w:hanging="283"/>
      </w:pPr>
      <w:r>
        <w:rPr/>
        <w:t xml:space="preserve">1. </w:t>
      </w:r>
      <w:r>
        <w:rPr>
          <w:b/>
        </w:rPr>
        <w:t>Konfirmasi Diagnostik Objektif: Uji Tempel Kulit (</w:t>
      </w:r>
      <w:r>
        <w:rPr>
          <w:b/>
          <w:i/>
        </w:rPr>
        <w:t>Patch Test</w:t>
      </w:r>
      <w:r>
        <w:rPr>
          <w:b/>
        </w:rPr>
        <w:t>):</w:t>
      </w:r>
    </w:p>
    <w:p>
      <w:pPr>
        <w:pStyle w:val="ListBullet2"/>
        <w:spacing w:after="20"/>
      </w:pPr>
      <w:r>
        <w:rPr/>
        <w:t>Merupakan baku emas penegakan diagnosis sensitisasi nikel tipe IV.</w:t>
      </w:r>
    </w:p>
    <w:p>
      <w:pPr>
        <w:pStyle w:val="ListBullet2"/>
        <w:spacing w:after="20"/>
      </w:pPr>
      <w:r>
        <w:rPr>
          <w:i/>
        </w:rPr>
        <w:t>Protokol Baku:</w:t>
      </w:r>
      <w:r>
        <w:rPr/>
        <w:t xml:space="preserve"> Aplikasi alergen </w:t>
      </w:r>
      <w:r>
        <w:rPr>
          <w:b/>
        </w:rPr>
        <w:t>Nikel Sulfat Heksahidrat konsentrasi 5% dalam pembawa petrolatum (5% nickel sulfate in white petrolatum)</w:t>
      </w:r>
      <w:r>
        <w:rPr/>
        <w:t xml:space="preserve"> pada kulit punggung atas menggunakan bilik Finn Chamber.</w:t>
      </w:r>
    </w:p>
    <w:p>
      <w:pPr>
        <w:pStyle w:val="ListBullet2"/>
        <w:spacing w:after="20"/>
      </w:pPr>
      <w:r>
        <w:rPr>
          <w:i/>
        </w:rPr>
        <w:t>Waktu Pembacaan:</w:t>
      </w:r>
      <w:r>
        <w:rPr/>
        <w:t xml:space="preserve"> Evaluasi dilakukan setelah pelepasan tempelan pada </w:t>
      </w:r>
      <w:r>
        <w:rPr>
          <w:b/>
        </w:rPr>
        <w:t>48 jam (Hari ke-2)</w:t>
      </w:r>
      <w:r>
        <w:rPr/>
        <w:t xml:space="preserve"> dan pembacaan konfirmasi pada </w:t>
      </w:r>
      <w:r>
        <w:rPr>
          <w:b/>
        </w:rPr>
        <w:t>72 hingga 96 jam (Hari ke-3 atau ke-4)</w:t>
      </w:r>
      <w:r>
        <w:rPr/>
        <w:t xml:space="preserve"> pasca-aplikasi. Hasil positif ditandai dengan eritema infiltratif, edema, dan papulovesikel gatal (reaksi derajat + hingga +++).</w:t>
      </w:r>
    </w:p>
    <w:p>
      <w:pPr>
        <w:spacing w:after="40"/>
        <w:ind w:left="340" w:hanging="283"/>
      </w:pPr>
      <w:r>
        <w:rPr/>
        <w:t xml:space="preserve">2. </w:t>
      </w:r>
      <w:r>
        <w:rPr>
          <w:b/>
        </w:rPr>
        <w:t>Terapi Eliminasi Kontak Fisik (</w:t>
      </w:r>
      <w:r>
        <w:rPr>
          <w:b/>
          <w:i/>
        </w:rPr>
        <w:t>Source Elimination</w:t>
      </w:r>
      <w:r>
        <w:rPr>
          <w:b/>
        </w:rPr>
        <w:t>):</w:t>
      </w:r>
    </w:p>
    <w:p>
      <w:pPr>
        <w:pStyle w:val="ListBullet2"/>
        <w:spacing w:after="20"/>
      </w:pPr>
      <w:r>
        <w:rPr>
          <w:i/>
        </w:rPr>
        <w:t>Langkah Terpenting:</w:t>
      </w:r>
      <w:r>
        <w:rPr/>
        <w:t xml:space="preserve"> Memutus kontak langsung antara kulit dengan objek yang melepaskan ion nikel.</w:t>
      </w:r>
    </w:p>
    <w:p>
      <w:pPr>
        <w:pStyle w:val="ListBullet2"/>
        <w:spacing w:after="20"/>
      </w:pPr>
      <w:r>
        <w:rPr/>
        <w:t>Penggunaan alat kerja berbahan baja nirkarat austenitik berkualitas tinggi yang terikat stabil (</w:t>
      </w:r>
      <w:r>
        <w:rPr>
          <w:i/>
        </w:rPr>
        <w:t>high-grade passivated stainless steel</w:t>
      </w:r>
      <w:r>
        <w:rPr/>
        <w:t xml:space="preserve"> seri 316L), plastik, titan, aloi aluminium, atau melapisi gagang alat kerja dengan bahan isolator poliuretan/plastik.</w:t>
      </w:r>
    </w:p>
    <w:p>
      <w:pPr>
        <w:spacing w:after="40"/>
        <w:ind w:left="340" w:hanging="283"/>
      </w:pPr>
      <w:r>
        <w:rPr/>
        <w:t xml:space="preserve">3. </w:t>
      </w:r>
      <w:r>
        <w:rPr>
          <w:b/>
        </w:rPr>
        <w:t>Farmakoterapi Dermatologis:</w:t>
      </w:r>
    </w:p>
    <w:p>
      <w:pPr>
        <w:pStyle w:val="ListBullet2"/>
        <w:spacing w:after="20"/>
      </w:pPr>
      <w:r>
        <w:rPr>
          <w:i/>
        </w:rPr>
        <w:t>Fase Akut (Vesikular &amp; Eksudatif):</w:t>
      </w:r>
      <w:r>
        <w:rPr/>
        <w:t xml:space="preserve"> Kompres basah terbuka menggunakan larutan salin fisiologis dingin untuk mengeringkan lesi, dilanjutkan </w:t>
      </w:r>
      <w:r>
        <w:rPr>
          <w:b/>
        </w:rPr>
        <w:t>kortikosteroid topikal potensi sedang hingga tinggi (seperti mometason furoat 0,1% atau klobetasol propionat 0,05%)</w:t>
      </w:r>
      <w:r>
        <w:rPr/>
        <w:t xml:space="preserve"> selama 1 hingga 2 minggu.</w:t>
      </w:r>
    </w:p>
    <w:p>
      <w:pPr>
        <w:pStyle w:val="ListBullet2"/>
        <w:spacing w:after="20"/>
      </w:pPr>
      <w:r>
        <w:rPr>
          <w:i/>
        </w:rPr>
        <w:t>Fase Kronis (Likenifikasi &amp; Fisura):</w:t>
      </w:r>
      <w:r>
        <w:rPr/>
        <w:t xml:space="preserve"> Emolien barier hidrasi tinggi dan keratolitik ringan.</w:t>
      </w:r>
    </w:p>
    <w:p>
      <w:pPr>
        <w:pStyle w:val="ListBullet2"/>
        <w:spacing w:after="20"/>
      </w:pPr>
      <w:r>
        <w:rPr>
          <w:i/>
        </w:rPr>
        <w:t>Krim Barier Pengkelat Topikal (*Chelating Barrier Creams</w:t>
      </w:r>
      <w:r>
        <w:rPr/>
        <w:t>):* Aplikasi krim barier topikal yang mengandung agen pengikat nikel (seperti dietilentriaminpentaasetat / DTPA, kalsium karbonat, atau partikulat nano-zink) sebelum gilir kerja untuk menangkap ion Ni²⁺ dari keringat sebelum menembus stratum korneum.</w:t>
      </w:r>
    </w:p>
    <w:p>
      <w:pPr>
        <w:pStyle w:val="Heading3"/>
      </w:pPr>
      <w:r>
        <w:t>4. Tatalaksana Okupasi Komprehensif: Individu dan Komunitas</w:t>
      </w:r>
    </w:p>
    <w:p>
      <w:pPr>
        <w:spacing w:after="80"/>
      </w:pPr>
      <w:r>
        <w:rPr/>
        <w:t>Sebagai dokter spesialis, pendekatan Anda wajib mencakup aspek medikolegal, kelaikan kerja, dan rekayasa keselamatan industri:</w:t>
      </w:r>
    </w:p>
    <w:p>
      <w:pPr>
        <w:spacing w:after="120"/>
        <w:ind w:left="170"/>
      </w:pPr>
      <w:r>
        <w:rPr>
          <w:rFonts w:ascii="Consolas" w:hAnsi="Consolas" w:eastAsia="Consolas"/>
          <w:sz w:val="13"/>
        </w:rPr>
        <w:t xml:space="preserve">                      [ MANAJEMEN OKUPASI KOMPREHENSIF NIKEL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[ 7 LANGKAH PERMENKES 11/2022 ]    [ KELAIKAN KERJA (FITNESS) ]      [ HIERARKI KONTROL MANAJEMEN ]</w:t>
      </w:r>
      <w:r>
        <w:br/>
      </w:r>
      <w:r>
        <w:rPr>
          <w:rFonts w:ascii="Consolas" w:hAnsi="Consolas" w:eastAsia="Consolas"/>
          <w:sz w:val="13"/>
        </w:rPr>
        <w:t>1. Diagnosis Klinis (ICD-10)       • Fit: Sehat, barier kulit utuh   • Rekayasa: Bak elektroplating</w:t>
      </w:r>
      <w:r>
        <w:br/>
      </w:r>
      <w:r>
        <w:rPr>
          <w:rFonts w:ascii="Consolas" w:hAnsi="Consolas" w:eastAsia="Consolas"/>
          <w:sz w:val="13"/>
        </w:rPr>
        <w:t>2. Pajanan Lapangan (Plating/Las)  • Fit with Restriction:             tertutup, LEV bertudung hisap</w:t>
      </w:r>
      <w:r>
        <w:br/>
      </w:r>
      <w:r>
        <w:rPr>
          <w:rFonts w:ascii="Consolas" w:hAnsi="Consolas" w:eastAsia="Consolas"/>
          <w:sz w:val="13"/>
        </w:rPr>
        <w:t>3. Hubungan Kausal Ilmiah (IARC 1)   Sensitisasi kulit / atopi berat,• APD: Sarung tangan NITRIL tebal</w:t>
      </w:r>
      <w:r>
        <w:br/>
      </w:r>
      <w:r>
        <w:rPr>
          <w:rFonts w:ascii="Consolas" w:hAnsi="Consolas" w:eastAsia="Consolas"/>
          <w:sz w:val="13"/>
        </w:rPr>
        <w:t>4. Besaran Dosis (NAB, BEI urin)     DILARANG kontak basah garam Ni    (bukan lateks tipis yang bocor!)</w:t>
      </w:r>
      <w:r>
        <w:br/>
      </w:r>
      <w:r>
        <w:rPr>
          <w:rFonts w:ascii="Consolas" w:hAnsi="Consolas" w:eastAsia="Consolas"/>
          <w:sz w:val="13"/>
        </w:rPr>
        <w:t>5. Faktor Host (Atopi, maserasi)   • Temporary Unfit: Flare akut     • Pemantauan: Udara kerja berkala</w:t>
      </w:r>
      <w:r>
        <w:br/>
      </w:r>
      <w:r>
        <w:rPr>
          <w:rFonts w:ascii="Consolas" w:hAnsi="Consolas" w:eastAsia="Consolas"/>
          <w:sz w:val="13"/>
        </w:rPr>
        <w:t>6. Faktor Luar (Tindik, jeans, koin) dermatitis, asma tak stabil       dan biomonitoring urin mingguan</w:t>
      </w:r>
      <w:r>
        <w:br/>
      </w:r>
      <w:r>
        <w:rPr>
          <w:rFonts w:ascii="Consolas" w:hAnsi="Consolas" w:eastAsia="Consolas"/>
          <w:sz w:val="13"/>
        </w:rPr>
        <w:t>7. KESIMPULAN DIAGNOSIS PAK        • Unfit (Permanent): Kanker paru, • Regulasi pelepasan ion nikel</w:t>
      </w:r>
      <w:r>
        <w:br/>
      </w:r>
      <w:r>
        <w:rPr>
          <w:rFonts w:ascii="Consolas" w:hAnsi="Consolas" w:eastAsia="Consolas"/>
          <w:sz w:val="13"/>
        </w:rPr>
        <w:t xml:space="preserve">                                     kanker sinonasal, asma berat      &lt; 0,5 µg/cm²/minggu (EU Directive)</w:t>
      </w:r>
    </w:p>
    <w:p>
      <w:pPr>
        <w:pStyle w:val="Heading4"/>
      </w:pPr>
      <w:r>
        <w:t>a. Penerapan 7 Langkah Diagnosis PAK (Permenkes No. 11 Tahun 2022)</w:t>
      </w:r>
    </w:p>
    <w:p>
      <w:pPr>
        <w:spacing w:after="80"/>
      </w:pPr>
      <w:r>
        <w:rPr/>
        <w:t>Kasus: Seorang teknisi bak elektroplating (</w:t>
      </w:r>
      <w:r>
        <w:rPr>
          <w:i/>
        </w:rPr>
        <w:t>electroplater</w:t>
      </w:r>
      <w:r>
        <w:rPr/>
        <w:t>) atau tukang las baja nirkarat (</w:t>
      </w:r>
      <w:r>
        <w:rPr>
          <w:i/>
        </w:rPr>
        <w:t>stainless steel welder</w:t>
      </w:r>
      <w:r>
        <w:rPr/>
        <w:t>) dengan lesi eksim berulang di tangan, serangan mengi malam hari, atau karsinoma kavum nasi:</w:t>
      </w:r>
    </w:p>
    <w:p>
      <w:pPr>
        <w:spacing w:after="40"/>
        <w:ind w:left="340" w:hanging="283"/>
      </w:pPr>
      <w:r>
        <w:rPr/>
        <w:t xml:space="preserve">1. </w:t>
      </w:r>
      <w:r>
        <w:rPr>
          <w:b/>
        </w:rPr>
        <w:t>Langkah 1 (Diagnosis Klinis):</w:t>
      </w:r>
    </w:p>
    <w:p>
      <w:pPr>
        <w:pStyle w:val="ListBullet2"/>
        <w:spacing w:after="20"/>
      </w:pPr>
      <w:r>
        <w:rPr>
          <w:i/>
        </w:rPr>
        <w:t>Allergic contact dermatitis due to nickel</w:t>
      </w:r>
      <w:r>
        <w:rPr/>
        <w:t xml:space="preserve"> (ICD-10: L23.0).</w:t>
      </w:r>
    </w:p>
    <w:p>
      <w:pPr>
        <w:pStyle w:val="ListBullet2"/>
        <w:spacing w:after="20"/>
      </w:pPr>
      <w:r>
        <w:rPr>
          <w:i/>
        </w:rPr>
        <w:t>Occupational asthma induced by nickel salts</w:t>
      </w:r>
      <w:r>
        <w:rPr/>
        <w:t xml:space="preserve"> (ICD-10: J45.0).</w:t>
      </w:r>
    </w:p>
    <w:p>
      <w:pPr>
        <w:pStyle w:val="ListBullet2"/>
        <w:spacing w:after="20"/>
      </w:pPr>
      <w:r>
        <w:rPr>
          <w:i/>
        </w:rPr>
        <w:t>Malignant neoplasm of bronchus and lung</w:t>
      </w:r>
      <w:r>
        <w:rPr/>
        <w:t xml:space="preserve"> (ICD-10: C34) atau </w:t>
      </w:r>
      <w:r>
        <w:rPr>
          <w:i/>
        </w:rPr>
        <w:t>sinonasal cancer</w:t>
      </w:r>
      <w:r>
        <w:rPr/>
        <w:t xml:space="preserve"> (C30.0 / C31).</w:t>
      </w:r>
    </w:p>
    <w:p>
      <w:pPr>
        <w:spacing w:after="40"/>
        <w:ind w:left="340" w:hanging="283"/>
      </w:pPr>
      <w:r>
        <w:rPr/>
        <w:t xml:space="preserve">2. </w:t>
      </w:r>
      <w:r>
        <w:rPr>
          <w:b/>
        </w:rPr>
        <w:t>Langkah 2 (Pajanan di Tempat Kerja):</w:t>
      </w:r>
    </w:p>
    <w:p>
      <w:pPr>
        <w:spacing w:after="80"/>
      </w:pPr>
      <w:r>
        <w:rPr/>
        <w:t>Pekerja menangani bak elektroplating garam nikel sulfat/klorida tanpa sarung tangan yang memadai, terpajan kabut asam nikel terhirup, atau melakukan pengelasan busur listrik baja nirkarat (aloi nikel 8–12%).</w:t>
      </w:r>
    </w:p>
    <w:p>
      <w:pPr>
        <w:spacing w:after="40"/>
        <w:ind w:left="340" w:hanging="283"/>
      </w:pPr>
      <w:r>
        <w:rPr/>
        <w:t xml:space="preserve">3. </w:t>
      </w:r>
      <w:r>
        <w:rPr>
          <w:b/>
        </w:rPr>
        <w:t>Langkah 3 (Hubungan Kausalitas Pajanan dan Klinis):</w:t>
      </w:r>
    </w:p>
    <w:p>
      <w:pPr>
        <w:spacing w:after="80"/>
      </w:pPr>
      <w:r>
        <w:rPr/>
        <w:t>Secara biologis dan toksikologis terbukti sahih: ion Ni²⁺ bertindak sebagai hapten menginduksi reaksi hipersensitivitas tipe IV (kulit) dan antibodi IgE spesifik kompleks Ni-Albumin (asma napas); fagositosis partikulat nikel tidak larut menginduksi pembungkaman epigenetik gen penekan tumor (p16) dan inaktivasi enzim perbaikan DNA (XPA) memicu neoplasma epitel paru dan sinonasal.</w:t>
      </w:r>
    </w:p>
    <w:p>
      <w:pPr>
        <w:spacing w:after="40"/>
        <w:ind w:left="340" w:hanging="283"/>
      </w:pPr>
      <w:r>
        <w:rPr/>
        <w:t xml:space="preserve">4. </w:t>
      </w:r>
      <w:r>
        <w:rPr>
          <w:b/>
        </w:rPr>
        <w:t>Langkah 4 (Besarnya Dosis Pajanan):</w:t>
      </w:r>
    </w:p>
    <w:p>
      <w:pPr>
        <w:spacing w:after="80"/>
      </w:pPr>
      <w:r>
        <w:rPr/>
        <w:t>Hasil pengukuran udara kerja melampaui NAB Permenaker 5/2018 (&gt; 0,1 mg/m³ atau &gt; 0,2 mg/m³); biomonitoring nikel urin melampaui standar BEI (&gt; 30 µg/L untuk senyawa larut); masa kerja bertahun-tahun; ventilasi hisap lokal tidak memadai.</w:t>
      </w:r>
    </w:p>
    <w:p>
      <w:pPr>
        <w:spacing w:after="40"/>
        <w:ind w:left="340" w:hanging="283"/>
      </w:pPr>
      <w:r>
        <w:rPr/>
        <w:t xml:space="preserve">5. </w:t>
      </w:r>
      <w:r>
        <w:rPr>
          <w:b/>
        </w:rPr>
        <w:t>Langkah 5 (Faktor Kerentanan Individu):</w:t>
      </w:r>
    </w:p>
    <w:p>
      <w:pPr>
        <w:spacing w:after="80"/>
      </w:pPr>
      <w:r>
        <w:rPr/>
        <w:t>Evaluasi riwayat atopi (</w:t>
      </w:r>
      <w:r>
        <w:rPr>
          <w:i/>
        </w:rPr>
        <w:t>atopic diathesis</w:t>
      </w:r>
      <w:r>
        <w:rPr/>
        <w:t>), disfungsi barier kulit bawaan (misalnya mutasi gen filaggrin), maserasi kulit akibat keringat berlebih (</w:t>
      </w:r>
      <w:r>
        <w:rPr>
          <w:i/>
        </w:rPr>
        <w:t>hyperhidrosis</w:t>
      </w:r>
      <w:r>
        <w:rPr/>
        <w:t>), dan status higiene personal.</w:t>
      </w:r>
    </w:p>
    <w:p>
      <w:pPr>
        <w:spacing w:after="40"/>
        <w:ind w:left="340" w:hanging="283"/>
      </w:pPr>
      <w:r>
        <w:rPr/>
        <w:t xml:space="preserve">6. </w:t>
      </w:r>
      <w:r>
        <w:rPr>
          <w:b/>
        </w:rPr>
        <w:t>Langkah 6 (Faktor di Luar Tempat Kerja - SANGAT KRITIS):</w:t>
      </w:r>
    </w:p>
    <w:p>
      <w:pPr>
        <w:pStyle w:val="ListBullet2"/>
        <w:spacing w:after="20"/>
      </w:pPr>
      <w:r>
        <w:rPr>
          <w:i/>
        </w:rPr>
        <w:t>Pada Kasus Dermatitis:</w:t>
      </w:r>
      <w:r>
        <w:rPr/>
        <w:t xml:space="preserve"> Evaluasi riwayat tindik daun telinga (</w:t>
      </w:r>
      <w:r>
        <w:rPr>
          <w:i/>
        </w:rPr>
        <w:t>body piercing</w:t>
      </w:r>
      <w:r>
        <w:rPr/>
        <w:t>), pemakaian perhiasan imitasi murah, jam tangan logam, gesper kepala ikat pinggang, dan kancing celana jin.</w:t>
      </w:r>
    </w:p>
    <w:p>
      <w:pPr>
        <w:pStyle w:val="ListBullet2"/>
        <w:spacing w:after="20"/>
      </w:pPr>
      <w:r>
        <w:rPr>
          <w:i/>
        </w:rPr>
        <w:t>Pada Kasus Kanker Paru:</w:t>
      </w:r>
      <w:r>
        <w:rPr/>
        <w:t xml:space="preserve"> Wajib dihitung indeks Brinkman merokok (konsumsi tembakau mempercepat risiko karsinoma bronkogenik secara sinergis multiplikatif).</w:t>
      </w:r>
    </w:p>
    <w:p>
      <w:pPr>
        <w:spacing w:after="40"/>
        <w:ind w:left="340" w:hanging="283"/>
      </w:pPr>
      <w:r>
        <w:rPr/>
        <w:t xml:space="preserve">7. </w:t>
      </w:r>
      <w:r>
        <w:rPr>
          <w:b/>
        </w:rPr>
        <w:t>Langkah 7 (Kesimpulan Diagnosis Okupasi):</w:t>
      </w:r>
    </w:p>
    <w:p>
      <w:pPr>
        <w:spacing w:after="80"/>
      </w:pPr>
      <w:r>
        <w:rPr/>
        <w:t xml:space="preserve">Ditegakkan secara sah sebagai </w:t>
      </w:r>
      <w:r>
        <w:rPr>
          <w:b/>
        </w:rPr>
        <w:t>Penyakit Akibat Kerja (PAK)</w:t>
      </w:r>
      <w:r>
        <w:rPr/>
        <w:t xml:space="preserve"> berdasarkan </w:t>
      </w:r>
      <w:r>
        <w:rPr>
          <w:b/>
        </w:rPr>
        <w:t>Perpres No. 7 Tahun 2019</w:t>
      </w:r>
      <w:r>
        <w:rPr/>
        <w:t>:</w:t>
      </w:r>
    </w:p>
    <w:p>
      <w:pPr>
        <w:pStyle w:val="ListBullet2"/>
        <w:spacing w:after="20"/>
      </w:pPr>
      <w:r>
        <w:rPr/>
        <w:t>Jika dermatitis alergi: Lampiran I.a Butir 14 ("Penyakit yang disebabkan oleh nikel atau persenyawaannya").</w:t>
      </w:r>
    </w:p>
    <w:p>
      <w:pPr>
        <w:pStyle w:val="ListBullet2"/>
        <w:spacing w:after="20"/>
      </w:pPr>
      <w:r>
        <w:rPr/>
        <w:t>Jika kanker paru atau sinonasal: Lampiran III Butir 14 ("Kanker yang disebabkan oleh nikel dan senyawanya").</w:t>
      </w:r>
    </w:p>
    <w:p>
      <w:pPr>
        <w:pStyle w:val="ListBullet2"/>
        <w:spacing w:after="20"/>
      </w:pPr>
      <w:r>
        <w:rPr/>
        <w:t>Pekerja berhak memperoleh jaminan pembiayaan medis dan kompensasi kecacatan dari BPJS Ketenagakerjaan (JKK).</w:t>
      </w:r>
    </w:p>
    <w:p>
      <w:pPr>
        <w:pStyle w:val="Heading4"/>
      </w:pPr>
      <w:r>
        <w:t>b. Penilaian Kelaikan Kerja (Fitness for Work)</w:t>
      </w:r>
    </w:p>
    <w:p>
      <w:pPr>
        <w:pStyle w:val="ListBullet"/>
        <w:spacing w:after="20"/>
      </w:pPr>
      <w:r>
        <w:rPr>
          <w:b/>
        </w:rPr>
        <w:t>Fit (Laik Kerja Penuh):</w:t>
      </w:r>
      <w:r>
        <w:rPr/>
        <w:t xml:space="preserve"> Pekerja sehat tanpa riwayat sensitisasi nikel, barier kulit intak, fungsi paru normal, dan hasil pemantauan lingkungan serta urin terkendali di bawah NAB/BEI.</w:t>
      </w:r>
    </w:p>
    <w:p>
      <w:pPr>
        <w:pStyle w:val="ListBullet"/>
        <w:spacing w:after="20"/>
      </w:pPr>
      <w:r>
        <w:rPr>
          <w:b/>
        </w:rPr>
        <w:t>Fit with Restriction (Laik Kerja dengan Pembatasan):</w:t>
      </w:r>
    </w:p>
    <w:p>
      <w:pPr>
        <w:pStyle w:val="ListBullet2"/>
        <w:spacing w:after="20"/>
      </w:pPr>
      <w:r>
        <w:rPr/>
        <w:t xml:space="preserve">Pekerja dengan </w:t>
      </w:r>
      <w:r>
        <w:rPr>
          <w:b/>
        </w:rPr>
        <w:t>riwayat sensitisasi nikel positif (patch test positif) atau dermatitis kontak teratasi</w:t>
      </w:r>
      <w:r>
        <w:rPr/>
        <w:t xml:space="preserve">: </w:t>
      </w:r>
      <w:r>
        <w:rPr>
          <w:b/>
        </w:rPr>
        <w:t>DILARANG bekerja di area yang melibatkan kontak langsung dengan larutan garam nikel basah, bak elektroplating, atau uap nikel karbonil</w:t>
      </w:r>
      <w:r>
        <w:rPr/>
        <w:t>.</w:t>
      </w:r>
    </w:p>
    <w:p>
      <w:pPr>
        <w:pStyle w:val="ListBullet2"/>
        <w:spacing w:after="20"/>
      </w:pPr>
      <w:r>
        <w:rPr/>
        <w:t xml:space="preserve">Pekerja dialihkan ke area perakitan kering, pergudangan tertutup berventilasi baik, dan </w:t>
      </w:r>
      <w:r>
        <w:rPr>
          <w:b/>
        </w:rPr>
        <w:t>wajib menggunakan sarung tangan barier nitril tebal atau sarung tangan berlapis ganda</w:t>
      </w:r>
      <w:r>
        <w:rPr/>
        <w:t>.</w:t>
      </w:r>
    </w:p>
    <w:p>
      <w:pPr>
        <w:pStyle w:val="ListBullet2"/>
        <w:spacing w:after="20"/>
      </w:pPr>
      <w:r>
        <w:rPr>
          <w:i/>
        </w:rPr>
        <w:t>Pekerja dengan Riwayat Atopi Berat:</w:t>
      </w:r>
      <w:r>
        <w:rPr/>
        <w:t xml:space="preserve"> Dipertimbangkan pembatasan kerja dari area dengan kelembapan tinggi dan pelarut organik yang merusak barier epidermis.</w:t>
      </w:r>
    </w:p>
    <w:p>
      <w:pPr>
        <w:pStyle w:val="ListBullet"/>
        <w:spacing w:after="20"/>
      </w:pPr>
      <w:r>
        <w:rPr>
          <w:b/>
        </w:rPr>
        <w:t xml:space="preserve">Temporary Unfit (Tidak Laik Sementara / </w:t>
      </w:r>
      <w:r>
        <w:rPr>
          <w:b/>
          <w:i/>
        </w:rPr>
        <w:t>Medical Removal</w:t>
      </w:r>
      <w:r>
        <w:rPr>
          <w:b/>
        </w:rPr>
        <w:t>):</w:t>
      </w:r>
    </w:p>
    <w:p>
      <w:pPr>
        <w:pStyle w:val="ListBullet2"/>
        <w:spacing w:after="20"/>
      </w:pPr>
      <w:r>
        <w:rPr/>
        <w:t>Pekerja yang sedang mengalami eksaserbasi akut dermatitis kontak vesikular luas pada tangan dan lengan.</w:t>
      </w:r>
    </w:p>
    <w:p>
      <w:pPr>
        <w:pStyle w:val="ListBullet2"/>
        <w:spacing w:after="20"/>
      </w:pPr>
      <w:r>
        <w:rPr/>
        <w:t>Pekerja dengan serangan asma kerja akut yang sedang memerlukan stabilisasi bronkodilator dan steroid inhalasi.</w:t>
      </w:r>
    </w:p>
    <w:p>
      <w:pPr>
        <w:pStyle w:val="ListBullet2"/>
        <w:spacing w:after="20"/>
      </w:pPr>
      <w:r>
        <w:rPr/>
        <w:t>Pekerja pasca-terpapar kebocoran uap nikel karbonil (wajib istirahat dan diobservasi minimal 48–72 jam).</w:t>
      </w:r>
    </w:p>
    <w:p>
      <w:pPr>
        <w:pStyle w:val="ListBullet"/>
        <w:spacing w:after="20"/>
      </w:pPr>
      <w:r>
        <w:rPr>
          <w:b/>
        </w:rPr>
        <w:t>Unfit (Tidak Laik Kerja Permanen):</w:t>
      </w:r>
    </w:p>
    <w:p>
      <w:pPr>
        <w:pStyle w:val="ListBullet2"/>
        <w:spacing w:after="20"/>
      </w:pPr>
      <w:r>
        <w:rPr/>
        <w:t xml:space="preserve">Pekerja dengan </w:t>
      </w:r>
      <w:r>
        <w:rPr>
          <w:b/>
        </w:rPr>
        <w:t>asma akibat kerja terhadap garam nikel yang terbukti refrakter</w:t>
      </w:r>
      <w:r>
        <w:rPr/>
        <w:t xml:space="preserve"> (timbul bronkospasme berat berulang meski telah menggunakan APD respirator).</w:t>
      </w:r>
    </w:p>
    <w:p>
      <w:pPr>
        <w:pStyle w:val="ListBullet2"/>
        <w:spacing w:after="20"/>
      </w:pPr>
      <w:r>
        <w:rPr/>
        <w:t>Pekerja dengan perforasi septum nasi luas yang disertai infeksi sekunder destruktif.</w:t>
      </w:r>
    </w:p>
    <w:p>
      <w:pPr>
        <w:pStyle w:val="ListBullet2"/>
        <w:spacing w:after="20"/>
      </w:pPr>
      <w:r>
        <w:rPr/>
        <w:t>Pekerja yang terdiagnosis menderita karsinoma paru bronkogenik atau karsinoma sinonasal. Direkomendasikan untuk pemutusan pajanan nikel permanen dan penetapan persentase kecacatan kerja jaminan sosial.</w:t>
      </w:r>
    </w:p>
    <w:p>
      <w:pPr>
        <w:pStyle w:val="Heading4"/>
      </w:pPr>
      <w:r>
        <w:t>c. Rekomendasi Manajemen Industri dan Proteksi Komunitas</w:t>
      </w:r>
    </w:p>
    <w:p>
      <w:pPr>
        <w:spacing w:after="40"/>
        <w:ind w:left="340" w:hanging="283"/>
      </w:pPr>
      <w:r>
        <w:rPr/>
        <w:t xml:space="preserve">1. </w:t>
      </w:r>
      <w:r>
        <w:rPr>
          <w:b/>
        </w:rPr>
        <w:t>Hierarki Pengendalian Bahaya Kimiawi Industri (Permenaker 5/2018 &amp; Kepmenaker 187/1999):</w:t>
      </w:r>
    </w:p>
    <w:p>
      <w:pPr>
        <w:pStyle w:val="ListBullet2"/>
        <w:spacing w:after="20"/>
      </w:pPr>
      <w:r>
        <w:rPr>
          <w:i/>
        </w:rPr>
        <w:t>Substitusi Bahan:</w:t>
      </w:r>
      <w:r>
        <w:rPr/>
        <w:t xml:space="preserve"> Mengganti komponen nikel pada produk konsumen dengan baja nirkarat kelas bedah bebas pelepasan ion, plastik teknik, atau paduan titanium; mengganti proses elektroplating nikel dengan pelapisan seng-nikel atau pelapisan bubuk (</w:t>
      </w:r>
      <w:r>
        <w:rPr>
          <w:i/>
        </w:rPr>
        <w:t>powder coating</w:t>
      </w:r>
      <w:r>
        <w:rPr/>
        <w:t>).</w:t>
      </w:r>
    </w:p>
    <w:p>
      <w:pPr>
        <w:pStyle w:val="ListBullet2"/>
        <w:spacing w:after="20"/>
      </w:pPr>
      <w:r>
        <w:rPr>
          <w:i/>
        </w:rPr>
        <w:t>Rekayasa Teknis (*Engineering Controls</w:t>
      </w:r>
      <w:r>
        <w:rPr/>
        <w:t>):* Penutupan total bak elektroplating (</w:t>
      </w:r>
      <w:r>
        <w:rPr>
          <w:i/>
        </w:rPr>
        <w:t>enclosed plating tanks</w:t>
      </w:r>
      <w:r>
        <w:rPr/>
        <w:t xml:space="preserve">) dengan tudung penutup transparan otomatis; pemasangan </w:t>
      </w:r>
      <w:r>
        <w:rPr>
          <w:b/>
        </w:rPr>
        <w:t>Ventilasi Pembuangan Lokal (</w:t>
      </w:r>
      <w:r>
        <w:rPr>
          <w:b/>
          <w:i/>
        </w:rPr>
        <w:t>Local Exhaust Ventilation</w:t>
      </w:r>
      <w:r>
        <w:rPr>
          <w:b/>
        </w:rPr>
        <w:t xml:space="preserve"> / LEV) tipe tudung hisap bibir tangki (</w:t>
      </w:r>
      <w:r>
        <w:rPr>
          <w:b/>
          <w:i/>
        </w:rPr>
        <w:t>slot-hood LEV</w:t>
      </w:r>
      <w:r>
        <w:rPr>
          <w:b/>
        </w:rPr>
        <w:t>)</w:t>
      </w:r>
      <w:r>
        <w:rPr/>
        <w:t xml:space="preserve"> untuk menangkap kabut asam aerosol sebelum mencapai zona pernapasan pekerja; penambahan bahan penekan kabut (</w:t>
      </w:r>
      <w:r>
        <w:rPr>
          <w:i/>
        </w:rPr>
        <w:t>surfactant/mist suppressants</w:t>
      </w:r>
      <w:r>
        <w:rPr/>
        <w:t>) pada larutan asam elektrolit.</w:t>
      </w:r>
    </w:p>
    <w:p>
      <w:pPr>
        <w:pStyle w:val="ListBullet2"/>
        <w:spacing w:after="20"/>
      </w:pPr>
      <w:r>
        <w:rPr>
          <w:i/>
        </w:rPr>
        <w:t>Pengendalian Administratif:</w:t>
      </w:r>
      <w:r>
        <w:rPr/>
        <w:t xml:space="preserve"> Pelatihan prosedur kerja aman, rotasi shift kerja, penyediaan fasilitas pembasuh mata dan pancuran darurat (</w:t>
      </w:r>
      <w:r>
        <w:rPr>
          <w:i/>
        </w:rPr>
        <w:t>emergency shower and eye wash</w:t>
      </w:r>
      <w:r>
        <w:rPr/>
        <w:t>), serta kewajiban mandi dan mengganti pakaian dinas sebelum meninggalkan area pabrik.</w:t>
      </w:r>
    </w:p>
    <w:p>
      <w:pPr>
        <w:spacing w:after="40"/>
        <w:ind w:left="340" w:hanging="283"/>
      </w:pPr>
      <w:r>
        <w:rPr/>
        <w:t xml:space="preserve">2. </w:t>
      </w:r>
      <w:r>
        <w:rPr>
          <w:b/>
        </w:rPr>
        <w:t>Pemilihan Alat Pelindung Diri (APD) yang Tepat (Sangat Kritis):</w:t>
      </w:r>
    </w:p>
    <w:p>
      <w:pPr>
        <w:pStyle w:val="ListBullet2"/>
        <w:spacing w:after="20"/>
      </w:pPr>
      <w:r>
        <w:rPr>
          <w:i/>
        </w:rPr>
        <w:t>Sarung Tangan Pelindung Kimia:</w:t>
      </w:r>
      <w:r>
        <w:rPr/>
        <w:t xml:space="preserve"> </w:t>
      </w:r>
      <w:r>
        <w:rPr>
          <w:b/>
        </w:rPr>
        <w:t>DILARANG MENGGUNAKAN SARUNG TANGAN LATEKS ATAU KARET TIPIS KONVENSIONAL</w:t>
      </w:r>
      <w:r>
        <w:rPr/>
        <w:t>. Garam nikel larut mampu berpenetrasi menembus pori-pori mikro sarung tangan lateks dan keringat di dalam sarung tangan akan mempercepat pelarutan ion nikel.</w:t>
      </w:r>
    </w:p>
    <w:p>
      <w:pPr>
        <w:pStyle w:val="ListBullet2"/>
        <w:spacing w:after="20"/>
      </w:pPr>
      <w:r>
        <w:rPr>
          <w:i/>
        </w:rPr>
        <w:t>Rekomendasi:</w:t>
      </w:r>
      <w:r>
        <w:rPr/>
        <w:t xml:space="preserve"> Gunakan sarung tangan berbahan </w:t>
      </w:r>
      <w:r>
        <w:rPr>
          <w:b/>
        </w:rPr>
        <w:t>Karet Butil (</w:t>
      </w:r>
      <w:r>
        <w:rPr>
          <w:b/>
          <w:i/>
        </w:rPr>
        <w:t>Butyl rubber</w:t>
      </w:r>
      <w:r>
        <w:rPr>
          <w:b/>
        </w:rPr>
        <w:t>), Neoprene tebal, atau Nitril berat berstandar EN 374</w:t>
      </w:r>
      <w:r>
        <w:rPr/>
        <w:t xml:space="preserve"> yang diperiksa secara berkala terhadap kebocoran.</w:t>
      </w:r>
    </w:p>
    <w:p>
      <w:pPr>
        <w:pStyle w:val="ListBullet2"/>
        <w:spacing w:after="20"/>
      </w:pPr>
      <w:r>
        <w:rPr>
          <w:i/>
        </w:rPr>
        <w:t>Perlindungan Respiratorik:</w:t>
      </w:r>
      <w:r>
        <w:rPr/>
        <w:t xml:space="preserve"> Penggunaan respirator pemurni udara bertenaga (</w:t>
      </w:r>
      <w:r>
        <w:rPr>
          <w:i/>
        </w:rPr>
        <w:t>PAPR</w:t>
      </w:r>
      <w:r>
        <w:rPr/>
        <w:t xml:space="preserve">) dengan filter partikulat P100 / HEPA efisiensi 99,97% untuk area debu sulfida/oksida, dan </w:t>
      </w:r>
      <w:r>
        <w:rPr>
          <w:b/>
        </w:rPr>
        <w:t>alat pernapasan bertekanan mandiri (</w:t>
      </w:r>
      <w:r>
        <w:rPr>
          <w:b/>
          <w:i/>
        </w:rPr>
        <w:t>Self-Contained Breathing Apparatus</w:t>
      </w:r>
      <w:r>
        <w:rPr>
          <w:b/>
        </w:rPr>
        <w:t xml:space="preserve"> / SCBA) bertekanan positif</w:t>
      </w:r>
      <w:r>
        <w:rPr/>
        <w:t xml:space="preserve"> untuk area berisiko kebocoran gas nikel karbonil.</w:t>
      </w:r>
    </w:p>
    <w:p>
      <w:pPr>
        <w:spacing w:after="40"/>
        <w:ind w:left="340" w:hanging="283"/>
      </w:pPr>
      <w:r>
        <w:rPr/>
        <w:t xml:space="preserve">3. </w:t>
      </w:r>
      <w:r>
        <w:rPr>
          <w:b/>
        </w:rPr>
        <w:t>Standar Regulasi Pelepasan Ion Nikel (</w:t>
      </w:r>
      <w:r>
        <w:rPr>
          <w:b/>
          <w:i/>
        </w:rPr>
        <w:t>EU Nickel Directive Benchmark</w:t>
      </w:r>
      <w:r>
        <w:rPr>
          <w:b/>
        </w:rPr>
        <w:t>):</w:t>
      </w:r>
    </w:p>
    <w:p>
      <w:pPr>
        <w:pStyle w:val="ListBullet2"/>
        <w:spacing w:after="20"/>
      </w:pPr>
      <w:r>
        <w:rPr/>
        <w:t>Manajemen fasilitas manufaktur wajib memastikan bahwa seluruh perkakas tangan, perhiasan, dan barang yang bersentuhan dengan kulit mematuhi batas laju pelepasan ion nikel:</w:t>
      </w:r>
    </w:p>
    <w:p>
      <w:pPr>
        <w:spacing w:after="60"/>
        <w:jc w:val="center"/>
      </w:pPr>
      <w:r>
        <w:rPr>
          <w:i/>
        </w:rPr>
        <w:t>Laju Pelepasan Nikel &lt; 0,5 µg/cm²/minggu</w:t>
      </w:r>
    </w:p>
    <w:p>
      <w:pPr>
        <w:spacing w:after="80"/>
      </w:pPr>
      <w:r>
        <w:rPr/>
        <w:t>(dan &lt; 0,2 µg/cm²/minggu untuk tindik dan implan), guna mencegah sensitisasi primer pada tenaga kerja dan masyarakat umum.</w:t>
      </w:r>
    </w:p>
    <w:p>
      <w:pPr>
        <w:pStyle w:val="Heading3"/>
      </w:pPr>
      <w:r>
        <w:t>5. Keterangan Lain: Karsinogenisitas IARC (Senyawa vs. Logam)</w:t>
      </w:r>
    </w:p>
    <w:p>
      <w:pPr>
        <w:spacing w:after="80"/>
      </w:pPr>
      <w:r>
        <w:rPr/>
        <w:t>Pemahaman klasifikasi IARC wajib disampaikan secara presisi tanpa generalisasi keliru:</w:t>
      </w:r>
    </w:p>
    <w:p>
      <w:pPr>
        <w:spacing w:after="120"/>
        <w:ind w:left="170"/>
      </w:pPr>
      <w:r>
        <w:rPr>
          <w:rFonts w:ascii="Consolas" w:hAnsi="Consolas" w:eastAsia="Consolas"/>
          <w:sz w:val="13"/>
        </w:rPr>
        <w:t xml:space="preserve">                     [ STATUS KARSINOGENISITAS NIKEL (IARC MONOGRAPH 100C)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IARC GRUP 1: SENYAWA NIKEL ]                                                [ IARC GRUP 2B: NIKEL LOGAM / ELEMENTAL ]</w:t>
      </w:r>
      <w:r>
        <w:br/>
      </w:r>
      <w:r>
        <w:rPr>
          <w:rFonts w:ascii="Consolas" w:hAnsi="Consolas" w:eastAsia="Consolas"/>
          <w:sz w:val="13"/>
        </w:rPr>
        <w:t>• Nikel Subsulfida, Oksida, Sulfat, Klorida                                   • Nikel logam murni [Ni⁰] dan paduan aloi</w:t>
      </w:r>
      <w:r>
        <w:br/>
      </w:r>
      <w:r>
        <w:rPr>
          <w:rFonts w:ascii="Consolas" w:hAnsi="Consolas" w:eastAsia="Consolas"/>
          <w:sz w:val="13"/>
        </w:rPr>
        <w:t>• TERBUKTI KARSINOGENIK PADA MANUSIA                                          • MUNGKIN KARSINOGENIK PADA MANUSIA</w:t>
      </w:r>
      <w:r>
        <w:br/>
      </w:r>
      <w:r>
        <w:rPr>
          <w:rFonts w:ascii="Consolas" w:hAnsi="Consolas" w:eastAsia="Consolas"/>
          <w:sz w:val="13"/>
        </w:rPr>
        <w:t>• Lokasi Tumor Primer:                                                          (Possibly carcinogenic to humans)</w:t>
      </w:r>
      <w:r>
        <w:br/>
      </w:r>
      <w:r>
        <w:rPr>
          <w:rFonts w:ascii="Consolas" w:hAnsi="Consolas" w:eastAsia="Consolas"/>
          <w:sz w:val="13"/>
        </w:rPr>
        <w:t xml:space="preserve">  - Kanker Paru Bronkogenik (Skuamosa/Adeno)                                  • Bukti hewan memadai, bukti epidemiologi</w:t>
      </w:r>
      <w:r>
        <w:br/>
      </w:r>
      <w:r>
        <w:rPr>
          <w:rFonts w:ascii="Consolas" w:hAnsi="Consolas" w:eastAsia="Consolas"/>
          <w:sz w:val="13"/>
        </w:rPr>
        <w:t xml:space="preserve">  - Kanker Rongga Hidung &amp; Sinus Paranasal                                      manusia terisolasi terbatas/inconclusive</w:t>
      </w:r>
      <w:r>
        <w:br/>
      </w:r>
      <w:r>
        <w:rPr>
          <w:rFonts w:ascii="Consolas" w:hAnsi="Consolas" w:eastAsia="Consolas"/>
          <w:sz w:val="13"/>
        </w:rPr>
        <w:t>• Monograph 100C menegaskan campuran industri mengandung fraksi logam aktif!</w:t>
      </w:r>
    </w:p>
    <w:p>
      <w:pPr>
        <w:pStyle w:val="Heading4"/>
      </w:pPr>
      <w:r>
        <w:t>a. Senyawa Nikel (Nickel Compounds): IARC Grup 1</w:t>
      </w:r>
    </w:p>
    <w:p>
      <w:pPr>
        <w:pStyle w:val="ListBullet"/>
        <w:spacing w:after="20"/>
      </w:pPr>
      <w:r>
        <w:rPr/>
        <w:t xml:space="preserve">Berdasarkan evaluasi komprehensif </w:t>
      </w:r>
      <w:r>
        <w:rPr>
          <w:b/>
        </w:rPr>
        <w:t>IARC Monograph Volume 100C (2012) dan Volume 49 (1990)</w:t>
      </w:r>
      <w:r>
        <w:rPr/>
        <w:t xml:space="preserve">, </w:t>
      </w:r>
      <w:r>
        <w:rPr>
          <w:b/>
        </w:rPr>
        <w:t>Senyawa nikel (</w:t>
      </w:r>
      <w:r>
        <w:rPr>
          <w:b/>
          <w:i/>
        </w:rPr>
        <w:t>Nickel compounds</w:t>
      </w:r>
      <w:r>
        <w:rPr>
          <w:b/>
        </w:rPr>
        <w:t>) diklasifikasikan ke dalam IARC Grup 1 (</w:t>
      </w:r>
      <w:r>
        <w:rPr>
          <w:b/>
          <w:i/>
        </w:rPr>
        <w:t>Carcinogenic to humans</w:t>
      </w:r>
      <w:r>
        <w:rPr>
          <w:b/>
        </w:rPr>
        <w:t>)</w:t>
      </w:r>
      <w:r>
        <w:rPr/>
        <w:t>.</w:t>
      </w:r>
    </w:p>
    <w:p>
      <w:pPr>
        <w:pStyle w:val="ListBullet"/>
        <w:spacing w:after="20"/>
      </w:pPr>
      <w:r>
        <w:rPr>
          <w:i/>
        </w:rPr>
        <w:t>Situs Kanker Terbukti:</w:t>
      </w:r>
      <w:r>
        <w:rPr/>
        <w:t xml:space="preserve"> </w:t>
      </w:r>
      <w:r>
        <w:rPr>
          <w:b/>
        </w:rPr>
        <w:t>Kanker Paru-Paru (</w:t>
      </w:r>
      <w:r>
        <w:rPr>
          <w:b/>
          <w:i/>
        </w:rPr>
        <w:t>Cancer of the lung</w:t>
      </w:r>
      <w:r>
        <w:rPr>
          <w:b/>
        </w:rPr>
        <w:t>)</w:t>
      </w:r>
      <w:r>
        <w:rPr/>
        <w:t xml:space="preserve"> dan </w:t>
      </w:r>
      <w:r>
        <w:rPr>
          <w:b/>
        </w:rPr>
        <w:t>Kanker Rongga Hidung serta Sinus Paranasal (</w:t>
      </w:r>
      <w:r>
        <w:rPr>
          <w:b/>
          <w:i/>
        </w:rPr>
        <w:t>Cancer of the nasal cavity and paranasal sinuses</w:t>
      </w:r>
      <w:r>
        <w:rPr>
          <w:b/>
        </w:rPr>
        <w:t>)</w:t>
      </w:r>
      <w:r>
        <w:rPr/>
        <w:t>.</w:t>
      </w:r>
    </w:p>
    <w:p>
      <w:pPr>
        <w:pStyle w:val="ListBullet"/>
        <w:spacing w:after="20"/>
      </w:pPr>
      <w:r>
        <w:rPr>
          <w:i/>
        </w:rPr>
        <w:t>Mekanisme:</w:t>
      </w:r>
      <w:r>
        <w:rPr/>
        <w:t xml:space="preserve"> Fagositosis partikulat nikel, pembungkaman gen penekan tumor via hipermetilasi DNA pulau CpG, demetilasi histon via pendesakan ion besi Fe²⁺ pada enzim Jumonji, inaktivasi protein jari seng XPA pada jalur reparasi NER, dan aktivasi faktor transkripsi HIF-1α dalam kondisi pseudohipoksia.</w:t>
      </w:r>
    </w:p>
    <w:p>
      <w:pPr>
        <w:pStyle w:val="Heading4"/>
      </w:pPr>
      <w:r>
        <w:t>b. Nikel Logam Elemental (Metallic Nickel): IARC Grup 2B</w:t>
      </w:r>
    </w:p>
    <w:p>
      <w:pPr>
        <w:pStyle w:val="ListBullet"/>
        <w:spacing w:after="20"/>
      </w:pPr>
      <w:r>
        <w:rPr>
          <w:b/>
        </w:rPr>
        <w:t>Nikel logam / elemental [Ni(0)] [CAS 7440-02-0] dan aloi nikel diklasifikasikan ke dalam IARC Grup 2B (</w:t>
      </w:r>
      <w:r>
        <w:rPr>
          <w:b/>
          <w:i/>
        </w:rPr>
        <w:t>Possibly carcinogenic to humans</w:t>
      </w:r>
      <w:r>
        <w:rPr>
          <w:b/>
        </w:rPr>
        <w:t>)</w:t>
      </w:r>
      <w:r>
        <w:rPr/>
        <w:t>.</w:t>
      </w:r>
    </w:p>
    <w:p>
      <w:pPr>
        <w:pStyle w:val="ListBullet"/>
        <w:spacing w:after="20"/>
      </w:pPr>
      <w:r>
        <w:rPr>
          <w:i/>
        </w:rPr>
        <w:t>Rasional Evaluasi:</w:t>
      </w:r>
      <w:r>
        <w:rPr/>
        <w:t xml:space="preserve"> Bukti karsinogenisitas pada hewan coba dinilai cukup (</w:t>
      </w:r>
      <w:r>
        <w:rPr>
          <w:i/>
        </w:rPr>
        <w:t>sufficient evidence in experimental animals</w:t>
      </w:r>
      <w:r>
        <w:rPr/>
        <w:t xml:space="preserve"> melalui uji injeksi lokal dan bioassay inhalasi tertentu), namun bukti epidemiologi pada manusia yang terpapar nikel logam murni tanpa kontaminasi senyawa subsulfida atau oksida dinilai terbatas (</w:t>
      </w:r>
      <w:r>
        <w:rPr>
          <w:i/>
        </w:rPr>
        <w:t>limited/inadequate evidence in humans</w:t>
      </w:r>
      <w:r>
        <w:rPr/>
        <w:t>).</w:t>
      </w:r>
    </w:p>
    <w:p>
      <w:pPr>
        <w:pStyle w:val="ListBullet"/>
        <w:spacing w:after="20"/>
      </w:pPr>
      <w:r>
        <w:rPr>
          <w:i/>
        </w:rPr>
        <w:t>Catatan Kritis Monograph 100C:</w:t>
      </w:r>
      <w:r>
        <w:rPr/>
        <w:t xml:space="preserve"> IARC menegaskan bahwa dalam konteks industri nyata, pekerja terpajan campuran aerosol yang kompleks, dan peran karsinogenik fraksi logam tidak dapat diabaikan sepenuhnya di lingkungan kerja campuran.</w:t>
      </w:r>
    </w:p>
    <w:p>
      <w:pPr>
        <w:pStyle w:val="Heading3"/>
      </w:pPr>
      <w:r>
        <w:t>6. Clinical Pearls dan Jebakan Ujian Khusus Nikel</w:t>
      </w:r>
    </w:p>
    <w:p>
      <w:pPr>
        <w:spacing w:after="80"/>
      </w:pPr>
      <w:r>
        <w:rPr/>
        <w:t>Kuasai konsep-konsep patognomonik ini untuk menghadapi pertanyaan jebakan dewan penguji:</w:t>
      </w:r>
    </w:p>
    <w:p>
      <w:pPr>
        <w:spacing w:after="120"/>
        <w:ind w:left="170"/>
      </w:pPr>
      <w:r>
        <w:rPr>
          <w:rFonts w:ascii="Consolas" w:hAnsi="Consolas" w:eastAsia="Consolas"/>
          <w:sz w:val="13"/>
        </w:rPr>
        <w:t xml:space="preserve">                            [ JEBAKAN UJIAN DEWAN SPESIALIS NIKEL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xml:space="preserve"> [ JEBAKAN 1: FASE LATEN NIKEL KARBONIL ] [ JEBAKAN 2: KONTAMINASI JARUM SUNTIK ] [ JEBAKAN 3: SPEKTRUM NOTASI ACGIH ]</w:t>
      </w:r>
      <w:r>
        <w:br/>
      </w:r>
      <w:r>
        <w:rPr>
          <w:rFonts w:ascii="Consolas" w:hAnsi="Consolas" w:eastAsia="Consolas"/>
          <w:sz w:val="13"/>
        </w:rPr>
        <w:t xml:space="preserve"> Waspadai masa laten 24–48 jam!         DILARANG pakai jarum stainless steel!  Nikel punya notasi bertingkat:</w:t>
      </w:r>
      <w:r>
        <w:br/>
      </w:r>
      <w:r>
        <w:rPr>
          <w:rFonts w:ascii="Consolas" w:hAnsi="Consolas" w:eastAsia="Consolas"/>
          <w:sz w:val="13"/>
        </w:rPr>
        <w:t xml:space="preserve"> Pasien merasa sembuh dlm 2–4 jam,       Jarum stainless mengontaminasi sampel  • A1: Senyawa tak larut &amp; subsulfida</w:t>
      </w:r>
      <w:r>
        <w:br/>
      </w:r>
      <w:r>
        <w:rPr>
          <w:rFonts w:ascii="Consolas" w:hAnsi="Consolas" w:eastAsia="Consolas"/>
          <w:sz w:val="13"/>
        </w:rPr>
        <w:t xml:space="preserve"> lalu meledak jadi ARDS FATAL jika     darah dengan ion Ni ──► POSITIF PALSU! • A3: Nikel karbonil</w:t>
      </w:r>
      <w:r>
        <w:br/>
      </w:r>
      <w:r>
        <w:rPr>
          <w:rFonts w:ascii="Consolas" w:hAnsi="Consolas" w:eastAsia="Consolas"/>
          <w:sz w:val="13"/>
        </w:rPr>
        <w:t xml:space="preserve"> tidak diobservasi dan diberi Na-DDC.  Wajib pakai KANULA PLASTIK khusus!     • A4: Senyawa larut; A5: Logam murni!</w:t>
      </w:r>
    </w:p>
    <w:p>
      <w:pPr>
        <w:pStyle w:val="ListBullet"/>
        <w:spacing w:after="20"/>
      </w:pPr>
      <w:r>
        <w:rPr>
          <w:b/>
        </w:rPr>
        <w:t>Clinical Pearl 1: Paradoks Fase Laten Menipu Keracunan Nikel Karbonil</w:t>
      </w:r>
    </w:p>
    <w:p>
      <w:pPr>
        <w:spacing w:after="80"/>
      </w:pPr>
      <w:r>
        <w:rPr/>
        <w:t xml:space="preserve">Tanamkan prinsip ini: Bila seorang pekerja pabrik pemurnian nikel datang ke klinik perusahaan setelah menghirup gas nikel karbonil dan mengeluh sakit kepala serta pusing yang kemudian menghilang setelah 2 jam istirahat, </w:t>
      </w:r>
      <w:r>
        <w:rPr>
          <w:b/>
        </w:rPr>
        <w:t>JANGAN PERNAH MENGIZINKANNYA PULANG</w:t>
      </w:r>
      <w:r>
        <w:rPr/>
        <w:t xml:space="preserve">. Pasien sedang berada dalam </w:t>
      </w:r>
      <w:r>
        <w:rPr>
          <w:b/>
        </w:rPr>
        <w:t>periode laten bebas gejala (12–36 jam)</w:t>
      </w:r>
      <w:r>
        <w:rPr/>
        <w:t xml:space="preserve">. Tanpa perawatan dan terapi antidotum </w:t>
      </w:r>
      <w:r>
        <w:rPr>
          <w:b/>
        </w:rPr>
        <w:t>Na-DDC (Ditiokarb) atau Disulfiram</w:t>
      </w:r>
      <w:r>
        <w:rPr/>
        <w:t>, pasien akan mengalami dispnea progresif, batuk darah, dan meninggal akibat edema paru non-kardiogenik akut (ARDS) dalam kurun waktu 3 hingga 5 hari.</w:t>
      </w:r>
    </w:p>
    <w:p>
      <w:pPr>
        <w:pStyle w:val="ListBullet"/>
        <w:spacing w:after="20"/>
      </w:pPr>
      <w:r>
        <w:rPr>
          <w:b/>
        </w:rPr>
        <w:t>Clinical Pearl 2: Kesalahan Pre-Analitik Pengambilan Sampel Darah/Serum Nikel</w:t>
      </w:r>
    </w:p>
    <w:p>
      <w:pPr>
        <w:spacing w:after="80"/>
      </w:pPr>
      <w:r>
        <w:rPr/>
        <w:t xml:space="preserve">Jika hasil pemeriksaan laboratorium nikel serum seorang pekerja dilaporkan melonjak tinggi padahal pekerja tidak memiliki gejala klinis dan kadar nikel urin normal, </w:t>
      </w:r>
      <w:r>
        <w:rPr>
          <w:b/>
        </w:rPr>
        <w:t>curigai kesalahan teknik flebotomi</w:t>
      </w:r>
      <w:r>
        <w:rPr/>
        <w:t>. Pengambilan darah vena menggunakan jarum suntik baja nirkarat (</w:t>
      </w:r>
      <w:r>
        <w:rPr>
          <w:i/>
        </w:rPr>
        <w:t>stainless steel needles</w:t>
      </w:r>
      <w:r>
        <w:rPr/>
        <w:t xml:space="preserve">) biasa akan melepaskan ion nikel eksogen ke dalam spesimen, memicu </w:t>
      </w:r>
      <w:r>
        <w:rPr>
          <w:b/>
        </w:rPr>
        <w:t>hasil positif palsu (</w:t>
      </w:r>
      <w:r>
        <w:rPr>
          <w:b/>
          <w:i/>
        </w:rPr>
        <w:t>false positive</w:t>
      </w:r>
      <w:r>
        <w:rPr>
          <w:b/>
        </w:rPr>
        <w:t>)</w:t>
      </w:r>
      <w:r>
        <w:rPr/>
        <w:t xml:space="preserve">. Ulangi pengambilan darah menggunakan </w:t>
      </w:r>
      <w:r>
        <w:rPr>
          <w:b/>
        </w:rPr>
        <w:t>kanula plastik intavena bebas logam (</w:t>
      </w:r>
      <w:r>
        <w:rPr>
          <w:b/>
          <w:i/>
        </w:rPr>
        <w:t>metal-free plastic cannula</w:t>
      </w:r>
      <w:r>
        <w:rPr>
          <w:b/>
        </w:rPr>
        <w:t>)</w:t>
      </w:r>
      <w:r>
        <w:rPr/>
        <w:t>.</w:t>
      </w:r>
    </w:p>
    <w:p>
      <w:pPr>
        <w:pStyle w:val="ListBullet"/>
        <w:spacing w:after="20"/>
      </w:pPr>
      <w:r>
        <w:rPr>
          <w:b/>
        </w:rPr>
        <w:t>Board Trap 1: Jebakan Terapi Kelasi Nikel Karbonil (BAL vs. Ditiokarb)</w:t>
      </w:r>
    </w:p>
    <w:p>
      <w:pPr>
        <w:spacing w:after="80"/>
      </w:pPr>
      <w:r>
        <w:rPr/>
        <w:t xml:space="preserve">Jika penguji bertanya: </w:t>
      </w:r>
      <w:r>
        <w:rPr>
          <w:i/>
        </w:rPr>
        <w:t>"Antidotum kelator apa yang Anda berikan pada keracunan nikel karbonil akut dengan edema paru: BAL, CaNa2EDTA, atau Ditiokarb?"</w:t>
      </w:r>
    </w:p>
    <w:p>
      <w:pPr>
        <w:spacing w:after="80"/>
      </w:pPr>
      <w:r>
        <w:rPr>
          <w:b/>
        </w:rPr>
        <w:t>Jawab dengan tegas:</w:t>
      </w:r>
      <w:r>
        <w:rPr/>
        <w:t xml:space="preserve"> </w:t>
      </w:r>
      <w:r>
        <w:rPr>
          <w:i/>
        </w:rPr>
        <w:t>"Pilihan utama adalah Natrium Dietilditiokarbamat (Na-DDC / Ditiokarb) atau Disulfiram, Dokter. BAL dan EDTA terbukti tidak efektif mencegah mortalitas paru akibat nikel karbonil, dan BAL dapat menyebabkan redistribusi toksik nikel ke jaringan lain. Na-DDC adalah antidotum spesifik lini pertama yang membentuk kelat stabil dan diekskresikan aman lewat ginjal"</w:t>
      </w:r>
      <w:r>
        <w:rPr/>
        <w:t>.</w:t>
      </w:r>
    </w:p>
    <w:p>
      <w:pPr>
        <w:pStyle w:val="ListBullet"/>
        <w:spacing w:after="20"/>
      </w:pPr>
      <w:r>
        <w:rPr>
          <w:b/>
        </w:rPr>
        <w:t>Board Trap 2: Pemilihan Bahan Sarung Tangan Dermatitis Nikel</w:t>
      </w:r>
    </w:p>
    <w:p>
      <w:pPr>
        <w:spacing w:after="80"/>
      </w:pPr>
      <w:r>
        <w:rPr/>
        <w:t xml:space="preserve">Jika penguji bertanya: </w:t>
      </w:r>
      <w:r>
        <w:rPr>
          <w:i/>
        </w:rPr>
        <w:t>"Bolehkah pekerja elektroplating nikel memakai sarung tangan karet lateks sekali pakai untuk mencegah dermatitis kontak?"</w:t>
      </w:r>
    </w:p>
    <w:p>
      <w:pPr>
        <w:spacing w:after="80"/>
      </w:pPr>
      <w:r>
        <w:rPr>
          <w:b/>
        </w:rPr>
        <w:t>Jawab:</w:t>
      </w:r>
      <w:r>
        <w:rPr/>
        <w:t xml:space="preserve"> </w:t>
      </w:r>
      <w:r>
        <w:rPr>
          <w:i/>
        </w:rPr>
        <w:t>"Dilarang, Dokter. Garam nikel larut air mampu menembus mikropori sarung tangan lateks tipis, dan kelembapan keringat di balik sarung tangan lateks justru mempercepat maserasi kulit dan pelarutan ion nikel. Sarung tangan yang wajib digunakan adalah Karet Butil, Neoprene tebal, atau Nitril tebal yang teruji kedap zat kimia (*chemical resistant</w:t>
      </w:r>
      <w:r>
        <w:rPr/>
        <w:t>)"*.</w:t>
      </w:r>
    </w:p>
    <w:p>
      <w:pPr>
        <w:pStyle w:val="ListBullet"/>
        <w:spacing w:after="20"/>
      </w:pPr>
      <w:r>
        <w:rPr>
          <w:b/>
        </w:rPr>
        <w:t>Board Trap 3: Status BEI Nikel Urin</w:t>
      </w:r>
    </w:p>
    <w:p>
      <w:pPr>
        <w:spacing w:after="80"/>
      </w:pPr>
      <w:r>
        <w:rPr/>
        <w:t xml:space="preserve">Jika penguji bertanya: </w:t>
      </w:r>
      <w:r>
        <w:rPr>
          <w:i/>
        </w:rPr>
        <w:t>"Berapa batas BEI urin nikel menurut ACGIH?"</w:t>
      </w:r>
    </w:p>
    <w:p>
      <w:pPr>
        <w:spacing w:after="80"/>
      </w:pPr>
      <w:r>
        <w:rPr>
          <w:b/>
        </w:rPr>
        <w:t>Jawab secara terperinci:</w:t>
      </w:r>
      <w:r>
        <w:rPr/>
        <w:t xml:space="preserve"> </w:t>
      </w:r>
      <w:r>
        <w:rPr>
          <w:i/>
        </w:rPr>
        <w:t xml:space="preserve">"ACGIH menetapkan dua nilai BEI nikel dalam urin yang diambil pada akhir gilir kerja di akhir minggu kerja: sebesar </w:t>
      </w:r>
      <w:r>
        <w:rPr>
          <w:b/>
          <w:i/>
        </w:rPr>
        <w:t>30 µg/L untuk pajanan senyawa nikel terlaru</w:t>
      </w:r>
      <w:r>
        <w:rPr/>
        <w:t xml:space="preserve">, dan sebesar </w:t>
      </w:r>
      <w:r>
        <w:rPr>
          <w:b/>
        </w:rPr>
        <w:t>5 µg/L (dengan notasi Background) untuk pajanan nikel elemental dan senyawa kurang larut</w:t>
      </w:r>
      <w:r>
        <w:rPr/>
        <w:t>, Dokter"*.</w:t>
      </w:r>
    </w:p>
    <w:p>
      <w:r>
        <w:rPr>
          <w:b/>
          <w:sz w:val="16"/>
        </w:rPr>
        <w:t>Sumber yang dirujuk NotebookLM:</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color w:val="595959"/>
          <w:sz w:val="16"/>
        </w:rPr>
        <w:t xml:space="preserve">Tabel Adopsi TLV: </w:t>
      </w:r>
      <w:r>
        <w:rPr>
          <w:i/>
          <w:color w:val="595959"/>
          <w:sz w:val="16"/>
        </w:rPr>
        <w:t>Nickel, elemental and inorganic compounds, as Ni</w:t>
      </w:r>
      <w:r>
        <w:rPr>
          <w:color w:val="595959"/>
          <w:sz w:val="16"/>
        </w:rPr>
        <w:t xml:space="preserve"> [CAS 7440-02-0] (Inhalable fraction: Elemental 1,5 mg/m³ A5, BEI; Insoluble 0,2 mg/m³ A1, BEI; Soluble 0,1 mg/m³ A4, BEI); </w:t>
      </w:r>
      <w:r>
        <w:rPr>
          <w:i/>
          <w:color w:val="595959"/>
          <w:sz w:val="16"/>
        </w:rPr>
        <w:t>Nickel subsulfide</w:t>
      </w:r>
      <w:r>
        <w:rPr>
          <w:color w:val="595959"/>
          <w:sz w:val="16"/>
        </w:rPr>
        <w:t xml:space="preserve"> [CAS 12035-72-2], as Ni (0,1 mg/m³ Inhalable, A1, BEI); </w:t>
      </w:r>
      <w:r>
        <w:rPr>
          <w:i/>
          <w:color w:val="595959"/>
          <w:sz w:val="16"/>
        </w:rPr>
        <w:t>Nickel carbonyl</w:t>
      </w:r>
      <w:r>
        <w:rPr>
          <w:color w:val="595959"/>
          <w:sz w:val="16"/>
        </w:rPr>
        <w:t xml:space="preserve"> [CAS 13463-39-3], as Ni (Ceiling 0,05 ppm, A3) [hlm. 43–45, 50].</w:t>
      </w:r>
    </w:p>
    <w:p>
      <w:pPr>
        <w:spacing w:after="0"/>
        <w:ind w:left="283"/>
      </w:pPr>
      <w:r>
        <w:rPr>
          <w:color w:val="595959"/>
          <w:sz w:val="16"/>
        </w:rPr>
        <w:t xml:space="preserve">Tabel Adopsi BEI: </w:t>
      </w:r>
      <w:r>
        <w:rPr>
          <w:i/>
          <w:color w:val="595959"/>
          <w:sz w:val="16"/>
        </w:rPr>
        <w:t>Nickel in urine (after exposure to soluble compounds)</w:t>
      </w:r>
      <w:r>
        <w:rPr>
          <w:color w:val="595959"/>
          <w:sz w:val="16"/>
        </w:rPr>
        <w:t xml:space="preserve">: </w:t>
      </w:r>
      <w:r>
        <w:rPr>
          <w:b/>
          <w:color w:val="595959"/>
          <w:sz w:val="16"/>
        </w:rPr>
        <w:t>30 µg/L</w:t>
      </w:r>
      <w:r>
        <w:rPr>
          <w:color w:val="595959"/>
          <w:sz w:val="16"/>
        </w:rPr>
        <w:t xml:space="preserve">; </w:t>
      </w:r>
      <w:r>
        <w:rPr>
          <w:i/>
          <w:color w:val="595959"/>
          <w:sz w:val="16"/>
        </w:rPr>
        <w:t>Nickel in urine (after exposure to elemental &amp; poorly soluble compounds)</w:t>
      </w:r>
      <w:r>
        <w:rPr>
          <w:color w:val="595959"/>
          <w:sz w:val="16"/>
        </w:rPr>
        <w:t xml:space="preserve">: </w:t>
      </w:r>
      <w:r>
        <w:rPr>
          <w:b/>
          <w:color w:val="595959"/>
          <w:sz w:val="16"/>
        </w:rPr>
        <w:t>5 µg/L</w:t>
      </w:r>
      <w:r>
        <w:rPr>
          <w:color w:val="595959"/>
          <w:sz w:val="16"/>
        </w:rPr>
        <w:t xml:space="preserve"> (Notasi B); Waktu Sampling: </w:t>
      </w:r>
      <w:r>
        <w:rPr>
          <w:i/>
          <w:color w:val="595959"/>
          <w:sz w:val="16"/>
        </w:rPr>
        <w:t>Post-shift at end of workweek</w:t>
      </w:r>
      <w:r>
        <w:rPr>
          <w:color w:val="595959"/>
          <w:sz w:val="16"/>
        </w:rPr>
        <w:t xml:space="preserve"> [hlm. 60–62, 120].</w:t>
      </w:r>
    </w:p>
    <w:p>
      <w:pPr>
        <w:spacing w:after="0"/>
        <w:ind w:left="283"/>
      </w:pPr>
      <w:r>
        <w:rPr>
          <w:color w:val="595959"/>
          <w:sz w:val="16"/>
        </w:rPr>
        <w:t>Definisi Notasi Karsinogen A1 (</w:t>
      </w:r>
      <w:r>
        <w:rPr>
          <w:i/>
          <w:color w:val="595959"/>
          <w:sz w:val="16"/>
        </w:rPr>
        <w:t>Confirmed</w:t>
      </w:r>
      <w:r>
        <w:rPr>
          <w:color w:val="595959"/>
          <w:sz w:val="16"/>
        </w:rPr>
        <w:t>), A3 (</w:t>
      </w:r>
      <w:r>
        <w:rPr>
          <w:i/>
          <w:color w:val="595959"/>
          <w:sz w:val="16"/>
        </w:rPr>
        <w:t>Animal</w:t>
      </w:r>
      <w:r>
        <w:rPr>
          <w:color w:val="595959"/>
          <w:sz w:val="16"/>
        </w:rPr>
        <w:t>), A4 (</w:t>
      </w:r>
      <w:r>
        <w:rPr>
          <w:i/>
          <w:color w:val="595959"/>
          <w:sz w:val="16"/>
        </w:rPr>
        <w:t>Not Classifiable</w:t>
      </w:r>
      <w:r>
        <w:rPr>
          <w:color w:val="595959"/>
          <w:sz w:val="16"/>
        </w:rPr>
        <w:t>), A5 (</w:t>
      </w:r>
      <w:r>
        <w:rPr>
          <w:i/>
          <w:color w:val="595959"/>
          <w:sz w:val="16"/>
        </w:rPr>
        <w:t>Not Suspected</w:t>
      </w:r>
      <w:r>
        <w:rPr>
          <w:color w:val="595959"/>
          <w:sz w:val="16"/>
        </w:rPr>
        <w:t xml:space="preserve">), Notasi DSEN, RSEN, serta Waktu Pengambilan Sampel </w:t>
      </w:r>
      <w:r>
        <w:rPr>
          <w:i/>
          <w:color w:val="595959"/>
          <w:sz w:val="16"/>
        </w:rPr>
        <w:t>Post-shift at end of workweek</w:t>
      </w:r>
      <w:r>
        <w:rPr>
          <w:color w:val="595959"/>
          <w:sz w:val="16"/>
        </w:rPr>
        <w:t>.</w:t>
      </w:r>
    </w:p>
    <w:p>
      <w:pPr>
        <w:spacing w:after="0"/>
        <w:ind w:left="283"/>
      </w:pPr>
      <w:r>
        <w:rPr>
          <w:b/>
          <w:color w:val="595959"/>
          <w:sz w:val="16"/>
        </w:rPr>
        <w:t>Peraturan Menteri Ketenagakerjaan RI No. 5 Tahun 2018</w:t>
      </w:r>
      <w:r>
        <w:rPr>
          <w:color w:val="595959"/>
          <w:sz w:val="16"/>
        </w:rPr>
        <w:t xml:space="preserve"> </w:t>
      </w:r>
      <w:r>
        <w:rPr>
          <w:i/>
          <w:color w:val="595959"/>
          <w:sz w:val="16"/>
        </w:rPr>
        <w:t>tentang Keselamatan dan Kesehatan Kerja Lingkungan Kerja</w:t>
      </w:r>
      <w:r>
        <w:rPr>
          <w:color w:val="595959"/>
          <w:sz w:val="16"/>
        </w:rPr>
        <w:t>:</w:t>
      </w:r>
    </w:p>
    <w:p>
      <w:pPr>
        <w:spacing w:after="0"/>
        <w:ind w:left="283"/>
      </w:pPr>
      <w:r>
        <w:rPr>
          <w:color w:val="595959"/>
          <w:sz w:val="16"/>
        </w:rPr>
        <w:t>Lampiran 3: Tabel Nilai Ambang Batas Faktor Kimia — Nikel Logam (NAB 1,5 mg/m³ Inhalabel, A5); Senyawa Nikel Larut sebagai Ni (NAB 0,1 mg/m³ Inhalabel, A4); Senyawa Nikel Tak Larut sebagai Ni (NAB 0,2 mg/m³ Inhalabel, A1); Nikel Subsulfida sebagai Ni (NAB 0,1 mg/m³ Inhalabel, A1); Nikel Karbonil sebagai Ni (Ceiling 0,05 ppm / 0,35 mg/m³, A3).</w:t>
      </w:r>
    </w:p>
    <w:p>
      <w:pPr>
        <w:spacing w:after="0"/>
        <w:ind w:left="283"/>
      </w:pPr>
      <w:r>
        <w:rPr>
          <w:color w:val="595959"/>
          <w:sz w:val="16"/>
        </w:rPr>
        <w:t>Lampiran 4: Tabel Indeks Pajanan Biologi (IPB) — Evaluasi ketiadaan nikel pada tabel IPB nasional dan harmonisasi rujukan internasional.</w:t>
      </w:r>
    </w:p>
    <w:p>
      <w:pPr>
        <w:spacing w:after="0"/>
        <w:ind w:left="283"/>
      </w:pPr>
      <w:r>
        <w:rPr>
          <w:b/>
          <w:color w:val="595959"/>
          <w:sz w:val="16"/>
        </w:rPr>
        <w:t>Schaumlöffel, Dirk (2012).</w:t>
      </w:r>
      <w:r>
        <w:rPr>
          <w:color w:val="595959"/>
          <w:sz w:val="16"/>
        </w:rPr>
        <w:t xml:space="preserve"> </w:t>
      </w:r>
      <w:r>
        <w:rPr>
          <w:i/>
          <w:color w:val="595959"/>
          <w:sz w:val="16"/>
        </w:rPr>
        <w:t>Nickel species: Analysis and toxic effects.</w:t>
      </w:r>
      <w:r>
        <w:rPr>
          <w:color w:val="595959"/>
          <w:sz w:val="16"/>
        </w:rPr>
        <w:t xml:space="preserve"> Journal of Trace Elements in Medicine and Biology, 26: 1–6:</w:t>
      </w:r>
    </w:p>
    <w:p>
      <w:pPr>
        <w:spacing w:after="0"/>
        <w:ind w:left="283"/>
      </w:pPr>
      <w:r>
        <w:rPr>
          <w:color w:val="595959"/>
          <w:sz w:val="16"/>
        </w:rPr>
        <w:t>Klasifikasi Empat Fraksi Spesiasi Nikel; Penggunaan Industri Baterai, Stainless Steel, Katalis, Elektroplating, Perhiasan [hlm. 1–2]; Rute Inhalasi vs Makanan [hlm. 2]; Kinetika Waktu Paruh Paru NiSO₄ (32 jam), Ni₃S₂ (4,6 hari), dan Green NiO (120 hari) [hlm. 3]; Ikatan Protein Serum Albumin dan L-Histidin [hlm. 3]; Ekskresi Urin Utama [hlm. 3]; Mekanisme Fagositosis Partikel Tak Larut &amp; Disolusi Intraseluler Ion Ni²⁺ [hlm. 4]; Sifat Karsinogenik Tertinggi Ni₃S₂ &amp; Laporan ICNCM Kanker Paru/Nasal [hlm. 4]; Imunopatologi Kontak Alergi Kulit Tipe IV via Sel Langerhans &amp; Penetrasi Keringat [hlm. 4–5].</w:t>
      </w:r>
    </w:p>
    <w:p>
      <w:pPr>
        <w:spacing w:after="0"/>
        <w:ind w:left="283"/>
      </w:pPr>
      <w:r>
        <w:rPr>
          <w:b/>
          <w:color w:val="595959"/>
          <w:sz w:val="16"/>
        </w:rPr>
        <w:t>IARC (2012).</w:t>
      </w:r>
      <w:r>
        <w:rPr>
          <w:color w:val="595959"/>
          <w:sz w:val="16"/>
        </w:rPr>
        <w:t xml:space="preserve"> </w:t>
      </w:r>
      <w:r>
        <w:rPr>
          <w:i/>
          <w:color w:val="595959"/>
          <w:sz w:val="16"/>
        </w:rPr>
        <w:t>Nickel and Nickel Compounds (IARC Monographs on the Evaluation of Carcinogenic Risks to Humans, Vol. 100C)</w:t>
      </w:r>
      <w:r>
        <w:rPr>
          <w:color w:val="595959"/>
          <w:sz w:val="16"/>
        </w:rPr>
        <w:t>:</w:t>
      </w:r>
    </w:p>
    <w:p>
      <w:pPr>
        <w:spacing w:after="0"/>
        <w:ind w:left="283"/>
      </w:pPr>
      <w:r>
        <w:rPr>
          <w:color w:val="595959"/>
          <w:sz w:val="16"/>
        </w:rPr>
        <w:t>Evaluasi Karsinogenisitas Manusia: IARC Grup 1 untuk Seluruh Senyawa Nikel (</w:t>
      </w:r>
      <w:r>
        <w:rPr>
          <w:i/>
          <w:color w:val="595959"/>
          <w:sz w:val="16"/>
        </w:rPr>
        <w:t>Nickel compounds</w:t>
      </w:r>
      <w:r>
        <w:rPr>
          <w:color w:val="595959"/>
          <w:sz w:val="16"/>
        </w:rPr>
        <w:t>) (Kanker Paru Bronkogenik dan Kanker Rongga Hidung/Sinus Paranasal) [hlm. 177–187]; IARC Grup 2B untuk Nikel Logam Elemental (</w:t>
      </w:r>
      <w:r>
        <w:rPr>
          <w:i/>
          <w:color w:val="595959"/>
          <w:sz w:val="16"/>
        </w:rPr>
        <w:t>Metallic nickel</w:t>
      </w:r>
      <w:r>
        <w:rPr>
          <w:color w:val="595959"/>
          <w:sz w:val="16"/>
        </w:rPr>
        <w:t>) [hlm. 215]; Kohort Smelter Norwegia (Kristiansand), Finlandia, dan Wales (Clydach) [hlm. 177–187]; Nikel Karbonil Gas Volatil Titik Didih 43°C &amp; Tekanan Uap 315 mmHg [hlm. 169–172]; serta Mekanisme Karsinogenesis Epigenetik Pembungkaman Gen Penekan Tumor, Inhibisi Demetilase Histon Jumonji, dan Inaktivasi Protein Jari Seng XPA [hlm. 208–212].</w:t>
      </w:r>
    </w:p>
    <w:p>
      <w:pPr>
        <w:spacing w:after="0"/>
        <w:ind w:left="283"/>
      </w:pPr>
      <w:r>
        <w:rPr>
          <w:b/>
          <w:color w:val="595959"/>
          <w:sz w:val="16"/>
        </w:rPr>
        <w:t>Savolainen, H. (1996).</w:t>
      </w:r>
      <w:r>
        <w:rPr>
          <w:color w:val="595959"/>
          <w:sz w:val="16"/>
        </w:rPr>
        <w:t xml:space="preserve"> </w:t>
      </w:r>
      <w:r>
        <w:rPr>
          <w:i/>
          <w:color w:val="595959"/>
          <w:sz w:val="16"/>
        </w:rPr>
        <w:t>Biochemical and Clinical Aspects of Nickel Toxicity.</w:t>
      </w:r>
      <w:r>
        <w:rPr>
          <w:color w:val="595959"/>
          <w:sz w:val="16"/>
        </w:rPr>
        <w:t xml:space="preserve"> Reviews on Environmental Health, 11(4): 167–173:</w:t>
      </w:r>
    </w:p>
    <w:p>
      <w:pPr>
        <w:spacing w:after="0"/>
        <w:ind w:left="283"/>
      </w:pPr>
      <w:r>
        <w:rPr>
          <w:color w:val="595959"/>
          <w:sz w:val="16"/>
        </w:rPr>
        <w:t>Waktu Paruh Biologis Senyawa Larut Darah (24 Jam) &amp; Akumulasi Mingguan (</w:t>
      </w:r>
      <w:r>
        <w:rPr>
          <w:i/>
          <w:color w:val="595959"/>
          <w:sz w:val="16"/>
        </w:rPr>
        <w:t>End of Workweek Biomonitoring</w:t>
      </w:r>
      <w:r>
        <w:rPr>
          <w:color w:val="595959"/>
          <w:sz w:val="16"/>
        </w:rPr>
        <w:t>) [hlm. 168–169]; Nefrotoksisitas Tubulus Proksimal [hlm. 170]; Mekanisme Hapten Imunologis Sel Langerhans, Sel T CD4+, dan Nilai Ambang Pelepasan Keringat Uni Eropa (0,5 µg/cm²/minggu) [hlm. 171]; Asma Okupasi Imunologis Tipe I Termediasi Antibodi IgE Kompleks Ni-Albumin [hlm. 171]; serta Terapi Antidotum Natrium Dietilditiokarbamat (Na-DDC / Ditiokarb) dan Disulfiram pada Keracunan Nikel Karbonil [hlm. 168].</w:t>
      </w:r>
    </w:p>
    <w:p>
      <w:pPr>
        <w:spacing w:after="0"/>
        <w:ind w:left="283"/>
      </w:pPr>
      <w:r>
        <w:rPr>
          <w:b/>
          <w:color w:val="595959"/>
          <w:sz w:val="16"/>
        </w:rPr>
        <w:t>NIOSH Pocket Guide to Chemical Hazards (2005-149):</w:t>
      </w:r>
    </w:p>
    <w:p>
      <w:pPr>
        <w:spacing w:after="0"/>
        <w:ind w:left="283"/>
      </w:pPr>
      <w:r>
        <w:rPr>
          <w:i/>
          <w:color w:val="595959"/>
          <w:sz w:val="16"/>
        </w:rPr>
        <w:t>Nickel metal and other compounds (as Ni)</w:t>
      </w:r>
      <w:r>
        <w:rPr>
          <w:color w:val="595959"/>
          <w:sz w:val="16"/>
        </w:rPr>
        <w:t xml:space="preserve"> [CAS 7440-02-0]: NIOSH REL Ca TWA 0,015 mg/m³; Target Organ Hidung, Paru, Kulit; Kanker Paru &amp; Hidung; Sensitisasi Dermatitis dan Asma Alergi [hlm. 224].</w:t>
      </w:r>
    </w:p>
    <w:p>
      <w:pPr>
        <w:spacing w:after="0"/>
        <w:ind w:left="283"/>
      </w:pPr>
      <w:r>
        <w:rPr>
          <w:i/>
          <w:color w:val="595959"/>
          <w:sz w:val="16"/>
        </w:rPr>
        <w:t>Nickel carbonyl (as Ni)</w:t>
      </w:r>
      <w:r>
        <w:rPr>
          <w:color w:val="595959"/>
          <w:sz w:val="16"/>
        </w:rPr>
        <w:t xml:space="preserve"> [CAS 13463-39-3]: Cairan Flammable Kelas IB, Titik Didih 110°F, Tekanan Uap 315 mmHg; Gejala Pusing, Sakit Kepala, Mual, Muntah, Edema Paru, Kerusakan SSP, Kematian; IDLH Ca 2 ppm [hlm. 223].</w:t>
      </w:r>
    </w:p>
    <w:p>
      <w:pPr>
        <w:spacing w:after="0"/>
        <w:ind w:left="283"/>
      </w:pPr>
      <w:r>
        <w:rPr>
          <w:b/>
          <w:color w:val="595959"/>
          <w:sz w:val="16"/>
        </w:rPr>
        <w:t>Hodgson, E. (2010).</w:t>
      </w:r>
      <w:r>
        <w:rPr>
          <w:color w:val="595959"/>
          <w:sz w:val="16"/>
        </w:rPr>
        <w:t xml:space="preserve"> </w:t>
      </w:r>
      <w:r>
        <w:rPr>
          <w:i/>
          <w:color w:val="595959"/>
          <w:sz w:val="16"/>
        </w:rPr>
        <w:t>A Textbook of Modern Toxicology (4th ed., John Wiley &amp; Sons)</w:t>
      </w:r>
      <w:r>
        <w:rPr>
          <w:color w:val="595959"/>
          <w:sz w:val="16"/>
        </w:rPr>
        <w:t>:</w:t>
      </w:r>
    </w:p>
    <w:p>
      <w:pPr>
        <w:spacing w:after="0"/>
        <w:ind w:left="283"/>
      </w:pPr>
      <w:r>
        <w:rPr>
          <w:color w:val="595959"/>
          <w:sz w:val="16"/>
        </w:rPr>
        <w:t>Bab 19: Imunotoksisitas Dermatitis Kontak Alergi (ACD) Tipe IV (Mekanisme Hapten, Presentasi Sel Langerhans ke Sel T, Re-exposure Elisitasi Th1/CD8+) [hlm. 415–416]; Model Toksikokinetik Dua Kompartemen [hlm. 110–112].</w:t>
      </w:r>
    </w:p>
    <w:p>
      <w:pPr>
        <w:spacing w:after="0"/>
        <w:ind w:left="283"/>
      </w:pPr>
      <w:r>
        <w:rPr>
          <w:b/>
          <w:color w:val="595959"/>
          <w:sz w:val="16"/>
        </w:rPr>
        <w:t>Peraturan Presiden Republik Indonesia Nomor 7 Tahun 2019 &amp; Permenkes No. 11 Tahun 2022:</w:t>
      </w:r>
    </w:p>
    <w:p>
      <w:pPr>
        <w:spacing w:after="0"/>
        <w:ind w:left="283"/>
      </w:pPr>
      <w:r>
        <w:rPr>
          <w:color w:val="595959"/>
          <w:sz w:val="16"/>
        </w:rPr>
        <w:t>Lampiran I.a Butir 14 Perpres 7/2019 (Penyakit Akibat Kerja Faktor Kimia Nikel); Lampiran III Butir 14 (Kanker Akibat Kerja: Nikel dan Senyawanya); serta Implementasi 7 Langkah Diagnosis PAK Permenkes 11/2022.</w:t>
      </w:r>
    </w:p>
    <w:p>
      <w:r>
        <w:br w:type="page"/>
      </w:r>
    </w:p>
    <w:p>
      <w:pPr>
        <w:pStyle w:val="Heading2"/>
      </w:pPr>
      <w:bookmarkStart w:id="127" w:name="toc_027"/>
      <w:r>
        <w:t>3A.8 Berilium (Be)</w:t>
      </w:r>
      <w:bookmarkEnd w:id="127"/>
    </w:p>
    <w:p>
      <w:pPr>
        <w:pStyle w:val="Heading3"/>
      </w:pPr>
      <w:r>
        <w:t>1. Sifat Fisik-Kimia dan Klasifikasi Spesiasi Berilium</w:t>
      </w:r>
    </w:p>
    <w:p>
      <w:pPr>
        <w:spacing w:after="80"/>
      </w:pPr>
      <w:r>
        <w:rPr/>
        <w:t xml:space="preserve">Berilium (nomor atom 4, berat atom 9,01 g/mol) terletak pada Golongan IIA (logam alkali tanah) periode 2 tabel periodik dengan status valensi oksidasi stabil </w:t>
      </w:r>
      <w:r>
        <w:rPr>
          <w:b/>
        </w:rPr>
        <w:t>+2</w:t>
      </w:r>
      <w:r>
        <w:rPr/>
        <w:t>. Klasifikasi spesiasi berilium dalam toksikologi industri mencakup empat kelompok utama:</w:t>
      </w:r>
    </w:p>
    <w:p>
      <w:pPr>
        <w:spacing w:after="120"/>
        <w:ind w:left="170"/>
      </w:pPr>
      <w:r>
        <w:rPr>
          <w:rFonts w:ascii="Consolas" w:hAnsi="Consolas" w:eastAsia="Consolas"/>
          <w:sz w:val="13"/>
        </w:rPr>
        <w:t xml:space="preserve">                                [ KLASIFIKASI SPESIASI BERILIUM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                           ▼</w:t>
      </w:r>
      <w:r>
        <w:br/>
      </w:r>
      <w:r>
        <w:rPr>
          <w:rFonts w:ascii="Consolas" w:hAnsi="Consolas" w:eastAsia="Consolas"/>
          <w:sz w:val="13"/>
        </w:rPr>
        <w:t>[ BERILIUM LOGAM / ELEMENTAL ]   [ BERILIUM OKSIDA (BeO) ] [ PADUAN LOGAM (ALLOYS) ]   [ GARAM-GARAM ANORGANIK ]</w:t>
      </w:r>
      <w:r>
        <w:br/>
      </w:r>
      <w:r>
        <w:rPr>
          <w:rFonts w:ascii="Consolas" w:hAnsi="Consolas" w:eastAsia="Consolas"/>
          <w:sz w:val="13"/>
        </w:rPr>
        <w:t>• Logam murni Be⁰ [CAS 7440-41-7]• Beryllia [CAS 1304-56-9]• Berilium-Tembaga (Cu-Be): • Garam Larut Air:</w:t>
      </w:r>
      <w:r>
        <w:br/>
      </w:r>
      <w:r>
        <w:rPr>
          <w:rFonts w:ascii="Consolas" w:hAnsi="Consolas" w:eastAsia="Consolas"/>
          <w:sz w:val="13"/>
        </w:rPr>
        <w:t>• Padat abu-abu putih, keras,    • Keramik isolator        Mengandung 2–4% Be,         BeSO₄, BeCl₂, BeF₂,</w:t>
      </w:r>
      <w:r>
        <w:br/>
      </w:r>
      <w:r>
        <w:rPr>
          <w:rFonts w:ascii="Consolas" w:hAnsi="Consolas" w:eastAsia="Consolas"/>
          <w:sz w:val="13"/>
        </w:rPr>
        <w:t xml:space="preserve">  sangat ringan &amp; getas (brittle)  listrik &amp; konduktor     kekuatan tarik tinggi,      Be(NO₃)₂</w:t>
      </w:r>
      <w:r>
        <w:br/>
      </w:r>
      <w:r>
        <w:rPr>
          <w:rFonts w:ascii="Consolas" w:hAnsi="Consolas" w:eastAsia="Consolas"/>
          <w:sz w:val="13"/>
        </w:rPr>
        <w:t>• Densitas 1,85 g/cm³, 40% lebih   panas luar biasa        anti-percik (non-sparking) • Garam Tak Larut:</w:t>
      </w:r>
      <w:r>
        <w:br/>
      </w:r>
      <w:r>
        <w:rPr>
          <w:rFonts w:ascii="Consolas" w:hAnsi="Consolas" w:eastAsia="Consolas"/>
          <w:sz w:val="13"/>
        </w:rPr>
        <w:t xml:space="preserve">  kaku dari baja                 • Biopersistensi paru   • Al-Be (Lockalloy) untuk     Be(OH)₂, BeCO₃,</w:t>
      </w:r>
      <w:r>
        <w:br/>
      </w:r>
      <w:r>
        <w:rPr>
          <w:rFonts w:ascii="Consolas" w:hAnsi="Consolas" w:eastAsia="Consolas"/>
          <w:sz w:val="13"/>
        </w:rPr>
        <w:t>• Transparan thd sinar-X &amp;         ekstrem (tahunan)       pesawat supersonik          mineral silikat alami:</w:t>
      </w:r>
      <w:r>
        <w:br/>
      </w:r>
      <w:r>
        <w:rPr>
          <w:rFonts w:ascii="Consolas" w:hAnsi="Consolas" w:eastAsia="Consolas"/>
          <w:sz w:val="13"/>
        </w:rPr>
        <w:t xml:space="preserve">  reflektor/moderator neutron    • Stabil suhu ekstrem   • Pemicu utama kasus CBD      Beryl &amp; Bertrandite</w:t>
      </w:r>
    </w:p>
    <w:p>
      <w:pPr>
        <w:spacing w:after="40"/>
        <w:ind w:left="340" w:hanging="283"/>
      </w:pPr>
      <w:r>
        <w:rPr/>
        <w:t xml:space="preserve">1. </w:t>
      </w:r>
      <w:r>
        <w:rPr>
          <w:b/>
        </w:rPr>
        <w:t>Berilium Logam / Elemental [Be(0)] [CAS 7440-41-7]:</w:t>
      </w:r>
    </w:p>
    <w:p>
      <w:pPr>
        <w:pStyle w:val="ListBullet2"/>
        <w:spacing w:after="20"/>
      </w:pPr>
      <w:r>
        <w:rPr>
          <w:i/>
        </w:rPr>
        <w:t>Karakteristik Fisik:</w:t>
      </w:r>
      <w:r>
        <w:rPr/>
        <w:t xml:space="preserve"> Padatan berwarna abu-abu keputihan yang keras namun getas (</w:t>
      </w:r>
      <w:r>
        <w:rPr>
          <w:i/>
        </w:rPr>
        <w:t>hard, brittle gray-white solid</w:t>
      </w:r>
      <w:r>
        <w:rPr/>
        <w:t>) dengan titik leleh sangat tinggi mencapai 1287°C (2348°F) dan titik didih 2970°C.</w:t>
      </w:r>
    </w:p>
    <w:p>
      <w:pPr>
        <w:pStyle w:val="ListBullet2"/>
        <w:spacing w:after="20"/>
      </w:pPr>
      <w:r>
        <w:rPr>
          <w:i/>
        </w:rPr>
        <w:t>Karakteristik Mekanik &amp; Nuklir Unik:</w:t>
      </w:r>
      <w:r>
        <w:rPr/>
        <w:t xml:space="preserve"> Merupakan </w:t>
      </w:r>
      <w:r>
        <w:rPr>
          <w:b/>
        </w:rPr>
        <w:t>logam struktural stabil paling ringan</w:t>
      </w:r>
      <w:r>
        <w:rPr/>
        <w:t xml:space="preserve"> dengan densitas rendah (1,85 g/cm³), rasio kekuatan terhadap berat yang sangat tinggi, lebih ringan dari aluminium, namun </w:t>
      </w:r>
      <w:r>
        <w:rPr>
          <w:b/>
        </w:rPr>
        <w:t>40% lebih kaku (</w:t>
      </w:r>
      <w:r>
        <w:rPr>
          <w:b/>
          <w:i/>
        </w:rPr>
        <w:t>more rigid</w:t>
      </w:r>
      <w:r>
        <w:rPr>
          <w:b/>
        </w:rPr>
        <w:t>) dibandingkan baja</w:t>
      </w:r>
      <w:r>
        <w:rPr/>
        <w:t>.</w:t>
      </w:r>
    </w:p>
    <w:p>
      <w:pPr>
        <w:pStyle w:val="ListBullet2"/>
        <w:spacing w:after="20"/>
      </w:pPr>
      <w:r>
        <w:rPr>
          <w:i/>
        </w:rPr>
        <w:t>Sifat Radiasi &amp; Nuklir:</w:t>
      </w:r>
      <w:r>
        <w:rPr/>
        <w:t xml:space="preserve"> Karena memiliki nomor atom sangat rendah (Z=4), berilium </w:t>
      </w:r>
      <w:r>
        <w:rPr>
          <w:b/>
        </w:rPr>
        <w:t>sangat transparan terhadap radiasi sinar-X (</w:t>
      </w:r>
      <w:r>
        <w:rPr>
          <w:b/>
          <w:i/>
        </w:rPr>
        <w:t>X-ray permeable</w:t>
      </w:r>
      <w:r>
        <w:rPr>
          <w:b/>
        </w:rPr>
        <w:t>)</w:t>
      </w:r>
      <w:r>
        <w:rPr/>
        <w:t xml:space="preserve">. Selain itu, berilium memiliki daya serap neutron yang rendah dan daya hambur neutron yang tinggi, menjadikannya </w:t>
      </w:r>
      <w:r>
        <w:rPr>
          <w:b/>
        </w:rPr>
        <w:t>moderator dan reflektor neutron ideal</w:t>
      </w:r>
      <w:r>
        <w:rPr/>
        <w:t xml:space="preserve"> di fasilitas nuklir.</w:t>
      </w:r>
    </w:p>
    <w:p>
      <w:pPr>
        <w:pStyle w:val="ListBullet2"/>
        <w:spacing w:after="20"/>
      </w:pPr>
      <w:r>
        <w:rPr>
          <w:i/>
        </w:rPr>
        <w:t>Sifat Kimia Permukaan:</w:t>
      </w:r>
      <w:r>
        <w:rPr/>
        <w:t xml:space="preserve"> Berilium bersifat amfoterik dan memiliki afinitas tinggi terhadap oksigen, membentuk lapisan tipis berilium oksida di permukaannya yang membuatnya tahan terhadap korosi air dan asam pengoksidasi.</w:t>
      </w:r>
    </w:p>
    <w:p>
      <w:pPr>
        <w:spacing w:after="40"/>
        <w:ind w:left="340" w:hanging="283"/>
      </w:pPr>
      <w:r>
        <w:rPr/>
        <w:t xml:space="preserve">2. </w:t>
      </w:r>
      <w:r>
        <w:rPr>
          <w:b/>
        </w:rPr>
        <w:t>Berilium Oksida (BeO / Beryllia) [CAS 1304-56-9]:</w:t>
      </w:r>
    </w:p>
    <w:p>
      <w:pPr>
        <w:pStyle w:val="ListBullet2"/>
        <w:spacing w:after="20"/>
      </w:pPr>
      <w:r>
        <w:rPr/>
        <w:t>Serbuk kristal putih tidak larut air dengan titik leleh sangat tinggi.</w:t>
      </w:r>
    </w:p>
    <w:p>
      <w:pPr>
        <w:pStyle w:val="ListBullet2"/>
        <w:spacing w:after="20"/>
      </w:pPr>
      <w:r>
        <w:rPr>
          <w:i/>
        </w:rPr>
        <w:t>Karakteristik Keramik Unik:</w:t>
      </w:r>
      <w:r>
        <w:rPr/>
        <w:t xml:space="preserve"> Memiliki kombinasi sifat langka: </w:t>
      </w:r>
      <w:r>
        <w:rPr>
          <w:b/>
        </w:rPr>
        <w:t>isolator listrik yang sangat baik sekaligus konduktor panas (termal) yang luar biasa tinggi</w:t>
      </w:r>
      <w:r>
        <w:rPr/>
        <w:t>, serta sangat stabil pada lingkungan korosif bersuhu ekstrem. Partikel BeO yang dikalsinasi suhu tinggi (</w:t>
      </w:r>
      <w:r>
        <w:rPr>
          <w:i/>
        </w:rPr>
        <w:t>high-fired BeO</w:t>
      </w:r>
      <w:r>
        <w:rPr/>
        <w:t>) memiliki kelarutan sangat rendah dan biopersistensi intraseluler yang sangat panjang di parenkim paru.</w:t>
      </w:r>
    </w:p>
    <w:p>
      <w:pPr>
        <w:spacing w:after="40"/>
        <w:ind w:left="340" w:hanging="283"/>
      </w:pPr>
      <w:r>
        <w:rPr/>
        <w:t xml:space="preserve">3. </w:t>
      </w:r>
      <w:r>
        <w:rPr>
          <w:b/>
        </w:rPr>
        <w:t>Paduan Logam Berilium (</w:t>
      </w:r>
      <w:r>
        <w:rPr>
          <w:b/>
          <w:i/>
        </w:rPr>
        <w:t>Beryllium Alloys</w:t>
      </w:r>
      <w:r>
        <w:rPr>
          <w:b/>
        </w:rPr>
        <w:t>):</w:t>
      </w:r>
    </w:p>
    <w:p>
      <w:pPr>
        <w:pStyle w:val="ListBullet2"/>
        <w:spacing w:after="20"/>
      </w:pPr>
      <w:r>
        <w:rPr/>
        <w:t xml:space="preserve">Mencakup sekitar </w:t>
      </w:r>
      <w:r>
        <w:rPr>
          <w:b/>
        </w:rPr>
        <w:t>75% dari total konsumsi berilium komersial</w:t>
      </w:r>
      <w:r>
        <w:rPr/>
        <w:t xml:space="preserve">, di mana 95% di antaranya berupa </w:t>
      </w:r>
      <w:r>
        <w:rPr>
          <w:b/>
        </w:rPr>
        <w:t>Paduan Berilium-Tembaga (</w:t>
      </w:r>
      <w:r>
        <w:rPr>
          <w:b/>
          <w:i/>
        </w:rPr>
        <w:t>Beryllium-Copper Alloy</w:t>
      </w:r>
      <w:r>
        <w:rPr>
          <w:b/>
        </w:rPr>
        <w:t xml:space="preserve"> / Cu-Be) [CAS 11133-98-5]</w:t>
      </w:r>
      <w:r>
        <w:rPr/>
        <w:t xml:space="preserve"> yang mengandung </w:t>
      </w:r>
      <w:r>
        <w:rPr>
          <w:b/>
        </w:rPr>
        <w:t>2% hingga 4% berilium</w:t>
      </w:r>
      <w:r>
        <w:rPr/>
        <w:t>.</w:t>
      </w:r>
    </w:p>
    <w:p>
      <w:pPr>
        <w:pStyle w:val="ListBullet2"/>
        <w:spacing w:after="20"/>
      </w:pPr>
      <w:r>
        <w:rPr>
          <w:i/>
        </w:rPr>
        <w:t>Karakteristik Mekanis:</w:t>
      </w:r>
      <w:r>
        <w:rPr/>
        <w:t xml:space="preserve"> Memiliki kekuatan tarik ekstrem, tahan korosi, tahan kelelahan logam (</w:t>
      </w:r>
      <w:r>
        <w:rPr>
          <w:i/>
        </w:rPr>
        <w:t>fatigue resistance</w:t>
      </w:r>
      <w:r>
        <w:rPr/>
        <w:t xml:space="preserve">), konduktivitas listrik tinggi, dan </w:t>
      </w:r>
      <w:r>
        <w:rPr>
          <w:b/>
        </w:rPr>
        <w:t>tidak memicu percikan api (</w:t>
      </w:r>
      <w:r>
        <w:rPr>
          <w:b/>
          <w:i/>
        </w:rPr>
        <w:t>non-sparking</w:t>
      </w:r>
      <w:r>
        <w:rPr>
          <w:b/>
        </w:rPr>
        <w:t>)</w:t>
      </w:r>
      <w:r>
        <w:rPr/>
        <w:t>.</w:t>
      </w:r>
    </w:p>
    <w:p>
      <w:pPr>
        <w:pStyle w:val="ListBullet2"/>
        <w:spacing w:after="20"/>
      </w:pPr>
      <w:r>
        <w:rPr>
          <w:i/>
        </w:rPr>
        <w:t>Paduan Lain:</w:t>
      </w:r>
      <w:r>
        <w:rPr/>
        <w:t xml:space="preserve"> Paduan Berilium-Aluminium (</w:t>
      </w:r>
      <w:r>
        <w:rPr>
          <w:i/>
        </w:rPr>
        <w:t>Al-Be / Lockalloy</w:t>
      </w:r>
      <w:r>
        <w:rPr/>
        <w:t>) [CAS 12770-50-2] yang digunakan untuk rangka kedirgantaraan.</w:t>
      </w:r>
    </w:p>
    <w:p>
      <w:pPr>
        <w:spacing w:after="40"/>
        <w:ind w:left="340" w:hanging="283"/>
      </w:pPr>
      <w:r>
        <w:rPr/>
        <w:t xml:space="preserve">4. </w:t>
      </w:r>
      <w:r>
        <w:rPr>
          <w:b/>
        </w:rPr>
        <w:t>Garam-Garam Berilium (</w:t>
      </w:r>
      <w:r>
        <w:rPr>
          <w:b/>
          <w:i/>
        </w:rPr>
        <w:t>Beryllium Salts</w:t>
      </w:r>
      <w:r>
        <w:rPr>
          <w:b/>
        </w:rPr>
        <w:t>):</w:t>
      </w:r>
    </w:p>
    <w:p>
      <w:pPr>
        <w:pStyle w:val="ListBullet2"/>
        <w:spacing w:after="20"/>
      </w:pPr>
      <w:r>
        <w:rPr>
          <w:i/>
        </w:rPr>
        <w:t>Garam Larut Air:</w:t>
      </w:r>
      <w:r>
        <w:rPr/>
        <w:t xml:space="preserve"> </w:t>
      </w:r>
      <w:r>
        <w:rPr>
          <w:b/>
        </w:rPr>
        <w:t>Berilium sulfat [BeSO₄]</w:t>
      </w:r>
      <w:r>
        <w:rPr/>
        <w:t xml:space="preserve">, </w:t>
      </w:r>
      <w:r>
        <w:rPr>
          <w:b/>
        </w:rPr>
        <w:t>berilium sulfat tetrahidrat [BeSO₄· 4H₂O]</w:t>
      </w:r>
      <w:r>
        <w:rPr/>
        <w:t xml:space="preserve">, </w:t>
      </w:r>
      <w:r>
        <w:rPr>
          <w:b/>
        </w:rPr>
        <w:t>berilium klorida [BeCl₂]</w:t>
      </w:r>
      <w:r>
        <w:rPr/>
        <w:t xml:space="preserve">, </w:t>
      </w:r>
      <w:r>
        <w:rPr>
          <w:b/>
        </w:rPr>
        <w:t>berilium fluorida [BeF₂]</w:t>
      </w:r>
      <w:r>
        <w:rPr/>
        <w:t xml:space="preserve">, dan </w:t>
      </w:r>
      <w:r>
        <w:rPr>
          <w:b/>
        </w:rPr>
        <w:t>berilium nitrat [Be(NO₃)₂]</w:t>
      </w:r>
      <w:r>
        <w:rPr/>
        <w:t>. Garam-garam ini bersifat asam, sangat mengiritasi jaringan, dan melepaskan ion Be²⁺ bebas secara cepat.</w:t>
      </w:r>
    </w:p>
    <w:p>
      <w:pPr>
        <w:pStyle w:val="ListBullet2"/>
        <w:spacing w:after="20"/>
      </w:pPr>
      <w:r>
        <w:rPr>
          <w:i/>
        </w:rPr>
        <w:t>Garam Tidak Larut Air &amp; Mineral Silikat Alami:</w:t>
      </w:r>
      <w:r>
        <w:rPr/>
        <w:t xml:space="preserve"> Berilium hidroksida [Be(OH)₂], berilium karbonat basa [BeCO₃·Be(OH)₂], berilium fosfat [BeHPO₄], serta mineral bijih tambang alami seperti </w:t>
      </w:r>
      <w:r>
        <w:rPr>
          <w:b/>
        </w:rPr>
        <w:t>Beryl [Al₂Be₃(SiO₃)₆]</w:t>
      </w:r>
      <w:r>
        <w:rPr/>
        <w:t xml:space="preserve"> dan </w:t>
      </w:r>
      <w:r>
        <w:rPr>
          <w:b/>
        </w:rPr>
        <w:t>Bertrandite [Be₄(OH)₂O(SiO₃)₂]</w:t>
      </w:r>
      <w:r>
        <w:rPr/>
        <w:t>. Mineral silikat murni di alam tidak terbukti memicu sensitisasi sebelum diekstraksi menjadi garam, logam, atau keramik.</w:t>
      </w:r>
    </w:p>
    <w:p>
      <w:pPr>
        <w:pStyle w:val="Heading3"/>
      </w:pPr>
      <w:r>
        <w:t>1. Standar Batas Pajanan Udara (Exposure Limits): ACGIH vs. Regulasi Nasional</w:t>
      </w:r>
    </w:p>
    <w:p>
      <w:pPr>
        <w:spacing w:after="80"/>
      </w:pPr>
      <w:r>
        <w:rPr/>
        <w:t>Ambang batas pajanan udara berilium telah mengalami revisi paling dramatis dalam sejarah higiene industri modern karena batas historis terbukti gagal mencegah timbulnya sensitisasi imun dan CBD.</w:t>
      </w:r>
    </w:p>
    <w:p>
      <w:pPr>
        <w:spacing w:after="120"/>
        <w:ind w:left="170"/>
      </w:pPr>
      <w:r>
        <w:rPr>
          <w:rFonts w:ascii="Consolas" w:hAnsi="Consolas" w:eastAsia="Consolas"/>
          <w:sz w:val="13"/>
        </w:rPr>
        <w:t xml:space="preserve">                     [ STANDAR BATAS PAJANAN UDARA BERILIUM DI TEMPAT KERJA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ACGIH TLV (EDISI 2026 / ADOPSI 2014) ]                                      [ PERMENAKER NO. 5 TAHUN 2018 ]</w:t>
      </w:r>
      <w:r>
        <w:br/>
      </w:r>
      <w:r>
        <w:rPr>
          <w:rFonts w:ascii="Consolas" w:hAnsi="Consolas" w:eastAsia="Consolas"/>
          <w:sz w:val="13"/>
        </w:rPr>
        <w:t>• TLV-TWA: 0,00005 mg/m³ (0,05 µg/m³ atau 50 ng/m³) (Fraksi Inhalabel [I])   • NAB TWA (8 jam): 0,002 mg/m³ (2 µg/m³)</w:t>
      </w:r>
      <w:r>
        <w:br/>
      </w:r>
      <w:r>
        <w:rPr>
          <w:rFonts w:ascii="Consolas" w:hAnsi="Consolas" w:eastAsia="Consolas"/>
          <w:sz w:val="13"/>
        </w:rPr>
        <w:t>• STEL: Tidak ditetapkan (Dashes)                                             • KTD / STEL (15 menit): 0,01 mg/m³</w:t>
      </w:r>
      <w:r>
        <w:br/>
      </w:r>
      <w:r>
        <w:rPr>
          <w:rFonts w:ascii="Consolas" w:hAnsi="Consolas" w:eastAsia="Consolas"/>
          <w:sz w:val="13"/>
        </w:rPr>
        <w:t>• Notasi Karsinogen: A1 (Confirmed Human Carcinogen)                          • Notasi Karsinogen: A1</w:t>
      </w:r>
      <w:r>
        <w:br/>
      </w:r>
      <w:r>
        <w:rPr>
          <w:rFonts w:ascii="Consolas" w:hAnsi="Consolas" w:eastAsia="Consolas"/>
          <w:sz w:val="13"/>
        </w:rPr>
        <w:t>• Notasi Imunologi:                                                           • Catatan: Mengadopsi batas historis</w:t>
      </w:r>
      <w:r>
        <w:br/>
      </w:r>
      <w:r>
        <w:rPr>
          <w:rFonts w:ascii="Consolas" w:hAnsi="Consolas" w:eastAsia="Consolas"/>
          <w:sz w:val="13"/>
        </w:rPr>
        <w:t xml:space="preserve">  - RSEN (Respiratory Sensitization) untuk semua senyawa                        OSHA 1949 (belum harmonisasi ke</w:t>
      </w:r>
      <w:r>
        <w:br/>
      </w:r>
      <w:r>
        <w:rPr>
          <w:rFonts w:ascii="Consolas" w:hAnsi="Consolas" w:eastAsia="Consolas"/>
          <w:sz w:val="13"/>
        </w:rPr>
        <w:t xml:space="preserve">  - DSEN (Dermal Sensitization) &amp; Skin untuk senyawa larut                      level nanogram ACGIH terkini)</w:t>
      </w:r>
      <w:r>
        <w:br/>
      </w:r>
      <w:r>
        <w:rPr>
          <w:rFonts w:ascii="Consolas" w:hAnsi="Consolas" w:eastAsia="Consolas"/>
          <w:sz w:val="13"/>
        </w:rPr>
        <w:t>• TLV Basis: Sensitisasi berilium &amp; Penyakit berilium kronik (beriliosis)</w:t>
      </w:r>
    </w:p>
    <w:p>
      <w:pPr>
        <w:pStyle w:val="Heading4"/>
      </w:pPr>
      <w:r>
        <w:t>a. Standar Batas ACGIH (Edisi Terkini / 2026)</w:t>
      </w:r>
    </w:p>
    <w:p>
      <w:pPr>
        <w:pStyle w:val="ListBullet"/>
        <w:spacing w:after="20"/>
      </w:pPr>
      <w:r>
        <w:rPr>
          <w:b/>
        </w:rPr>
        <w:t>Substansi:</w:t>
      </w:r>
      <w:r>
        <w:rPr/>
        <w:t xml:space="preserve"> </w:t>
      </w:r>
      <w:r>
        <w:rPr>
          <w:i/>
        </w:rPr>
        <w:t>Beryllium [CAS 7440-41-7] and compounds, as Be</w:t>
      </w:r>
      <w:r>
        <w:rPr/>
        <w:t>.</w:t>
      </w:r>
    </w:p>
    <w:p>
      <w:pPr>
        <w:pStyle w:val="ListBullet"/>
        <w:spacing w:after="20"/>
      </w:pPr>
      <w:r>
        <w:rPr>
          <w:b/>
        </w:rPr>
        <w:t>TLV-TWA:</w:t>
      </w:r>
      <w:r>
        <w:rPr/>
        <w:t xml:space="preserve"> </w:t>
      </w:r>
      <w:r>
        <w:rPr>
          <w:b/>
        </w:rPr>
        <w:t>0,00005 mg/m³</w:t>
      </w:r>
      <w:r>
        <w:rPr/>
        <w:t xml:space="preserve"> (setara dengan </w:t>
      </w:r>
      <w:r>
        <w:rPr>
          <w:b/>
        </w:rPr>
        <w:t>0,05 µg/m³</w:t>
      </w:r>
      <w:r>
        <w:rPr/>
        <w:t xml:space="preserve"> atau </w:t>
      </w:r>
      <w:r>
        <w:rPr>
          <w:b/>
        </w:rPr>
        <w:t>50 ng/m³</w:t>
      </w:r>
      <w:r>
        <w:rPr/>
        <w:t xml:space="preserve">) pada </w:t>
      </w:r>
      <w:r>
        <w:rPr>
          <w:b/>
        </w:rPr>
        <w:t>Fraksi Partikulat Inhalabel (</w:t>
      </w:r>
      <w:r>
        <w:rPr>
          <w:b/>
          <w:i/>
        </w:rPr>
        <w:t>Inhalable particulate matter</w:t>
      </w:r>
      <w:r>
        <w:rPr>
          <w:b/>
        </w:rPr>
        <w:t xml:space="preserve"> / I)</w:t>
      </w:r>
      <w:r>
        <w:rPr/>
        <w:t>. Angka ini merupakan salah satu nilai batas ambang terendah di dunia kimia kerja.</w:t>
      </w:r>
    </w:p>
    <w:p>
      <w:pPr>
        <w:pStyle w:val="ListBullet"/>
        <w:spacing w:after="20"/>
      </w:pPr>
      <w:r>
        <w:rPr>
          <w:b/>
        </w:rPr>
        <w:t>TLV-STEL:</w:t>
      </w:r>
      <w:r>
        <w:rPr/>
        <w:t xml:space="preserve"> Tidak ditetapkan (</w:t>
      </w:r>
      <w:r>
        <w:rPr>
          <w:i/>
        </w:rPr>
        <w:t>none listed / dashes</w:t>
      </w:r>
      <w:r>
        <w:rPr/>
        <w:t>).</w:t>
      </w:r>
    </w:p>
    <w:p>
      <w:pPr>
        <w:pStyle w:val="ListBullet"/>
        <w:spacing w:after="20"/>
      </w:pPr>
      <w:r>
        <w:rPr>
          <w:b/>
        </w:rPr>
        <w:t>Notasi Resmi ACGIH:</w:t>
      </w:r>
    </w:p>
    <w:p>
      <w:pPr>
        <w:pStyle w:val="ListBullet2"/>
        <w:spacing w:after="20"/>
      </w:pPr>
      <w:r>
        <w:rPr>
          <w:b/>
        </w:rPr>
        <w:t>A1 (</w:t>
      </w:r>
      <w:r>
        <w:rPr>
          <w:b/>
          <w:i/>
        </w:rPr>
        <w:t>Confirmed Human Carcinogen</w:t>
      </w:r>
      <w:r>
        <w:rPr>
          <w:b/>
        </w:rPr>
        <w:t>):</w:t>
      </w:r>
      <w:r>
        <w:rPr/>
        <w:t xml:space="preserve"> Terbukti secara epidemiologis memicu kanker paru bronkogenik pada manusia.</w:t>
      </w:r>
    </w:p>
    <w:p>
      <w:pPr>
        <w:pStyle w:val="ListBullet2"/>
        <w:spacing w:after="20"/>
      </w:pPr>
      <w:r>
        <w:rPr>
          <w:b/>
        </w:rPr>
        <w:t>RSEN (</w:t>
      </w:r>
      <w:r>
        <w:rPr>
          <w:b/>
          <w:i/>
        </w:rPr>
        <w:t>Respiratory Sensitization</w:t>
      </w:r>
      <w:r>
        <w:rPr>
          <w:b/>
        </w:rPr>
        <w:t>):</w:t>
      </w:r>
      <w:r>
        <w:rPr/>
        <w:t xml:space="preserve"> Ditetapkan untuk </w:t>
      </w:r>
      <w:r>
        <w:rPr>
          <w:b/>
        </w:rPr>
        <w:t>seluruh senyawa berilium larut maupun tidak larut</w:t>
      </w:r>
      <w:r>
        <w:rPr/>
        <w:t xml:space="preserve"> (</w:t>
      </w:r>
      <w:r>
        <w:rPr>
          <w:i/>
        </w:rPr>
        <w:t>soluble and insoluble compounds</w:t>
      </w:r>
      <w:r>
        <w:rPr/>
        <w:t>), menandakan potensinya memicu hipersensitivitas imunologis saluran napas.</w:t>
      </w:r>
    </w:p>
    <w:p>
      <w:pPr>
        <w:pStyle w:val="ListBullet2"/>
        <w:spacing w:after="20"/>
      </w:pPr>
      <w:r>
        <w:rPr>
          <w:b/>
        </w:rPr>
        <w:t>DSEN (</w:t>
      </w:r>
      <w:r>
        <w:rPr>
          <w:b/>
          <w:i/>
        </w:rPr>
        <w:t>Dermal Sensitization</w:t>
      </w:r>
      <w:r>
        <w:rPr>
          <w:b/>
        </w:rPr>
        <w:t>):</w:t>
      </w:r>
      <w:r>
        <w:rPr/>
        <w:t xml:space="preserve"> Ditetapkan secara spesifik untuk </w:t>
      </w:r>
      <w:r>
        <w:rPr>
          <w:b/>
        </w:rPr>
        <w:t>senyawa berilium larut</w:t>
      </w:r>
      <w:r>
        <w:rPr/>
        <w:t xml:space="preserve"> (</w:t>
      </w:r>
      <w:r>
        <w:rPr>
          <w:i/>
        </w:rPr>
        <w:t>soluble compounds</w:t>
      </w:r>
      <w:r>
        <w:rPr/>
        <w:t>), mengindikasikan potensi sensitisasi alergi kulit tipe lambat.</w:t>
      </w:r>
    </w:p>
    <w:p>
      <w:pPr>
        <w:pStyle w:val="ListBullet2"/>
        <w:spacing w:after="20"/>
      </w:pPr>
      <w:r>
        <w:rPr>
          <w:b/>
        </w:rPr>
        <w:t>Notasi Kulit (</w:t>
      </w:r>
      <w:r>
        <w:rPr>
          <w:b/>
          <w:i/>
        </w:rPr>
        <w:t>Skin Notation</w:t>
      </w:r>
      <w:r>
        <w:rPr>
          <w:b/>
        </w:rPr>
        <w:t>):</w:t>
      </w:r>
      <w:r>
        <w:rPr/>
        <w:t xml:space="preserve"> Diberikan pada senyawa larut berilium untuk mengingatkan bahaya penyerapan perkutan terhadap beban dosis internal dan elisitasi imun.</w:t>
      </w:r>
    </w:p>
    <w:p>
      <w:pPr>
        <w:pStyle w:val="ListBullet"/>
        <w:spacing w:after="20"/>
      </w:pPr>
      <w:r>
        <w:rPr>
          <w:b/>
        </w:rPr>
        <w:t>Dasar Penetapan Efek Kritis (</w:t>
      </w:r>
      <w:r>
        <w:rPr>
          <w:b/>
          <w:i/>
        </w:rPr>
        <w:t>TLV Basis</w:t>
      </w:r>
      <w:r>
        <w:rPr>
          <w:b/>
        </w:rPr>
        <w:t>):</w:t>
      </w:r>
      <w:r>
        <w:rPr/>
        <w:t xml:space="preserve"> </w:t>
      </w:r>
      <w:r>
        <w:rPr>
          <w:b/>
        </w:rPr>
        <w:t>Sensitisasi Berilium (</w:t>
      </w:r>
      <w:r>
        <w:rPr>
          <w:b/>
          <w:i/>
        </w:rPr>
        <w:t>Beryllium sensitization</w:t>
      </w:r>
      <w:r>
        <w:rPr>
          <w:b/>
        </w:rPr>
        <w:t>) dan Penyakit Berilium Kronik (</w:t>
      </w:r>
      <w:r>
        <w:rPr>
          <w:b/>
          <w:i/>
        </w:rPr>
        <w:t>Chronic beryllium disease / berylliosis</w:t>
      </w:r>
      <w:r>
        <w:rPr>
          <w:b/>
        </w:rPr>
        <w:t>)</w:t>
      </w:r>
      <w:r>
        <w:rPr/>
        <w:t>.</w:t>
      </w:r>
    </w:p>
    <w:p>
      <w:pPr>
        <w:pStyle w:val="ListBullet"/>
        <w:spacing w:after="20"/>
      </w:pPr>
      <w:r>
        <w:rPr>
          <w:i/>
        </w:rPr>
        <w:t>Perbandingan Regulasi Internasional Lain:</w:t>
      </w:r>
    </w:p>
    <w:p>
      <w:pPr>
        <w:pStyle w:val="ListBullet2"/>
        <w:spacing w:after="20"/>
      </w:pPr>
      <w:r>
        <w:rPr>
          <w:i/>
        </w:rPr>
        <w:t>OSHA PEL (AS):</w:t>
      </w:r>
      <w:r>
        <w:rPr/>
        <w:t xml:space="preserve"> Standar historis adalah TWA 0,002 mg/m³ (2 µg/m³), Ceiling 0,005 mg/m³, dan Peak 0,025 mg/m³. Namun, OSHA telah memperbarui PEL berilium menjadi </w:t>
      </w:r>
      <w:r>
        <w:rPr>
          <w:b/>
        </w:rPr>
        <w:t>0,2 µg/m³</w:t>
      </w:r>
      <w:r>
        <w:rPr/>
        <w:t xml:space="preserve"> (0,0002 mg/m³) dengan batas aksi (</w:t>
      </w:r>
      <w:r>
        <w:rPr>
          <w:i/>
        </w:rPr>
        <w:t>action level</w:t>
      </w:r>
      <w:r>
        <w:rPr/>
        <w:t xml:space="preserve">) </w:t>
      </w:r>
      <w:r>
        <w:rPr>
          <w:b/>
        </w:rPr>
        <w:t>0,1 µg/m³</w:t>
      </w:r>
      <w:r>
        <w:rPr/>
        <w:t>.</w:t>
      </w:r>
    </w:p>
    <w:p>
      <w:pPr>
        <w:pStyle w:val="ListBullet2"/>
        <w:spacing w:after="20"/>
      </w:pPr>
      <w:r>
        <w:rPr>
          <w:i/>
        </w:rPr>
        <w:t>NIOSH REL:</w:t>
      </w:r>
      <w:r>
        <w:rPr/>
        <w:t xml:space="preserve"> Direkomendasikan sebagai karsinogen potensial dengan batas plafon </w:t>
      </w:r>
      <w:r>
        <w:rPr>
          <w:b/>
        </w:rPr>
        <w:t>≤ 0,0005 mg/m³</w:t>
      </w:r>
      <w:r>
        <w:rPr/>
        <w:t xml:space="preserve"> (0,5 µg/m³).</w:t>
      </w:r>
    </w:p>
    <w:p>
      <w:pPr>
        <w:pStyle w:val="Heading4"/>
      </w:pPr>
      <w:r>
        <w:t>b. Nilai Ambang Batas Permenaker No. 5 Tahun 2018 (Lampiran 3)</w:t>
      </w:r>
    </w:p>
    <w:p>
      <w:pPr>
        <w:pStyle w:val="ListBullet"/>
        <w:spacing w:after="20"/>
      </w:pPr>
      <w:r>
        <w:rPr>
          <w:b/>
        </w:rPr>
        <w:t>Berilium dan Persenyawaannya (sebagai Be) [CAS 7440-41-7]:</w:t>
      </w:r>
    </w:p>
    <w:p>
      <w:pPr>
        <w:pStyle w:val="ListBullet2"/>
        <w:spacing w:after="20"/>
      </w:pPr>
      <w:r>
        <w:rPr>
          <w:b/>
        </w:rPr>
        <w:t>NAB TWA (8 jam kerja):</w:t>
      </w:r>
      <w:r>
        <w:rPr/>
        <w:t xml:space="preserve"> </w:t>
      </w:r>
      <w:r>
        <w:rPr>
          <w:b/>
        </w:rPr>
        <w:t>0,002 mg/m³</w:t>
      </w:r>
      <w:r>
        <w:rPr/>
        <w:t xml:space="preserve"> (setara </w:t>
      </w:r>
      <w:r>
        <w:rPr>
          <w:b/>
        </w:rPr>
        <w:t>2 µg/m³</w:t>
      </w:r>
      <w:r>
        <w:rPr/>
        <w:t>).</w:t>
      </w:r>
    </w:p>
    <w:p>
      <w:pPr>
        <w:pStyle w:val="ListBullet2"/>
        <w:spacing w:after="20"/>
      </w:pPr>
      <w:r>
        <w:rPr>
          <w:b/>
        </w:rPr>
        <w:t>KTD / STEL (15 menit):</w:t>
      </w:r>
      <w:r>
        <w:rPr/>
        <w:t xml:space="preserve"> </w:t>
      </w:r>
      <w:r>
        <w:rPr>
          <w:b/>
        </w:rPr>
        <w:t>0,01 mg/m³</w:t>
      </w:r>
      <w:r>
        <w:rPr/>
        <w:t xml:space="preserve"> (setara </w:t>
      </w:r>
      <w:r>
        <w:rPr>
          <w:b/>
        </w:rPr>
        <w:t>10 µg/m³</w:t>
      </w:r>
      <w:r>
        <w:rPr/>
        <w:t>).</w:t>
      </w:r>
    </w:p>
    <w:p>
      <w:pPr>
        <w:pStyle w:val="ListBullet2"/>
        <w:spacing w:after="20"/>
      </w:pPr>
      <w:r>
        <w:rPr>
          <w:b/>
        </w:rPr>
        <w:t>Notasi:</w:t>
      </w:r>
      <w:r>
        <w:rPr/>
        <w:t xml:space="preserve"> </w:t>
      </w:r>
      <w:r>
        <w:rPr>
          <w:b/>
        </w:rPr>
        <w:t>A1</w:t>
      </w:r>
      <w:r>
        <w:rPr/>
        <w:t xml:space="preserve"> (Karsinogen terbukti pada manusia).</w:t>
      </w:r>
    </w:p>
    <w:p>
      <w:pPr>
        <w:pStyle w:val="ListBullet"/>
        <w:spacing w:after="20"/>
      </w:pPr>
      <w:r>
        <w:rPr>
          <w:i/>
        </w:rPr>
        <w:t>Kritisi Medis Okupasi:</w:t>
      </w:r>
      <w:r>
        <w:rPr/>
        <w:t xml:space="preserve"> Standar NAB Permenaker 5/2018 masih mengadopsi standar batas lama (konsentrasi 2 µg/m³ yang ditetapkan sejak tahun 1949 oleh Komisi Energi Atom AS). Berbagai studi epidemiologi membuktikan bahwa </w:t>
      </w:r>
      <w:r>
        <w:rPr>
          <w:b/>
        </w:rPr>
        <w:t>CBD dan sensitisasi masih timbul pada pekerja yang terpapar di bawah 2 µg/m³ (bahkan pada konsentrasi &lt; 0,2 µg/m³)</w:t>
      </w:r>
      <w:r>
        <w:rPr/>
        <w:t>. Sebagai konsultan kedokteran okupasi, Anda wajib merekomendasikan target pengendalian lingkungan industri mengacu pada level protektif ACGIH (0,05 µg/m³).</w:t>
      </w:r>
    </w:p>
    <w:p>
      <w:pPr>
        <w:pStyle w:val="Heading3"/>
      </w:pPr>
      <w:r>
        <w:t>2. Standar BEI/IPB dan Kebijakan Surveilans Medis Okupasi</w:t>
      </w:r>
    </w:p>
    <w:p>
      <w:pPr>
        <w:spacing w:after="80"/>
      </w:pPr>
      <w:r>
        <w:rPr/>
        <w:t>Banyak residen salah menduga bahwa karena berilium adalah logam berat beracun, maka surveilansnya menggunakan kadar logam darah atau urin. Pahami fakta regulasi dan metodologi imunologis berikut:</w:t>
      </w:r>
    </w:p>
    <w:p>
      <w:pPr>
        <w:spacing w:after="120"/>
        <w:ind w:left="170"/>
      </w:pPr>
      <w:r>
        <w:rPr>
          <w:rFonts w:ascii="Consolas" w:hAnsi="Consolas" w:eastAsia="Consolas"/>
          <w:sz w:val="13"/>
        </w:rPr>
        <w:t xml:space="preserve">                         [ STATUS BIOMONITORING &amp; SURVEILANS BERILIUM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w:t>
      </w:r>
      <w:r>
        <w:br/>
      </w:r>
      <w:r>
        <w:rPr>
          <w:rFonts w:ascii="Consolas" w:hAnsi="Consolas" w:eastAsia="Consolas"/>
          <w:sz w:val="13"/>
        </w:rPr>
        <w:t>[ REGULASI BEI / IPB ]                                                      [ BAKU EMAS SURVEILANS: UJI BeLPT ]</w:t>
      </w:r>
      <w:r>
        <w:br/>
      </w:r>
      <w:r>
        <w:rPr>
          <w:rFonts w:ascii="Consolas" w:hAnsi="Consolas" w:eastAsia="Consolas"/>
          <w:sz w:val="13"/>
        </w:rPr>
        <w:t>• ACGIH BEI: TIDAK ADA (NOT FEASIBLE)                                       • Uji Proliferasi Limfosit Darah Tepi (Blood BeLPT)</w:t>
      </w:r>
      <w:r>
        <w:br/>
      </w:r>
      <w:r>
        <w:rPr>
          <w:rFonts w:ascii="Consolas" w:hAnsi="Consolas" w:eastAsia="Consolas"/>
          <w:sz w:val="13"/>
        </w:rPr>
        <w:t xml:space="preserve">  (Feasibility Assessment resmi: ketiadaan korelasi kuantitatif)            • Jadwal: Pra-kerja (baseline), serial tiap 1–2 tahun,</w:t>
      </w:r>
      <w:r>
        <w:br/>
      </w:r>
      <w:r>
        <w:rPr>
          <w:rFonts w:ascii="Consolas" w:hAnsi="Consolas" w:eastAsia="Consolas"/>
          <w:sz w:val="13"/>
        </w:rPr>
        <w:t>• Permenaker 5/2018 Lampiran 4: TIDAK ADA IPB                                 serta evaluasi terminasi / purnatugas</w:t>
      </w:r>
      <w:r>
        <w:br/>
      </w:r>
      <w:r>
        <w:rPr>
          <w:rFonts w:ascii="Consolas" w:hAnsi="Consolas" w:eastAsia="Consolas"/>
          <w:sz w:val="13"/>
        </w:rPr>
        <w:t>• Be Darah &amp; Urin: HANYA indikator pajanan terkini,                         • Kriteria Sensitisasi (BeS): ≥ 2 Abnormal atau</w:t>
      </w:r>
      <w:r>
        <w:br/>
      </w:r>
      <w:r>
        <w:rPr>
          <w:rFonts w:ascii="Consolas" w:hAnsi="Consolas" w:eastAsia="Consolas"/>
          <w:sz w:val="13"/>
        </w:rPr>
        <w:t xml:space="preserve">  TIDAK berkorelasi dgn beban paru maupun keparahan CBD!                      1 Abnormal + 1 Borderline ──► RUJUK BRONKOSKOPI &amp; BAL!</w:t>
      </w:r>
    </w:p>
    <w:p>
      <w:pPr>
        <w:pStyle w:val="Heading4"/>
      </w:pPr>
      <w:r>
        <w:t>a. Status Resmi BEI (ACGIH) dan IPB (Permenaker 5/2018)</w:t>
      </w:r>
    </w:p>
    <w:p>
      <w:pPr>
        <w:pStyle w:val="ListBullet"/>
        <w:spacing w:after="20"/>
      </w:pPr>
      <w:r>
        <w:rPr>
          <w:b/>
        </w:rPr>
        <w:t>Komite BEI ACGIH:</w:t>
      </w:r>
      <w:r>
        <w:rPr/>
        <w:t xml:space="preserve"> Secara eksplisit menetapkan bahwa pembuatan nilai BEI untuk Berilium: </w:t>
      </w:r>
      <w:r>
        <w:rPr>
          <w:b/>
        </w:rPr>
        <w:t>BELUM MEMUNGKINKAN (</w:t>
      </w:r>
      <w:r>
        <w:rPr>
          <w:b/>
          <w:i/>
        </w:rPr>
        <w:t>NOT CURRENTLY FEASIBLE</w:t>
      </w:r>
      <w:r>
        <w:rPr>
          <w:b/>
        </w:rPr>
        <w:t>)</w:t>
      </w:r>
      <w:r>
        <w:rPr/>
        <w:t>.</w:t>
      </w:r>
    </w:p>
    <w:p>
      <w:pPr>
        <w:pStyle w:val="ListBullet"/>
        <w:spacing w:after="20"/>
      </w:pPr>
      <w:r>
        <w:rPr>
          <w:b/>
        </w:rPr>
        <w:t>Permenaker No. 5 Tahun 2018 (Lampiran 4):</w:t>
      </w:r>
      <w:r>
        <w:rPr/>
        <w:t xml:space="preserve"> </w:t>
      </w:r>
      <w:r>
        <w:rPr>
          <w:b/>
        </w:rPr>
        <w:t>TIDAK MENCANTUMKAN parameter Indeks Pajanan Biologi (IPB) untuk Berilium</w:t>
      </w:r>
      <w:r>
        <w:rPr/>
        <w:t>.</w:t>
      </w:r>
    </w:p>
    <w:p>
      <w:pPr>
        <w:pStyle w:val="ListBullet"/>
        <w:spacing w:after="20"/>
      </w:pPr>
      <w:r>
        <w:rPr>
          <w:i/>
        </w:rPr>
        <w:t>Rasional Toksikokinetik Ketiadaan BEI:</w:t>
      </w:r>
    </w:p>
    <w:p>
      <w:pPr>
        <w:spacing w:after="40"/>
        <w:ind w:left="680" w:hanging="283"/>
      </w:pPr>
      <w:r>
        <w:rPr/>
        <w:t>1. Ekskresi berilium lewat filtrasi ginjal sangat minimal (&lt; 0,5%–1% dari dosis terserap) dan sangat fluktuatif.</w:t>
      </w:r>
    </w:p>
    <w:p>
      <w:pPr>
        <w:spacing w:after="40"/>
        <w:ind w:left="680" w:hanging="283"/>
      </w:pPr>
      <w:r>
        <w:rPr/>
        <w:t xml:space="preserve">2. Kadar berilium darah (Be-B) dan urin (Be-U) </w:t>
      </w:r>
      <w:r>
        <w:rPr>
          <w:b/>
        </w:rPr>
        <w:t>hanya mencerminkan pajanan eksternal yang sangat baru (</w:t>
      </w:r>
      <w:r>
        <w:rPr>
          <w:b/>
          <w:i/>
        </w:rPr>
        <w:t>recent exposure</w:t>
      </w:r>
      <w:r>
        <w:rPr>
          <w:b/>
        </w:rPr>
        <w:t>)</w:t>
      </w:r>
      <w:r>
        <w:rPr/>
        <w:t>, bukan akumulasi total jaringan.</w:t>
      </w:r>
    </w:p>
    <w:p>
      <w:pPr>
        <w:spacing w:after="40"/>
        <w:ind w:left="680" w:hanging="283"/>
      </w:pPr>
      <w:r>
        <w:rPr/>
        <w:t xml:space="preserve">3. Kadar berilium urin dan darah </w:t>
      </w:r>
      <w:r>
        <w:rPr>
          <w:b/>
        </w:rPr>
        <w:t>TIDAK memiliki korelasi linear kuantitatif dengan beban penumpukan partikel di parenkim paru (</w:t>
      </w:r>
      <w:r>
        <w:rPr>
          <w:b/>
          <w:i/>
        </w:rPr>
        <w:t>lung burden</w:t>
      </w:r>
      <w:r>
        <w:rPr>
          <w:b/>
        </w:rPr>
        <w:t>)</w:t>
      </w:r>
      <w:r>
        <w:rPr/>
        <w:t>.</w:t>
      </w:r>
    </w:p>
    <w:p>
      <w:pPr>
        <w:spacing w:after="40"/>
        <w:ind w:left="680" w:hanging="283"/>
      </w:pPr>
      <w:r>
        <w:rPr/>
        <w:t xml:space="preserve">4. Yang terpenting: </w:t>
      </w:r>
      <w:r>
        <w:rPr>
          <w:b/>
        </w:rPr>
        <w:t>Kadar berilium dalam cairan tubuh TIDAK BERKORELASI dengan ada/tidaknya Sensitisasi Berilium (BeS) maupun derajat keparahan kerusakan paru pada CBD</w:t>
      </w:r>
      <w:r>
        <w:rPr/>
        <w:t xml:space="preserve">. Seorang pekerja dengan kadar Be urin normal dapat menderita CBD progresif berat, dan sebaliknya. Oleh karena itu, uji kimiawi Be urin/darah </w:t>
      </w:r>
      <w:r>
        <w:rPr>
          <w:b/>
        </w:rPr>
        <w:t>tidak boleh digunakan sebagai dasar keputusan medis individu pekerja</w:t>
      </w:r>
      <w:r>
        <w:rPr/>
        <w:t>.</w:t>
      </w:r>
    </w:p>
    <w:p>
      <w:pPr>
        <w:pStyle w:val="Heading4"/>
      </w:pPr>
      <w:r>
        <w:t>b. Kebijakan Surveilans Medis: Protokol Uji BeLPT Serial</w:t>
      </w:r>
    </w:p>
    <w:p>
      <w:pPr>
        <w:spacing w:after="80"/>
      </w:pPr>
      <w:r>
        <w:rPr/>
        <w:t xml:space="preserve">Surveilans kesehatan kerja bagi seluruh pekerja yang berpotensi terpajan aerosol berilium (operator bubut Cu-Be, teknisi laboratorium dental, manufaktur keramik BeO) wajib bertumpu pada </w:t>
      </w:r>
      <w:r>
        <w:rPr>
          <w:b/>
        </w:rPr>
        <w:t>Beryllium Lymphocyte Proliferation Test (BeLPT)</w:t>
      </w:r>
      <w:r>
        <w:rPr/>
        <w:t>:</w:t>
      </w:r>
    </w:p>
    <w:p>
      <w:pPr>
        <w:spacing w:after="40"/>
        <w:ind w:left="340" w:hanging="283"/>
      </w:pPr>
      <w:r>
        <w:rPr/>
        <w:t xml:space="preserve">1. </w:t>
      </w:r>
      <w:r>
        <w:rPr>
          <w:b/>
        </w:rPr>
        <w:t>Pemeriksaan Pra-Penempatan / Pra-Kerja (</w:t>
      </w:r>
      <w:r>
        <w:rPr>
          <w:b/>
          <w:i/>
        </w:rPr>
        <w:t>Pre-placement / Baseline Testing</w:t>
      </w:r>
      <w:r>
        <w:rPr>
          <w:b/>
        </w:rPr>
        <w:t>):</w:t>
      </w:r>
    </w:p>
    <w:p>
      <w:pPr>
        <w:spacing w:after="80"/>
      </w:pPr>
      <w:r>
        <w:rPr/>
        <w:t>Pengambilan spesimen darah vena untuk uji BeLPT wajib dilakukan sebelum pekerja mulai bertugas di area fasilitas berilium guna memastikan pekerja belum tersensitisasi dari riwayat pekerjaan sebelumnya.</w:t>
      </w:r>
    </w:p>
    <w:p>
      <w:pPr>
        <w:spacing w:after="40"/>
        <w:ind w:left="340" w:hanging="283"/>
      </w:pPr>
      <w:r>
        <w:rPr/>
        <w:t xml:space="preserve">2. </w:t>
      </w:r>
      <w:r>
        <w:rPr>
          <w:b/>
        </w:rPr>
        <w:t>Pemeriksaan Berkala (</w:t>
      </w:r>
      <w:r>
        <w:rPr>
          <w:b/>
          <w:i/>
        </w:rPr>
        <w:t>Periodic Surveillance</w:t>
      </w:r>
      <w:r>
        <w:rPr>
          <w:b/>
        </w:rPr>
        <w:t>):</w:t>
      </w:r>
    </w:p>
    <w:p>
      <w:pPr>
        <w:pStyle w:val="ListBullet2"/>
        <w:spacing w:after="20"/>
      </w:pPr>
      <w:r>
        <w:rPr/>
        <w:t xml:space="preserve">Uji BeLPT darah tepi diulang secara </w:t>
      </w:r>
      <w:r>
        <w:rPr>
          <w:b/>
        </w:rPr>
        <w:t>serial setiap 1 hingga 2 tahun (maksimal setiap 2–3 tahun)</w:t>
      </w:r>
      <w:r>
        <w:rPr/>
        <w:t xml:space="preserve"> selama masa kerja aktif.</w:t>
      </w:r>
    </w:p>
    <w:p>
      <w:pPr>
        <w:pStyle w:val="ListBullet2"/>
        <w:spacing w:after="20"/>
      </w:pPr>
      <w:r>
        <w:rPr/>
        <w:t>Disertai pengisian kuesioner respirasi terfokus, pemeriksaan fisik paru, uji faal paru (spirometri dan DLCO), serta foto toraks berkala.</w:t>
      </w:r>
    </w:p>
    <w:p>
      <w:pPr>
        <w:spacing w:after="40"/>
        <w:ind w:left="340" w:hanging="283"/>
      </w:pPr>
      <w:r>
        <w:rPr/>
        <w:t xml:space="preserve">3. </w:t>
      </w:r>
      <w:r>
        <w:rPr>
          <w:b/>
        </w:rPr>
        <w:t>Pemeriksaan Terminasi dan Purnatugas (</w:t>
      </w:r>
      <w:r>
        <w:rPr>
          <w:b/>
          <w:i/>
        </w:rPr>
        <w:t>Exit / Post-employment Surveillance</w:t>
      </w:r>
      <w:r>
        <w:rPr>
          <w:b/>
        </w:rPr>
        <w:t>):</w:t>
      </w:r>
    </w:p>
    <w:p>
      <w:pPr>
        <w:spacing w:after="80"/>
      </w:pPr>
      <w:r>
        <w:rPr/>
        <w:t xml:space="preserve">Mengingat </w:t>
      </w:r>
      <w:r>
        <w:rPr>
          <w:b/>
        </w:rPr>
        <w:t>masa laten CBD dapat mencapai 10 hingga 40 tahun setelah kontak kerja berakhir</w:t>
      </w:r>
      <w:r>
        <w:rPr/>
        <w:t>, pekerja wajib menjalani pemeriksaan BeLPT saat berhenti bekerja dan tetap dianjurkan melakukan pemantauan medis berkala seumur hidup bila terbukti mengalami BeS.</w:t>
      </w:r>
    </w:p>
    <w:p>
      <w:r>
        <w:br w:type="page"/>
      </w:r>
    </w:p>
    <w:p>
      <w:pPr>
        <w:pStyle w:val="Heading2"/>
      </w:pPr>
      <w:bookmarkStart w:id="128" w:name="toc_028"/>
      <w:r>
        <w:t>3A.9 Kobalt dan hard metal</w:t>
      </w:r>
      <w:bookmarkEnd w:id="128"/>
    </w:p>
    <w:p>
      <w:pPr>
        <w:pStyle w:val="Heading3"/>
      </w:pPr>
      <w:r>
        <w:t>(1) Sifat Fisik-Kimia dan Klasifikasi</w:t>
      </w:r>
    </w:p>
    <w:p>
      <w:pPr>
        <w:spacing w:after="120"/>
        <w:ind w:left="170"/>
      </w:pPr>
      <w:r>
        <w:rPr>
          <w:rFonts w:ascii="Consolas" w:hAnsi="Consolas" w:eastAsia="Consolas"/>
          <w:sz w:val="13"/>
        </w:rPr>
        <w:t xml:space="preserve">                               [ KLASIFIKASI SPESIASI KOBALT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KOBALT ELEMENTAL / LOGAM ]         [ KOMPOSIT HARD METAL (WC-Co) ]      [ SENYAWA ANORGANIK &amp; ORGANIK ]</w:t>
      </w:r>
      <w:r>
        <w:br/>
      </w:r>
      <w:r>
        <w:rPr>
          <w:rFonts w:ascii="Consolas" w:hAnsi="Consolas" w:eastAsia="Consolas"/>
          <w:sz w:val="13"/>
        </w:rPr>
        <w:t>• Logam transisi abu-abu perak,      • "Cemented tungsten carbide"        • Garam Larut: CoCl₂, CoSO₄</w:t>
      </w:r>
      <w:r>
        <w:br/>
      </w:r>
      <w:r>
        <w:rPr>
          <w:rFonts w:ascii="Consolas" w:hAnsi="Consolas" w:eastAsia="Consolas"/>
          <w:sz w:val="13"/>
        </w:rPr>
        <w:t xml:space="preserve">  feromagnetik, nomor atom 27        • Matriks logam: 80–95% partikel     • Oksida Tak Larut: CoO, Co₃O₄</w:t>
      </w:r>
      <w:r>
        <w:br/>
      </w:r>
      <w:r>
        <w:rPr>
          <w:rFonts w:ascii="Consolas" w:hAnsi="Consolas" w:eastAsia="Consolas"/>
          <w:sz w:val="13"/>
        </w:rPr>
        <w:t>• Titik leleh: 1495°C                  WC diikat oleh 5–15% Kobalt murni  • Senyawa Karbonil volatil:</w:t>
      </w:r>
      <w:r>
        <w:br/>
      </w:r>
      <w:r>
        <w:rPr>
          <w:rFonts w:ascii="Consolas" w:hAnsi="Consolas" w:eastAsia="Consolas"/>
          <w:sz w:val="13"/>
        </w:rPr>
        <w:t>• Valensi utama: Co²⁺ dan Co³⁺       • Kekerasan mendekati intan             Kobalt hidrokarbonil [Co(CO)₄H]</w:t>
      </w:r>
      <w:r>
        <w:br/>
      </w:r>
      <w:r>
        <w:rPr>
          <w:rFonts w:ascii="Consolas" w:hAnsi="Consolas" w:eastAsia="Consolas"/>
          <w:sz w:val="13"/>
        </w:rPr>
        <w:t>• Komponen esensial Vit B12 (0,04%)  • Sinergi kimia redoks antarmuka       dan Dikobalt oktakarbonil [Co₂(CO)₈]</w:t>
      </w:r>
    </w:p>
    <w:p>
      <w:pPr>
        <w:spacing w:after="40"/>
        <w:ind w:left="340" w:hanging="283"/>
      </w:pPr>
      <w:r>
        <w:rPr/>
        <w:t xml:space="preserve">1. </w:t>
      </w:r>
      <w:r>
        <w:rPr>
          <w:b/>
        </w:rPr>
        <w:t>Kobalt Elemental [Co] [CAS 7440-48-4]:</w:t>
      </w:r>
    </w:p>
    <w:p>
      <w:pPr>
        <w:pStyle w:val="ListBullet2"/>
        <w:spacing w:after="20"/>
      </w:pPr>
      <w:r>
        <w:rPr/>
        <w:t>Logam transisi keras berwarna abu-abu keperakan (</w:t>
      </w:r>
      <w:r>
        <w:rPr>
          <w:i/>
        </w:rPr>
        <w:t>silvery-gray</w:t>
      </w:r>
      <w:r>
        <w:rPr/>
        <w:t>), bersifat feromagnetik, titik leleh 1495°C, berat atom 58,93 g/mol.</w:t>
      </w:r>
    </w:p>
    <w:p>
      <w:pPr>
        <w:pStyle w:val="ListBullet2"/>
        <w:spacing w:after="20"/>
      </w:pPr>
      <w:r>
        <w:rPr/>
        <w:t xml:space="preserve">Memiliki bilangan oksidasi stabil </w:t>
      </w:r>
      <w:r>
        <w:rPr>
          <w:b/>
        </w:rPr>
        <w:t>Co²⁺</w:t>
      </w:r>
      <w:r>
        <w:rPr/>
        <w:t xml:space="preserve"> dan </w:t>
      </w:r>
      <w:r>
        <w:rPr>
          <w:b/>
        </w:rPr>
        <w:t>Co³⁺</w:t>
      </w:r>
      <w:r>
        <w:rPr/>
        <w:t>. Merupakan unsur kelumit (</w:t>
      </w:r>
      <w:r>
        <w:rPr>
          <w:i/>
        </w:rPr>
        <w:t>trace element</w:t>
      </w:r>
      <w:r>
        <w:rPr/>
        <w:t xml:space="preserve">) esensial bagi tubuh manusia sebagai inti cincin korin </w:t>
      </w:r>
      <w:r>
        <w:rPr>
          <w:b/>
        </w:rPr>
        <w:t>Vitamin B12 (Sianokobalamin)</w:t>
      </w:r>
      <w:r>
        <w:rPr/>
        <w:t>.</w:t>
      </w:r>
    </w:p>
    <w:p>
      <w:pPr>
        <w:spacing w:after="40"/>
        <w:ind w:left="340" w:hanging="283"/>
      </w:pPr>
      <w:r>
        <w:rPr/>
        <w:t xml:space="preserve">2. </w:t>
      </w:r>
      <w:r>
        <w:rPr>
          <w:b/>
        </w:rPr>
        <w:t>Hard Metal / Logam Keras (</w:t>
      </w:r>
      <w:r>
        <w:rPr>
          <w:b/>
          <w:i/>
        </w:rPr>
        <w:t>Cemented Tungsten Carbide</w:t>
      </w:r>
      <w:r>
        <w:rPr>
          <w:b/>
        </w:rPr>
        <w:t xml:space="preserve"> / WC-Co) [CAS 12070-12-1]:</w:t>
      </w:r>
    </w:p>
    <w:p>
      <w:pPr>
        <w:pStyle w:val="ListBullet2"/>
        <w:spacing w:after="20"/>
      </w:pPr>
      <w:r>
        <w:rPr/>
        <w:t>Bukan paduan logam (</w:t>
      </w:r>
      <w:r>
        <w:rPr>
          <w:i/>
        </w:rPr>
        <w:t>alloy</w:t>
      </w:r>
      <w:r>
        <w:rPr/>
        <w:t xml:space="preserve">) konvensional yang dilebur homogen, melainkan </w:t>
      </w:r>
      <w:r>
        <w:rPr>
          <w:b/>
        </w:rPr>
        <w:t>komposit matriks logam (</w:t>
      </w:r>
      <w:r>
        <w:rPr>
          <w:b/>
          <w:i/>
        </w:rPr>
        <w:t>metal-matrix composite</w:t>
      </w:r>
      <w:r>
        <w:rPr>
          <w:b/>
        </w:rPr>
        <w:t>)</w:t>
      </w:r>
      <w:r>
        <w:rPr/>
        <w:t xml:space="preserve"> yang dibuat melalui proses metalurgi serbuk (</w:t>
      </w:r>
      <w:r>
        <w:rPr>
          <w:i/>
        </w:rPr>
        <w:t>powder metallurgy</w:t>
      </w:r>
      <w:r>
        <w:rPr/>
        <w:t>) dan sintering pada suhu 1500°C.</w:t>
      </w:r>
    </w:p>
    <w:p>
      <w:pPr>
        <w:pStyle w:val="ListBullet2"/>
        <w:spacing w:after="20"/>
      </w:pPr>
      <w:r>
        <w:rPr/>
        <w:t xml:space="preserve">Komposisi: </w:t>
      </w:r>
      <w:r>
        <w:rPr>
          <w:b/>
        </w:rPr>
        <w:t>80% hingga 95% partikel kristal Tungsten Karbida (WC)</w:t>
      </w:r>
      <w:r>
        <w:rPr/>
        <w:t xml:space="preserve"> yang sangat keras dan getas, disemen/diikat oleh </w:t>
      </w:r>
      <w:r>
        <w:rPr>
          <w:b/>
        </w:rPr>
        <w:t>5% hingga 15% (bahkan hingga 20%) serbuk Kobalt logam murni (Co)</w:t>
      </w:r>
      <w:r>
        <w:rPr/>
        <w:t xml:space="preserve"> sebagai pengikat (</w:t>
      </w:r>
      <w:r>
        <w:rPr>
          <w:i/>
        </w:rPr>
        <w:t>binder</w:t>
      </w:r>
      <w:r>
        <w:rPr/>
        <w:t>) ulet (</w:t>
      </w:r>
      <w:r>
        <w:rPr>
          <w:i/>
        </w:rPr>
        <w:t>ductile matrix</w:t>
      </w:r>
      <w:r>
        <w:rPr/>
        <w:t>). Dapat mengandung sedikit karbida lain (titanium, tantalum, vanadium, atau nikel).</w:t>
      </w:r>
    </w:p>
    <w:p>
      <w:pPr>
        <w:pStyle w:val="ListBullet2"/>
        <w:spacing w:after="20"/>
      </w:pPr>
      <w:r>
        <w:rPr/>
        <w:t>Memiliki kekerasan mekanik luar biasa (mencapai 90–95% kekerasan intan) dan sangat tahan aus (</w:t>
      </w:r>
      <w:r>
        <w:rPr>
          <w:i/>
        </w:rPr>
        <w:t>wear-resistant</w:t>
      </w:r>
      <w:r>
        <w:rPr/>
        <w:t>).</w:t>
      </w:r>
    </w:p>
    <w:p>
      <w:pPr>
        <w:spacing w:after="40"/>
        <w:ind w:left="340" w:hanging="283"/>
      </w:pPr>
      <w:r>
        <w:rPr/>
        <w:t xml:space="preserve">3. </w:t>
      </w:r>
      <w:r>
        <w:rPr>
          <w:b/>
        </w:rPr>
        <w:t>Senyawa Anorganik dan Karbonil:</w:t>
      </w:r>
    </w:p>
    <w:p>
      <w:pPr>
        <w:pStyle w:val="ListBullet2"/>
        <w:spacing w:after="20"/>
      </w:pPr>
      <w:r>
        <w:rPr>
          <w:i/>
        </w:rPr>
        <w:t>Senyawa Larut:</w:t>
      </w:r>
      <w:r>
        <w:rPr/>
        <w:t xml:space="preserve"> Kobalt klorida [CoCl₂], kobalt sulfat [CoSO₄], kobalt nitrat.</w:t>
      </w:r>
    </w:p>
    <w:p>
      <w:pPr>
        <w:pStyle w:val="ListBullet2"/>
        <w:spacing w:after="20"/>
      </w:pPr>
      <w:r>
        <w:rPr>
          <w:i/>
        </w:rPr>
        <w:t>Senyawa Tak Larut:</w:t>
      </w:r>
      <w:r>
        <w:rPr/>
        <w:t xml:space="preserve"> Kobalt monoksida [CoO], kobalt trioksida [Co₂O₃], trikobalt tetroksida [Co₃O₄].</w:t>
      </w:r>
    </w:p>
    <w:p>
      <w:pPr>
        <w:pStyle w:val="ListBullet2"/>
        <w:spacing w:after="20"/>
      </w:pPr>
      <w:r>
        <w:rPr>
          <w:i/>
        </w:rPr>
        <w:t>Organologam:</w:t>
      </w:r>
      <w:r>
        <w:rPr/>
        <w:t xml:space="preserve"> Dikobalt oktakarbonil [Co₂CO₈] [CAS 10210-68-1] dan kobalt hidrokarbonil [HCo(CO)₄].</w:t>
      </w:r>
    </w:p>
    <w:p>
      <w:r>
        <w:br w:type="page"/>
      </w:r>
    </w:p>
    <w:p>
      <w:pPr>
        <w:pStyle w:val="Heading2"/>
      </w:pPr>
      <w:bookmarkStart w:id="129" w:name="toc_029"/>
      <w:r>
        <w:t>3A.10 Seng / zinc (metal fume fever)</w:t>
      </w:r>
      <w:bookmarkEnd w:id="129"/>
    </w:p>
    <w:p>
      <w:pPr>
        <w:spacing w:after="120"/>
        <w:ind w:left="170"/>
      </w:pPr>
      <w:r>
        <w:rPr>
          <w:rFonts w:ascii="Consolas" w:hAnsi="Consolas" w:eastAsia="Consolas"/>
          <w:sz w:val="13"/>
        </w:rPr>
        <w:t xml:space="preserve">                            [ RINGKASAN TOKSIKOLOGI OKUPASI SENG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SIFAT &amp; PAJANAN UTAMA ]            [ PATOGENESIS PYROGENIK ]            [ METAL FUME FEVER (MFF) ]</w:t>
      </w:r>
      <w:r>
        <w:br/>
      </w:r>
      <w:r>
        <w:rPr>
          <w:rFonts w:ascii="Consolas" w:hAnsi="Consolas" w:eastAsia="Consolas"/>
          <w:sz w:val="13"/>
        </w:rPr>
        <w:t>• Logam esensial kofaktor enzim      • Inhalasi uap ZnO submikron         • Onset: Laten 4–12 jam</w:t>
      </w:r>
      <w:r>
        <w:br/>
      </w:r>
      <w:r>
        <w:rPr>
          <w:rFonts w:ascii="Consolas" w:hAnsi="Consolas" w:eastAsia="Consolas"/>
          <w:sz w:val="13"/>
        </w:rPr>
        <w:t>• Pajanan: Las baja galvanis,          (&lt; 1 µm) ke alveoli                • Gejala: Flu-like, rasa logam</w:t>
      </w:r>
      <w:r>
        <w:br/>
      </w:r>
      <w:r>
        <w:rPr>
          <w:rFonts w:ascii="Consolas" w:hAnsi="Consolas" w:eastAsia="Consolas"/>
          <w:sz w:val="13"/>
        </w:rPr>
        <w:t xml:space="preserve">  peleburan kuningan (brass)         • Makrofag lepas sitokin:            • Lab: Leukositosis PMN</w:t>
      </w:r>
      <w:r>
        <w:br/>
      </w:r>
      <w:r>
        <w:rPr>
          <w:rFonts w:ascii="Consolas" w:hAnsi="Consolas" w:eastAsia="Consolas"/>
          <w:sz w:val="13"/>
        </w:rPr>
        <w:t>• Pembentukan uap ZnO segar            TNF-α, IL-6, IL-8                  • Perjalanan: Sembuh sendiri 24–48 jam</w:t>
      </w:r>
      <w:r>
        <w:br/>
      </w:r>
      <w:r>
        <w:rPr>
          <w:rFonts w:ascii="Consolas" w:hAnsi="Consolas" w:eastAsia="Consolas"/>
          <w:sz w:val="13"/>
        </w:rPr>
        <w:t xml:space="preserve">  akibat suhu tinggi (&gt; 907°C)       • Induksi metalotionein paru         • Ciri Khas: Tachyphylaxis (toleransi)</w:t>
      </w:r>
    </w:p>
    <w:p>
      <w:r>
        <w:rPr>
          <w:b/>
          <w:sz w:val="16"/>
        </w:rPr>
        <w:t>Sumber yang dirujuk NotebookLM:</w:t>
      </w:r>
    </w:p>
    <w:p>
      <w:pPr>
        <w:spacing w:after="0"/>
        <w:ind w:left="283"/>
      </w:pPr>
      <w:r>
        <w:rPr>
          <w:b/>
          <w:color w:val="595959"/>
          <w:sz w:val="16"/>
        </w:rPr>
        <w:t>Sifat Fisik-Kimia:</w:t>
      </w:r>
      <w:r>
        <w:rPr>
          <w:color w:val="595959"/>
          <w:sz w:val="16"/>
        </w:rPr>
        <w:t xml:space="preserve"> Seng (nomor atom 30, berat atom 65,38 g/mol) adalah logam esensial yang bertindak sebagai kofaktor lebih dari 70 hingga 300 metaloenzim (seperti </w:t>
      </w:r>
      <w:r>
        <w:rPr>
          <w:i/>
          <w:color w:val="595959"/>
          <w:sz w:val="16"/>
        </w:rPr>
        <w:t>carbonic anhydrase</w:t>
      </w:r>
      <w:r>
        <w:rPr>
          <w:color w:val="595959"/>
          <w:sz w:val="16"/>
        </w:rPr>
        <w:t xml:space="preserve">, </w:t>
      </w:r>
      <w:r>
        <w:rPr>
          <w:i/>
          <w:color w:val="595959"/>
          <w:sz w:val="16"/>
        </w:rPr>
        <w:t>alkaline phosphatase</w:t>
      </w:r>
      <w:r>
        <w:rPr>
          <w:color w:val="595959"/>
          <w:sz w:val="16"/>
        </w:rPr>
        <w:t xml:space="preserve">, dan </w:t>
      </w:r>
      <w:r>
        <w:rPr>
          <w:i/>
          <w:color w:val="595959"/>
          <w:sz w:val="16"/>
        </w:rPr>
        <w:t>superoxide dismutase</w:t>
      </w:r>
      <w:r>
        <w:rPr>
          <w:color w:val="595959"/>
          <w:sz w:val="16"/>
        </w:rPr>
        <w:t>). Titik lelehnya 419,5°C dan mendidih pada suhu 907°C.</w:t>
      </w:r>
    </w:p>
    <w:p>
      <w:pPr>
        <w:spacing w:after="0"/>
        <w:ind w:left="283"/>
      </w:pPr>
      <w:r>
        <w:rPr>
          <w:b/>
          <w:color w:val="595959"/>
          <w:sz w:val="16"/>
        </w:rPr>
        <w:t>Karakteristik Uap Seng Oksida (ZnO Fume):</w:t>
      </w:r>
      <w:r>
        <w:rPr>
          <w:color w:val="595959"/>
          <w:sz w:val="16"/>
        </w:rPr>
        <w:t xml:space="preserve"> Ketika seng dipanaskan melampaui titik didihnya pada proses termal suhu tinggi, uap seng teroksidasi oleh oksigen udara membentuk </w:t>
      </w:r>
      <w:r>
        <w:rPr>
          <w:b/>
          <w:color w:val="595959"/>
          <w:sz w:val="16"/>
        </w:rPr>
        <w:t>partikel seng oksida segar (</w:t>
      </w:r>
      <w:r>
        <w:rPr>
          <w:b/>
          <w:i/>
          <w:color w:val="595959"/>
          <w:sz w:val="16"/>
        </w:rPr>
        <w:t>freshly formed ZnO fumes</w:t>
      </w:r>
      <w:r>
        <w:rPr>
          <w:b/>
          <w:color w:val="595959"/>
          <w:sz w:val="16"/>
        </w:rPr>
        <w:t>) submikron (&lt; 1 µm)</w:t>
      </w:r>
      <w:r>
        <w:rPr>
          <w:color w:val="595959"/>
          <w:sz w:val="16"/>
        </w:rPr>
        <w:t>. Partikel debu ZnO kasar biasa tidak memicu MFF; hanya partikel uap kondensasi segar berukuran kurang dari 1 mikron yang mampu mencapai ruang alveolar dan memicu respons inflamasi.</w:t>
      </w:r>
    </w:p>
    <w:p>
      <w:pPr>
        <w:spacing w:after="0"/>
        <w:ind w:left="283"/>
      </w:pPr>
      <w:r>
        <w:rPr>
          <w:b/>
          <w:color w:val="595959"/>
          <w:sz w:val="16"/>
        </w:rPr>
        <w:t>Sumber Industri:</w:t>
      </w:r>
    </w:p>
    <w:p>
      <w:pPr>
        <w:spacing w:after="0"/>
        <w:ind w:left="283"/>
      </w:pPr>
      <w:r>
        <w:rPr>
          <w:b/>
          <w:color w:val="595959"/>
          <w:sz w:val="16"/>
        </w:rPr>
        <w:t>Pengelasan (</w:t>
      </w:r>
      <w:r>
        <w:rPr>
          <w:b/>
          <w:i/>
          <w:color w:val="595959"/>
          <w:sz w:val="16"/>
        </w:rPr>
        <w:t>Welding</w:t>
      </w:r>
      <w:r>
        <w:rPr>
          <w:b/>
          <w:color w:val="595959"/>
          <w:sz w:val="16"/>
        </w:rPr>
        <w:t>) Baja Galvanis:</w:t>
      </w:r>
      <w:r>
        <w:rPr>
          <w:color w:val="595959"/>
          <w:sz w:val="16"/>
        </w:rPr>
        <w:t xml:space="preserve"> Baja yang dilapisi seng untuk perlindungan karat. Proses las busur listrik (</w:t>
      </w:r>
      <w:r>
        <w:rPr>
          <w:i/>
          <w:color w:val="595959"/>
          <w:sz w:val="16"/>
        </w:rPr>
        <w:t>arc welding</w:t>
      </w:r>
      <w:r>
        <w:rPr>
          <w:color w:val="595959"/>
          <w:sz w:val="16"/>
        </w:rPr>
        <w:t>) atau pemotongan gas (</w:t>
      </w:r>
      <w:r>
        <w:rPr>
          <w:i/>
          <w:color w:val="595959"/>
          <w:sz w:val="16"/>
        </w:rPr>
        <w:t>torch cutting</w:t>
      </w:r>
      <w:r>
        <w:rPr>
          <w:color w:val="595959"/>
          <w:sz w:val="16"/>
        </w:rPr>
        <w:t>) membakar lapisan seng menghasilkan aerosol ZnO pekat.</w:t>
      </w:r>
    </w:p>
    <w:p>
      <w:pPr>
        <w:spacing w:after="0"/>
        <w:ind w:left="283"/>
      </w:pPr>
      <w:r>
        <w:rPr>
          <w:b/>
          <w:color w:val="595959"/>
          <w:sz w:val="16"/>
        </w:rPr>
        <w:t>Pengecoran Kuningan (</w:t>
      </w:r>
      <w:r>
        <w:rPr>
          <w:b/>
          <w:i/>
          <w:color w:val="595959"/>
          <w:sz w:val="16"/>
        </w:rPr>
        <w:t>Brass Foundries / Smelting</w:t>
      </w:r>
      <w:r>
        <w:rPr>
          <w:b/>
          <w:color w:val="595959"/>
          <w:sz w:val="16"/>
        </w:rPr>
        <w:t>):</w:t>
      </w:r>
      <w:r>
        <w:rPr>
          <w:color w:val="595959"/>
          <w:sz w:val="16"/>
        </w:rPr>
        <w:t xml:space="preserve"> Paduan tembaga dan seng (</w:t>
      </w:r>
      <w:r>
        <w:rPr>
          <w:i/>
          <w:color w:val="595959"/>
          <w:sz w:val="16"/>
        </w:rPr>
        <w:t>brass/bronze</w:t>
      </w:r>
      <w:r>
        <w:rPr>
          <w:color w:val="595959"/>
          <w:sz w:val="16"/>
        </w:rPr>
        <w:t>) yang dicor pada suhu tinggi melepaskan uap seng (</w:t>
      </w:r>
      <w:r>
        <w:rPr>
          <w:i/>
          <w:color w:val="595959"/>
          <w:sz w:val="16"/>
        </w:rPr>
        <w:t>brass founders' ague</w:t>
      </w:r>
      <w:r>
        <w:rPr>
          <w:color w:val="595959"/>
          <w:sz w:val="16"/>
        </w:rPr>
        <w:t>).</w:t>
      </w:r>
    </w:p>
    <w:p>
      <w:pPr>
        <w:spacing w:after="0"/>
        <w:ind w:left="283"/>
      </w:pPr>
      <w:r>
        <w:rPr>
          <w:b/>
          <w:color w:val="595959"/>
          <w:sz w:val="16"/>
        </w:rPr>
        <w:t>Proses Galvanisasi Celup Panas (</w:t>
      </w:r>
      <w:r>
        <w:rPr>
          <w:b/>
          <w:i/>
          <w:color w:val="595959"/>
          <w:sz w:val="16"/>
        </w:rPr>
        <w:t>Hot-dip Galvanizing</w:t>
      </w:r>
      <w:r>
        <w:rPr>
          <w:b/>
          <w:color w:val="595959"/>
          <w:sz w:val="16"/>
        </w:rPr>
        <w:t>):</w:t>
      </w:r>
      <w:r>
        <w:rPr>
          <w:color w:val="595959"/>
          <w:sz w:val="16"/>
        </w:rPr>
        <w:t xml:space="preserve"> Pencelupan struktur baja ke dalam bak seng cair.</w:t>
      </w:r>
    </w:p>
    <w:p>
      <w:pPr>
        <w:spacing w:after="0"/>
        <w:ind w:left="283"/>
      </w:pPr>
      <w:r>
        <w:rPr>
          <w:color w:val="595959"/>
          <w:sz w:val="16"/>
        </w:rPr>
        <w:t>Manufaktur pigmen putih, baterai, karet ban, dan penggunaan aerosol seng klorida (ZnCl₂) pada tabung asap militer.</w:t>
      </w:r>
    </w:p>
    <w:p>
      <w:r>
        <w:br w:type="page"/>
      </w:r>
    </w:p>
    <w:p>
      <w:pPr>
        <w:pStyle w:val="Heading2"/>
      </w:pPr>
      <w:bookmarkStart w:id="130" w:name="toc_030"/>
      <w:r>
        <w:t>3A.11 Talium (Tl)</w:t>
      </w:r>
      <w:bookmarkEnd w:id="130"/>
    </w:p>
    <w:p>
      <w:pPr>
        <w:pStyle w:val="Heading3"/>
      </w:pPr>
      <w:r>
        <w:t>2. Toksikokinetik Komprehensif</w:t>
      </w:r>
    </w:p>
    <w:p>
      <w:pPr>
        <w:pStyle w:val="ListBullet"/>
        <w:spacing w:after="20"/>
      </w:pPr>
      <w:r>
        <w:rPr>
          <w:b/>
        </w:rPr>
        <w:t>Absorpsi Cepat dan Sempurna:</w:t>
      </w:r>
    </w:p>
    <w:p>
      <w:pPr>
        <w:pStyle w:val="ListBullet2"/>
        <w:spacing w:after="20"/>
      </w:pPr>
      <w:r>
        <w:rPr>
          <w:i/>
        </w:rPr>
        <w:t>Gastrointestinal:</w:t>
      </w:r>
      <w:r>
        <w:rPr/>
        <w:t xml:space="preserve"> Diserap secara cepat dan hampir </w:t>
      </w:r>
      <w:r>
        <w:rPr>
          <w:b/>
        </w:rPr>
        <w:t>100% tuntas</w:t>
      </w:r>
      <w:r>
        <w:rPr/>
        <w:t xml:space="preserve"> di saluran cerna.</w:t>
      </w:r>
    </w:p>
    <w:p>
      <w:pPr>
        <w:pStyle w:val="ListBullet2"/>
        <w:spacing w:after="20"/>
      </w:pPr>
      <w:r>
        <w:rPr>
          <w:i/>
        </w:rPr>
        <w:t>Inhalasi:</w:t>
      </w:r>
      <w:r>
        <w:rPr/>
        <w:t xml:space="preserve"> Partikulat debu larut dan uap talium diserap efisien melalui membran mukosa bronkoalveolar.</w:t>
      </w:r>
    </w:p>
    <w:p>
      <w:pPr>
        <w:pStyle w:val="ListBullet2"/>
        <w:spacing w:after="20"/>
      </w:pPr>
      <w:r>
        <w:rPr>
          <w:i/>
        </w:rPr>
        <w:t>Dermal (Kritis):</w:t>
      </w:r>
      <w:r>
        <w:rPr/>
        <w:t xml:space="preserve"> </w:t>
      </w:r>
      <w:r>
        <w:rPr>
          <w:b/>
        </w:rPr>
        <w:t>Talium memiliki permeabilitas kulit utuh yang sangat tinggi (Notasi Skin)</w:t>
      </w:r>
      <w:r>
        <w:rPr/>
        <w:t>. Kontak langsung garam talium cair atau padat dengan permukaan kulit mampu memicu intoksikasi sistemik letal.</w:t>
      </w:r>
    </w:p>
    <w:p>
      <w:pPr>
        <w:pStyle w:val="ListBullet"/>
        <w:spacing w:after="20"/>
      </w:pPr>
      <w:r>
        <w:rPr>
          <w:b/>
        </w:rPr>
        <w:t>Distribusi Jaringan (Meniru Kalium):</w:t>
      </w:r>
    </w:p>
    <w:p>
      <w:pPr>
        <w:spacing w:after="80"/>
      </w:pPr>
      <w:r>
        <w:rPr/>
        <w:t xml:space="preserve">Karena meniru ion kalium, talium terkonsentrasi secara intraseluler di seluruh organ tubuh. Konsentrasi tertinggi ditemukan di </w:t>
      </w:r>
      <w:r>
        <w:rPr>
          <w:b/>
        </w:rPr>
        <w:t>ginjal</w:t>
      </w:r>
      <w:r>
        <w:rPr/>
        <w:t>, diikuti oleh hepar, otot rangka, pankreas, limpa, jantung, dan folikel rambut. Talium menembus sawar darah otak (</w:t>
      </w:r>
      <w:r>
        <w:rPr>
          <w:i/>
        </w:rPr>
        <w:t>Blood-Brain Barrier</w:t>
      </w:r>
      <w:r>
        <w:rPr/>
        <w:t xml:space="preserve"> / BBB) terakumulasi di ganglia basalis, batang otak, dan serebelum. Talium juga menembus sawar plasenta memicu toksisitas fetal.</w:t>
      </w:r>
    </w:p>
    <w:p>
      <w:pPr>
        <w:pStyle w:val="ListBullet"/>
        <w:spacing w:after="20"/>
      </w:pPr>
      <w:r>
        <w:rPr>
          <w:b/>
        </w:rPr>
        <w:t>Metabolisme:</w:t>
      </w:r>
      <w:r>
        <w:rPr/>
        <w:t xml:space="preserve"> Tidak mengalami biotransformasi (unsur kation stabil).</w:t>
      </w:r>
    </w:p>
    <w:p>
      <w:pPr>
        <w:pStyle w:val="ListBullet"/>
        <w:spacing w:after="20"/>
      </w:pPr>
      <w:r>
        <w:rPr>
          <w:b/>
        </w:rPr>
        <w:t>Ekskresi dan Sirkulasi Enterohepatik:</w:t>
      </w:r>
    </w:p>
    <w:p>
      <w:pPr>
        <w:pStyle w:val="ListBullet2"/>
        <w:spacing w:after="20"/>
      </w:pPr>
      <w:r>
        <w:rPr/>
        <w:t xml:space="preserve">Talium diekskresikan sangat lambat melalui </w:t>
      </w:r>
      <w:r>
        <w:rPr>
          <w:b/>
        </w:rPr>
        <w:t>urin (filtrasi ginjal)</w:t>
      </w:r>
      <w:r>
        <w:rPr/>
        <w:t xml:space="preserve"> dan </w:t>
      </w:r>
      <w:r>
        <w:rPr>
          <w:b/>
        </w:rPr>
        <w:t>feses (sekresi empedu dan mukosa usus)</w:t>
      </w:r>
      <w:r>
        <w:rPr/>
        <w:t>.</w:t>
      </w:r>
    </w:p>
    <w:p>
      <w:pPr>
        <w:pStyle w:val="ListBullet2"/>
        <w:spacing w:after="20"/>
      </w:pPr>
      <w:r>
        <w:rPr>
          <w:i/>
        </w:rPr>
        <w:t>Sirkulasi Enterohepatik:</w:t>
      </w:r>
      <w:r>
        <w:rPr/>
        <w:t xml:space="preserve"> Merupakan faktor kinetik terpenting. Talium yang disekresikan empedu ke lumen usus mengalami </w:t>
      </w:r>
      <w:r>
        <w:rPr>
          <w:b/>
        </w:rPr>
        <w:t>penyerapan ulang (</w:t>
      </w:r>
      <w:r>
        <w:rPr>
          <w:b/>
          <w:i/>
        </w:rPr>
        <w:t>reabsorption</w:t>
      </w:r>
      <w:r>
        <w:rPr>
          <w:b/>
        </w:rPr>
        <w:t>) secara masif di ileum dan kolon</w:t>
      </w:r>
      <w:r>
        <w:rPr/>
        <w:t>, sehingga eliminasi alaminya berlangsung sangat lambat.</w:t>
      </w:r>
    </w:p>
    <w:p>
      <w:pPr>
        <w:pStyle w:val="Heading3"/>
      </w:pPr>
      <w:r>
        <w:t>3. Toksikodinamik: Mimikri Kalium dan Ikatan Gugus Sulfhidril</w:t>
      </w:r>
    </w:p>
    <w:p>
      <w:pPr>
        <w:pStyle w:val="ListBullet"/>
        <w:spacing w:after="20"/>
      </w:pPr>
      <w:r>
        <w:rPr>
          <w:b/>
        </w:rPr>
        <w:t>Mimikri Kalium (</w:t>
      </w:r>
      <w:r>
        <w:rPr>
          <w:b/>
          <w:i/>
        </w:rPr>
        <w:t>Potassium Mimicry</w:t>
      </w:r>
      <w:r>
        <w:rPr>
          <w:b/>
        </w:rPr>
        <w:t>):</w:t>
      </w:r>
    </w:p>
    <w:p>
      <w:pPr>
        <w:spacing w:after="80"/>
      </w:pPr>
      <w:r>
        <w:rPr/>
        <w:t xml:space="preserve">Ion monovalen Tl⁺ memiliki muatan yang sama dan radius ionik kristal yang sangat identik dengan ion kalium (K⁺) (radius Tl⁺ = 1,47 Å vs. K⁺ = 1,33 Å). Akibat kemiripan ini, </w:t>
      </w:r>
      <w:r>
        <w:rPr>
          <w:b/>
        </w:rPr>
        <w:t>Tl⁺ menggantikan kalium pada berbagai proses biokimia tubuh</w:t>
      </w:r>
      <w:r>
        <w:rPr/>
        <w:t xml:space="preserve">, termasuk menjadi substrat kompetitif pada pompa </w:t>
      </w:r>
      <w:r>
        <w:rPr>
          <w:b/>
        </w:rPr>
        <w:t>Na⁺/K⁺-ATPase</w:t>
      </w:r>
      <w:r>
        <w:rPr/>
        <w:t xml:space="preserve"> dengan afinitas ikatan yang sepuluh kali lebih tinggi dibanding kalium. Dampaknya adalah gangguan polarisasi potensial membran sel saraf dan otot, pembengkakan mitokondria, dan defisiensi produksi energi ATP.</w:t>
      </w:r>
    </w:p>
    <w:p>
      <w:pPr>
        <w:pStyle w:val="ListBullet"/>
        <w:spacing w:after="20"/>
      </w:pPr>
      <w:r>
        <w:rPr>
          <w:b/>
        </w:rPr>
        <w:t>Afinitas Ekstrem terhadap Gugus Sulfhidril (-SH):</w:t>
      </w:r>
    </w:p>
    <w:p>
      <w:pPr>
        <w:spacing w:after="80"/>
      </w:pPr>
      <w:r>
        <w:rPr/>
        <w:t>Talium mengikat gugus sulfhidril (-SH) bebas pada asam amino sistein dan protein fungsional. Pengikatan ini menginaktivasi enzim-enzim penting metabolisme glukosa (seperti piruvat kinase dan suksinat dehidrogenase), menghambat sintesis protein keratin pada folikel rambut dan lempeng kuku, menguras simpanan glutation intraseluler (GSH), dan memicu peroksidasi lipid membran organel.</w:t>
      </w:r>
    </w:p>
    <w:p>
      <w:pPr>
        <w:pStyle w:val="Heading3"/>
      </w:pPr>
      <w:r>
        <w:t>4. Biomonitoring Okupasi</w:t>
      </w:r>
    </w:p>
    <w:p>
      <w:pPr>
        <w:pStyle w:val="ListBullet"/>
        <w:spacing w:after="20"/>
      </w:pPr>
      <w:r>
        <w:rPr>
          <w:b/>
        </w:rPr>
        <w:t>Parameter Utama:</w:t>
      </w:r>
      <w:r>
        <w:rPr/>
        <w:t xml:space="preserve"> </w:t>
      </w:r>
      <w:r>
        <w:rPr>
          <w:b/>
        </w:rPr>
        <w:t>Kadar Talium dalam Urin 24 Jam (</w:t>
      </w:r>
      <w:r>
        <w:rPr>
          <w:b/>
          <w:i/>
        </w:rPr>
        <w:t>24-hour Urinary Thallium</w:t>
      </w:r>
      <w:r>
        <w:rPr>
          <w:b/>
        </w:rPr>
        <w:t>)</w:t>
      </w:r>
      <w:r>
        <w:rPr/>
        <w:t xml:space="preserve"> atau </w:t>
      </w:r>
      <w:r>
        <w:rPr>
          <w:i/>
        </w:rPr>
        <w:t>spot urine</w:t>
      </w:r>
      <w:r>
        <w:rPr/>
        <w:t xml:space="preserve"> yang dikoreksi terhadap berat jenis / kreatinin.</w:t>
      </w:r>
    </w:p>
    <w:p>
      <w:pPr>
        <w:pStyle w:val="ListBullet2"/>
        <w:spacing w:after="20"/>
      </w:pPr>
      <w:r>
        <w:rPr>
          <w:i/>
        </w:rPr>
        <w:t>Nilai Rujukan Normal Populasi Umum:</w:t>
      </w:r>
      <w:r>
        <w:rPr/>
        <w:t xml:space="preserve"> Sangat rendah, </w:t>
      </w:r>
      <w:r>
        <w:rPr>
          <w:b/>
        </w:rPr>
        <w:t>&lt; 1 µg/L</w:t>
      </w:r>
      <w:r>
        <w:rPr/>
        <w:t xml:space="preserve"> (umumnya &lt; 0,5 µg/g kreatinin).</w:t>
      </w:r>
    </w:p>
    <w:p>
      <w:pPr>
        <w:pStyle w:val="ListBullet2"/>
        <w:spacing w:after="20"/>
      </w:pPr>
      <w:r>
        <w:rPr>
          <w:i/>
        </w:rPr>
        <w:t>Tingkat Tindakan Medis:</w:t>
      </w:r>
      <w:r>
        <w:rPr/>
        <w:t xml:space="preserve"> Kadar U-Tl &gt; 5 µg/L menandakan pajanan kerja berlebih; kadar &gt; 50–100 µg/L berkaitan dengan risiko gejala neurotoksik nyata.</w:t>
      </w:r>
    </w:p>
    <w:p>
      <w:pPr>
        <w:pStyle w:val="ListBullet"/>
        <w:spacing w:after="20"/>
      </w:pPr>
      <w:r>
        <w:rPr>
          <w:b/>
        </w:rPr>
        <w:t>Talium dalam Darah / Serum (B-Tl):</w:t>
      </w:r>
      <w:r>
        <w:rPr/>
        <w:t xml:space="preserve"> Normal &lt; 1–2 µg/L. Hanya mencerminkan pajanan yang sangat baru karena talium cepat dibersihkan dari plasma masuk ke dalam kompartemen intraseluler.</w:t>
      </w:r>
    </w:p>
    <w:p>
      <w:pPr>
        <w:pStyle w:val="ListBullet"/>
        <w:spacing w:after="20"/>
      </w:pPr>
      <w:r>
        <w:rPr>
          <w:b/>
        </w:rPr>
        <w:t>Waktu Pengambilan Sampel (</w:t>
      </w:r>
      <w:r>
        <w:rPr>
          <w:b/>
          <w:i/>
        </w:rPr>
        <w:t>Sampling Time</w:t>
      </w:r>
      <w:r>
        <w:rPr>
          <w:b/>
        </w:rPr>
        <w:t>):</w:t>
      </w:r>
    </w:p>
    <w:p>
      <w:pPr>
        <w:spacing w:after="80"/>
      </w:pPr>
      <w:r>
        <w:rPr/>
        <w:t xml:space="preserve">Untuk pemantauan okupasi rutin: </w:t>
      </w:r>
      <w:r>
        <w:rPr>
          <w:b/>
        </w:rPr>
        <w:t>Akhir gilir kerja di akhir minggu kerja (</w:t>
      </w:r>
      <w:r>
        <w:rPr>
          <w:b/>
          <w:i/>
        </w:rPr>
        <w:t>End of shift at end of workweek</w:t>
      </w:r>
      <w:r>
        <w:rPr>
          <w:b/>
        </w:rPr>
        <w:t>)</w:t>
      </w:r>
      <w:r>
        <w:rPr/>
        <w:t xml:space="preserve">. Untuk kecurigaan keracunan akut: pengambilan sampel urin dan darah dilakukan </w:t>
      </w:r>
      <w:r>
        <w:rPr>
          <w:b/>
        </w:rPr>
        <w:t>segera saat pasien datang</w:t>
      </w:r>
      <w:r>
        <w:rPr/>
        <w:t>.</w:t>
      </w:r>
    </w:p>
    <w:p>
      <w:pPr>
        <w:pStyle w:val="ListBullet"/>
        <w:spacing w:after="20"/>
      </w:pPr>
      <w:r>
        <w:rPr>
          <w:b/>
        </w:rPr>
        <w:t>Status BEI ACGIH dan IPB Permenaker 5/2018:</w:t>
      </w:r>
    </w:p>
    <w:p>
      <w:pPr>
        <w:pStyle w:val="ListBullet2"/>
        <w:spacing w:after="20"/>
      </w:pPr>
      <w:r>
        <w:rPr>
          <w:b/>
        </w:rPr>
        <w:t>ACGIH BEI (2026):</w:t>
      </w:r>
      <w:r>
        <w:rPr/>
        <w:t xml:space="preserve"> </w:t>
      </w:r>
      <w:r>
        <w:rPr>
          <w:b/>
        </w:rPr>
        <w:t>TIDAK ADA nilai BEI resmi untuk Talium</w:t>
      </w:r>
      <w:r>
        <w:rPr/>
        <w:t>.</w:t>
      </w:r>
    </w:p>
    <w:p>
      <w:pPr>
        <w:pStyle w:val="ListBullet2"/>
        <w:spacing w:after="20"/>
      </w:pPr>
      <w:r>
        <w:rPr>
          <w:b/>
        </w:rPr>
        <w:t>Permenaker No. 5 Tahun 2018 (Lampiran 4):</w:t>
      </w:r>
      <w:r>
        <w:rPr/>
        <w:t xml:space="preserve"> </w:t>
      </w:r>
      <w:r>
        <w:rPr>
          <w:b/>
        </w:rPr>
        <w:t>TIDAK ADA parameter IPB untuk Talium</w:t>
      </w:r>
      <w:r>
        <w:rPr/>
        <w:t>.</w:t>
      </w:r>
    </w:p>
    <w:p>
      <w:pPr>
        <w:pStyle w:val="Heading3"/>
      </w:pPr>
      <w:r>
        <w:t>5. Waktu Paruh Biologis (Biological Half-Life / T_(1/2))</w:t>
      </w:r>
    </w:p>
    <w:p>
      <w:pPr>
        <w:pStyle w:val="ListBullet"/>
        <w:spacing w:after="20"/>
      </w:pPr>
      <w:r>
        <w:rPr/>
        <w:t xml:space="preserve">Karena adanya sirkulasi enterohepatik yang masif dan retensi intraseluler yang kuat, waktu paruh eliminasi biologis talium pada manusia sangat panjang, yaitu berkisar antara </w:t>
      </w:r>
      <w:r>
        <w:rPr>
          <w:b/>
        </w:rPr>
        <w:t>3 hingga 30 hari (rata-rata 10 hingga 15 hari)</w:t>
      </w:r>
      <w:r>
        <w:rPr/>
        <w:t>.</w:t>
      </w:r>
    </w:p>
    <w:p>
      <w:pPr>
        <w:pStyle w:val="ListBullet"/>
        <w:spacing w:after="20"/>
      </w:pPr>
      <w:r>
        <w:rPr/>
        <w:t>Tanpa intervensi pengikat usus, ekskresi talium di urin masih dapat terdeteksi hingga 2 bulan pasca-pajanan tunggal.</w:t>
      </w:r>
    </w:p>
    <w:p>
      <w:pPr>
        <w:pStyle w:val="Heading3"/>
      </w:pPr>
      <w:r>
        <w:t>6. Efek Biologis Akut dan Kronis</w:t>
      </w:r>
    </w:p>
    <w:p>
      <w:pPr>
        <w:spacing w:after="80"/>
      </w:pPr>
      <w:r>
        <w:rPr/>
        <w:t xml:space="preserve">Manifestasi klinis intoksikasi talium berjalan progresif dengan </w:t>
      </w:r>
      <w:r>
        <w:rPr>
          <w:b/>
        </w:rPr>
        <w:t>Trias Klasik: Gangguan GI, Nyeri Neuropati Akut, dan Alopesia Laten</w:t>
      </w:r>
      <w:r>
        <w:rPr/>
        <w:t>:</w:t>
      </w:r>
    </w:p>
    <w:p>
      <w:pPr>
        <w:spacing w:after="120"/>
        <w:ind w:left="170"/>
      </w:pPr>
      <w:r>
        <w:rPr>
          <w:rFonts w:ascii="Consolas" w:hAnsi="Consolas" w:eastAsia="Consolas"/>
          <w:sz w:val="13"/>
        </w:rPr>
        <w:t xml:space="preserve">                       [ KRONOLOGI SPEKTRUM KLINIS TALIUM ]</w:t>
      </w:r>
      <w:r>
        <w:br/>
      </w:r>
      <w:r>
        <w:rPr>
          <w:rFonts w:ascii="Consolas" w:hAnsi="Consolas" w:eastAsia="Consolas"/>
          <w:sz w:val="13"/>
        </w:rPr>
        <w:t xml:space="preserve">                                         │</w:t>
      </w:r>
      <w:r>
        <w:br/>
      </w:r>
      <w:r>
        <w:rPr>
          <w:rFonts w:ascii="Consolas" w:hAnsi="Consolas" w:eastAsia="Consolas"/>
          <w:sz w:val="13"/>
        </w:rPr>
        <w:t xml:space="preserve">        ┌────────────────────────────────┼────────────────────────────────┐</w:t>
      </w:r>
      <w:r>
        <w:br/>
      </w:r>
      <w:r>
        <w:rPr>
          <w:rFonts w:ascii="Consolas" w:hAnsi="Consolas" w:eastAsia="Consolas"/>
          <w:sz w:val="13"/>
        </w:rPr>
        <w:t xml:space="preserve">        ▼                                ▼                                ▼</w:t>
      </w:r>
      <w:r>
        <w:br/>
      </w:r>
      <w:r>
        <w:rPr>
          <w:rFonts w:ascii="Consolas" w:hAnsi="Consolas" w:eastAsia="Consolas"/>
          <w:sz w:val="13"/>
        </w:rPr>
        <w:t>[ HARI KE 1–3: FASE GI AKUT ]    [ HARI KE 2–7: NEUROPATI NYERI ] [ MINGGU 2–4: ALOPESIA &amp; KUKU ]</w:t>
      </w:r>
      <w:r>
        <w:br/>
      </w:r>
      <w:r>
        <w:rPr>
          <w:rFonts w:ascii="Consolas" w:hAnsi="Consolas" w:eastAsia="Consolas"/>
          <w:sz w:val="13"/>
        </w:rPr>
        <w:t>• Mual, muntah parah, kolik      • Hiperestesia &amp; burning pain    • ALOPESIA TOTAL (kebotakan)</w:t>
      </w:r>
      <w:r>
        <w:br/>
      </w:r>
      <w:r>
        <w:rPr>
          <w:rFonts w:ascii="Consolas" w:hAnsi="Consolas" w:eastAsia="Consolas"/>
          <w:sz w:val="13"/>
        </w:rPr>
        <w:t xml:space="preserve">  abdomen hebat         hebat di telapak kaki • Pigmen pita zebra di akar</w:t>
      </w:r>
      <w:r>
        <w:br/>
      </w:r>
      <w:r>
        <w:rPr>
          <w:rFonts w:ascii="Consolas" w:hAnsi="Consolas" w:eastAsia="Consolas"/>
          <w:sz w:val="13"/>
        </w:rPr>
        <w:t>• Obstipasi/konstipasi berat     • Polineuropati ascending          rambut</w:t>
      </w:r>
      <w:r>
        <w:br/>
      </w:r>
      <w:r>
        <w:rPr>
          <w:rFonts w:ascii="Consolas" w:hAnsi="Consolas" w:eastAsia="Consolas"/>
          <w:sz w:val="13"/>
        </w:rPr>
        <w:t xml:space="preserve">  akibat paralisis vagus   • Tremor, korea, ataksia• GARIS MEES lempeng kuku</w:t>
      </w:r>
      <w:r>
        <w:br/>
      </w:r>
      <w:r>
        <w:rPr>
          <w:rFonts w:ascii="Consolas" w:hAnsi="Consolas" w:eastAsia="Consolas"/>
          <w:sz w:val="13"/>
        </w:rPr>
        <w:t>• Takikardia &amp; hipertensi  • Psikosis akut &amp; delirium • Atrofi nervus optikus</w:t>
      </w:r>
    </w:p>
    <w:p>
      <w:pPr>
        <w:pStyle w:val="ListBullet"/>
        <w:spacing w:after="20"/>
      </w:pPr>
      <w:r>
        <w:rPr>
          <w:b/>
        </w:rPr>
        <w:t>Efek Toksik Akut (Hari ke-1 hingga Hari ke-3):</w:t>
      </w:r>
    </w:p>
    <w:p>
      <w:pPr>
        <w:spacing w:after="40"/>
        <w:ind w:left="680" w:hanging="283"/>
      </w:pPr>
      <w:r>
        <w:rPr/>
        <w:t xml:space="preserve">1. </w:t>
      </w:r>
      <w:r>
        <w:rPr>
          <w:i/>
        </w:rPr>
        <w:t>Gejala Gastrointestinal Dini:</w:t>
      </w:r>
      <w:r>
        <w:rPr/>
        <w:t xml:space="preserve"> Mual hebat, muntah persisten, nyeri perut kolik yang berat, perdarahan saluran cerna. Gejala khas berikutnya adalah </w:t>
      </w:r>
      <w:r>
        <w:rPr>
          <w:b/>
        </w:rPr>
        <w:t>konstipasi obstipatif berat yang refrakter</w:t>
      </w:r>
      <w:r>
        <w:rPr/>
        <w:t xml:space="preserve"> akibat kerusakan toksik dan paresis pada serabut saraf otonom nervus vagus.</w:t>
      </w:r>
    </w:p>
    <w:p>
      <w:pPr>
        <w:spacing w:after="40"/>
        <w:ind w:left="680" w:hanging="283"/>
      </w:pPr>
      <w:r>
        <w:rPr/>
        <w:t xml:space="preserve">2. </w:t>
      </w:r>
      <w:r>
        <w:rPr>
          <w:i/>
        </w:rPr>
        <w:t>Kardiovaskular:</w:t>
      </w:r>
      <w:r>
        <w:rPr/>
        <w:t xml:space="preserve"> Takikardia sinus persisten dan fluktuasi tekanan darah (hipertensi arterial transien) akibat denervasi otonom.</w:t>
      </w:r>
    </w:p>
    <w:p>
      <w:pPr>
        <w:pStyle w:val="ListBullet"/>
        <w:spacing w:after="20"/>
      </w:pPr>
      <w:r>
        <w:rPr>
          <w:b/>
        </w:rPr>
        <w:t>Efek Toksik Subakut dan Kronis (Hari ke-3 hingga Minggu ke-4):</w:t>
      </w:r>
    </w:p>
    <w:p>
      <w:pPr>
        <w:spacing w:after="40"/>
        <w:ind w:left="680" w:hanging="283"/>
      </w:pPr>
      <w:r>
        <w:rPr/>
        <w:t xml:space="preserve">1. </w:t>
      </w:r>
      <w:r>
        <w:rPr>
          <w:i/>
        </w:rPr>
        <w:t>Polineuropati Nyeri Terbakar (*Painful Peripheral Neuropathy</w:t>
      </w:r>
      <w:r>
        <w:rPr/>
        <w:t>):*</w:t>
      </w:r>
    </w:p>
    <w:p>
      <w:pPr>
        <w:spacing w:after="80"/>
      </w:pPr>
      <w:r>
        <w:rPr/>
        <w:t xml:space="preserve">Mulai timbul pada hari ke-2 hingga ke-5 dan mendominasi klinis pada minggu ke-2. Karakteristiknya adalah </w:t>
      </w:r>
      <w:r>
        <w:rPr>
          <w:b/>
        </w:rPr>
        <w:t>nyeri terbakar ekstrem (</w:t>
      </w:r>
      <w:r>
        <w:rPr>
          <w:b/>
          <w:i/>
        </w:rPr>
        <w:t>severe burning pain/hyperesthesia</w:t>
      </w:r>
      <w:r>
        <w:rPr>
          <w:b/>
        </w:rPr>
        <w:t>) pada ekstremitas bawah, terutama di telapak kaki (</w:t>
      </w:r>
      <w:r>
        <w:rPr>
          <w:b/>
          <w:i/>
        </w:rPr>
        <w:t>burning soles</w:t>
      </w:r>
      <w:r>
        <w:rPr>
          <w:b/>
        </w:rPr>
        <w:t>) dan betis</w:t>
      </w:r>
      <w:r>
        <w:rPr/>
        <w:t xml:space="preserve">, yang sangat sensitif terhadap rangsang sentuhan ringan. Berkembang menjadi polineuropati sensomotorik </w:t>
      </w:r>
      <w:r>
        <w:rPr>
          <w:i/>
        </w:rPr>
        <w:t>ascending</w:t>
      </w:r>
      <w:r>
        <w:rPr/>
        <w:t xml:space="preserve"> dengan kelemahan otot distal, </w:t>
      </w:r>
      <w:r>
        <w:rPr>
          <w:i/>
        </w:rPr>
        <w:t>foot drop</w:t>
      </w:r>
      <w:r>
        <w:rPr/>
        <w:t>, dan hilangnya refleks tendon.</w:t>
      </w:r>
    </w:p>
    <w:p>
      <w:pPr>
        <w:spacing w:after="40"/>
        <w:ind w:left="680" w:hanging="283"/>
      </w:pPr>
      <w:r>
        <w:rPr/>
        <w:t xml:space="preserve">2. </w:t>
      </w:r>
      <w:r>
        <w:rPr>
          <w:i/>
        </w:rPr>
        <w:t>Alopesia Patognomonik (*Complete Alopecia</w:t>
      </w:r>
      <w:r>
        <w:rPr/>
        <w:t xml:space="preserve"> - 2 hingga 3 Minggu):*</w:t>
      </w:r>
    </w:p>
    <w:p>
      <w:pPr>
        <w:spacing w:after="80"/>
      </w:pPr>
      <w:r>
        <w:rPr/>
        <w:t xml:space="preserve">Rontoknya rambut kepala dimulai sekitar hari ke-10 dan berkembang menjadi </w:t>
      </w:r>
      <w:r>
        <w:rPr>
          <w:b/>
        </w:rPr>
        <w:t>kebotakan menyeluruh (</w:t>
      </w:r>
      <w:r>
        <w:rPr>
          <w:b/>
          <w:i/>
        </w:rPr>
        <w:t>complete alopecia</w:t>
      </w:r>
      <w:r>
        <w:rPr>
          <w:b/>
        </w:rPr>
        <w:t>) pada minggu ke-2 hingga ke-4</w:t>
      </w:r>
      <w:r>
        <w:rPr/>
        <w:t xml:space="preserve">. Mengenai kulit kepala, alis sepertiga lateral, aksila, dan rambut pubis. Pada pemeriksaan mikroskopis, tampak tanda patognomonik berupa </w:t>
      </w:r>
      <w:r>
        <w:rPr>
          <w:b/>
        </w:rPr>
        <w:t>deposit pigmen hitam menyerupai garis zebra (</w:t>
      </w:r>
      <w:r>
        <w:rPr>
          <w:b/>
          <w:i/>
        </w:rPr>
        <w:t>zebra-like dark band</w:t>
      </w:r>
      <w:r>
        <w:rPr>
          <w:b/>
        </w:rPr>
        <w:t>) pada akar folikel rambut</w:t>
      </w:r>
      <w:r>
        <w:rPr/>
        <w:t>. Alopesia bersifat reversibel dalam 2–3 bulan pasca-eliminasi.</w:t>
      </w:r>
    </w:p>
    <w:p>
      <w:pPr>
        <w:spacing w:after="40"/>
        <w:ind w:left="680" w:hanging="283"/>
      </w:pPr>
      <w:r>
        <w:rPr/>
        <w:t xml:space="preserve">3. </w:t>
      </w:r>
      <w:r>
        <w:rPr>
          <w:i/>
        </w:rPr>
        <w:t>Garis Mees pada Kuku (*Mees' Lines</w:t>
      </w:r>
      <w:r>
        <w:rPr/>
        <w:t>):*</w:t>
      </w:r>
    </w:p>
    <w:p>
      <w:pPr>
        <w:spacing w:after="80"/>
      </w:pPr>
      <w:r>
        <w:rPr/>
        <w:t xml:space="preserve">Munculnya </w:t>
      </w:r>
      <w:r>
        <w:rPr>
          <w:b/>
        </w:rPr>
        <w:t>garis-garis putih transversal melintang (</w:t>
      </w:r>
      <w:r>
        <w:rPr>
          <w:b/>
          <w:i/>
        </w:rPr>
        <w:t>transverse white bands</w:t>
      </w:r>
      <w:r>
        <w:rPr>
          <w:b/>
        </w:rPr>
        <w:t>) pada lempeng kuku jari tangan dan kaki</w:t>
      </w:r>
      <w:r>
        <w:rPr/>
        <w:t xml:space="preserve"> pada minggu ke-3 atau ke-4 akibat gangguan pembentukan keratin matriks kuku selama intoksikasi akut.</w:t>
      </w:r>
    </w:p>
    <w:p>
      <w:pPr>
        <w:spacing w:after="40"/>
        <w:ind w:left="680" w:hanging="283"/>
      </w:pPr>
      <w:r>
        <w:rPr/>
        <w:t xml:space="preserve">4. </w:t>
      </w:r>
      <w:r>
        <w:rPr>
          <w:i/>
        </w:rPr>
        <w:t>Neuropsikiatri dan Saraf Kranial:</w:t>
      </w:r>
      <w:r>
        <w:rPr/>
        <w:t xml:space="preserve"> Tremor, ataksia serebelar, korea, kejang, delirium, halusinasi paranoia (</w:t>
      </w:r>
      <w:r>
        <w:rPr>
          <w:i/>
        </w:rPr>
        <w:t>"thallium psychosis"</w:t>
      </w:r>
      <w:r>
        <w:rPr/>
        <w:t>), ptosis, strabismus, dan neuritis optik yang dapat berujung pada atrofi nervus optikus dan kebutaan permanen.</w:t>
      </w:r>
    </w:p>
    <w:p>
      <w:pPr>
        <w:pStyle w:val="Heading3"/>
      </w:pPr>
      <w:r>
        <w:t>7. Standar Batas Pajanan Udara (Exposure Limits)</w:t>
      </w:r>
    </w:p>
    <w:p>
      <w:pPr>
        <w:pStyle w:val="ListBullet"/>
        <w:spacing w:after="20"/>
      </w:pPr>
      <w:r>
        <w:rPr>
          <w:b/>
        </w:rPr>
        <w:t>ACGIH TLV (Edisi 2026):</w:t>
      </w:r>
    </w:p>
    <w:p>
      <w:pPr>
        <w:pStyle w:val="ListBullet2"/>
        <w:spacing w:after="20"/>
      </w:pPr>
      <w:r>
        <w:rPr>
          <w:i/>
        </w:rPr>
        <w:t>Substansi:</w:t>
      </w:r>
      <w:r>
        <w:rPr/>
        <w:t xml:space="preserve"> </w:t>
      </w:r>
      <w:r>
        <w:rPr>
          <w:b/>
        </w:rPr>
        <w:t>Thallium [CAS 7440-28-0] and soluble compounds, as Tl</w:t>
      </w:r>
      <w:r>
        <w:rPr/>
        <w:t>.</w:t>
      </w:r>
    </w:p>
    <w:p>
      <w:pPr>
        <w:pStyle w:val="ListBullet2"/>
        <w:spacing w:after="20"/>
      </w:pPr>
      <w:r>
        <w:rPr>
          <w:b/>
        </w:rPr>
        <w:t>TLV-TWA:</w:t>
      </w:r>
      <w:r>
        <w:rPr/>
        <w:t xml:space="preserve"> </w:t>
      </w:r>
      <w:r>
        <w:rPr>
          <w:b/>
        </w:rPr>
        <w:t>0,02 mg/m³</w:t>
      </w:r>
      <w:r>
        <w:rPr/>
        <w:t xml:space="preserve"> pada </w:t>
      </w:r>
      <w:r>
        <w:rPr>
          <w:b/>
        </w:rPr>
        <w:t>Fraksi Partikulat Inhalabel [I]</w:t>
      </w:r>
      <w:r>
        <w:rPr/>
        <w:t>.</w:t>
      </w:r>
    </w:p>
    <w:p>
      <w:pPr>
        <w:pStyle w:val="ListBullet2"/>
        <w:spacing w:after="20"/>
      </w:pPr>
      <w:r>
        <w:rPr>
          <w:i/>
        </w:rPr>
        <w:t>Notasi:</w:t>
      </w:r>
      <w:r>
        <w:rPr/>
        <w:t xml:space="preserve"> </w:t>
      </w:r>
      <w:r>
        <w:rPr>
          <w:b/>
        </w:rPr>
        <w:t>Skin</w:t>
      </w:r>
      <w:r>
        <w:rPr/>
        <w:t xml:space="preserve"> (menandakan potensi absorpsi perkutan yang signifikan).</w:t>
      </w:r>
    </w:p>
    <w:p>
      <w:pPr>
        <w:pStyle w:val="ListBullet2"/>
        <w:spacing w:after="20"/>
      </w:pPr>
      <w:r>
        <w:rPr>
          <w:i/>
        </w:rPr>
        <w:t>Dasar Efek Kritis (*TLV Basis</w:t>
      </w:r>
      <w:r>
        <w:rPr/>
        <w:t xml:space="preserve">):* </w:t>
      </w:r>
      <w:r>
        <w:rPr>
          <w:b/>
        </w:rPr>
        <w:t>Gastrointestinal damage; peripheral neuropathy</w:t>
      </w:r>
      <w:r>
        <w:rPr/>
        <w:t>.</w:t>
      </w:r>
    </w:p>
    <w:p>
      <w:pPr>
        <w:pStyle w:val="ListBullet"/>
        <w:spacing w:after="20"/>
      </w:pPr>
      <w:r>
        <w:rPr>
          <w:b/>
        </w:rPr>
        <w:t>Permenaker No. 5 Tahun 2018 (Lampiran 3):</w:t>
      </w:r>
    </w:p>
    <w:p>
      <w:pPr>
        <w:pStyle w:val="ListBullet2"/>
        <w:spacing w:after="20"/>
      </w:pPr>
      <w:r>
        <w:rPr>
          <w:i/>
        </w:rPr>
        <w:t>Talium, Senyawa Larut (sebagai Tl) [CAS 7440-28-0]:</w:t>
      </w:r>
    </w:p>
    <w:p>
      <w:pPr>
        <w:pStyle w:val="ListBullet3"/>
        <w:spacing w:after="20"/>
      </w:pPr>
      <w:r>
        <w:rPr>
          <w:b/>
        </w:rPr>
        <w:t>NAB TWA (8 jam):</w:t>
      </w:r>
      <w:r>
        <w:rPr/>
        <w:t xml:space="preserve"> </w:t>
      </w:r>
      <w:r>
        <w:rPr>
          <w:b/>
        </w:rPr>
        <w:t>0,1 mg/m³</w:t>
      </w:r>
      <w:r>
        <w:rPr/>
        <w:t>.</w:t>
      </w:r>
    </w:p>
    <w:p>
      <w:pPr>
        <w:pStyle w:val="ListBullet3"/>
        <w:spacing w:after="20"/>
      </w:pPr>
      <w:r>
        <w:rPr>
          <w:i/>
        </w:rPr>
        <w:t>Notasi:</w:t>
      </w:r>
      <w:r>
        <w:rPr/>
        <w:t xml:space="preserve"> </w:t>
      </w:r>
      <w:r>
        <w:rPr>
          <w:b/>
        </w:rPr>
        <w:t>Kulit (Skin)</w:t>
      </w:r>
      <w:r>
        <w:rPr/>
        <w:t>.</w:t>
      </w:r>
    </w:p>
    <w:p>
      <w:pPr>
        <w:pStyle w:val="ListBullet"/>
        <w:spacing w:after="20"/>
      </w:pPr>
      <w:r>
        <w:rPr>
          <w:b/>
        </w:rPr>
        <w:t>NIOSH REL / OSHA PEL:</w:t>
      </w:r>
      <w:r>
        <w:rPr/>
        <w:t xml:space="preserve"> TWA </w:t>
      </w:r>
      <w:r>
        <w:rPr>
          <w:b/>
        </w:rPr>
        <w:t>0,1 mg/m³</w:t>
      </w:r>
      <w:r>
        <w:rPr/>
        <w:t xml:space="preserve"> [Skin].</w:t>
      </w:r>
    </w:p>
    <w:p>
      <w:pPr>
        <w:pStyle w:val="Heading3"/>
      </w:pPr>
      <w:r>
        <w:t>8. Tatalaksana Medis</w:t>
      </w:r>
    </w:p>
    <w:p>
      <w:pPr>
        <w:spacing w:after="80"/>
      </w:pPr>
      <w:r>
        <w:rPr/>
        <w:t xml:space="preserve">Protokol intoksikasi talium berfokus pada </w:t>
      </w:r>
      <w:r>
        <w:rPr>
          <w:b/>
        </w:rPr>
        <w:t>pemutusan sirkulasi enterohepatik</w:t>
      </w:r>
      <w:r>
        <w:rPr/>
        <w:t xml:space="preserve"> dan percepatan eliminasi ginjal:</w:t>
      </w:r>
    </w:p>
    <w:p>
      <w:pPr>
        <w:spacing w:after="40"/>
        <w:ind w:left="340" w:hanging="283"/>
      </w:pPr>
      <w:r>
        <w:rPr/>
        <w:t xml:space="preserve">1. </w:t>
      </w:r>
      <w:r>
        <w:rPr>
          <w:b/>
        </w:rPr>
        <w:t>Antidotum Spesifik Pilihan Utama (</w:t>
      </w:r>
      <w:r>
        <w:rPr>
          <w:b/>
          <w:i/>
        </w:rPr>
        <w:t>Gold Standard</w:t>
      </w:r>
      <w:r>
        <w:rPr>
          <w:b/>
        </w:rPr>
        <w:t>): PRUSSIAN BLUE:</w:t>
      </w:r>
    </w:p>
    <w:p>
      <w:pPr>
        <w:pStyle w:val="ListBullet2"/>
        <w:spacing w:after="20"/>
      </w:pPr>
      <w:r>
        <w:rPr>
          <w:i/>
        </w:rPr>
        <w:t>Nama Kimia:</w:t>
      </w:r>
      <w:r>
        <w:rPr/>
        <w:t xml:space="preserve"> </w:t>
      </w:r>
      <w:r>
        <w:rPr>
          <w:b/>
        </w:rPr>
        <w:t>Ferri-heksasianoferat / Kalium ferriheksasianoferat [KFe[Fe(CN)₆]]</w:t>
      </w:r>
      <w:r>
        <w:rPr/>
        <w:t>.</w:t>
      </w:r>
    </w:p>
    <w:p>
      <w:pPr>
        <w:pStyle w:val="ListBullet2"/>
        <w:spacing w:after="20"/>
      </w:pPr>
      <w:r>
        <w:rPr>
          <w:i/>
        </w:rPr>
        <w:t>Mekanisme Kerja:</w:t>
      </w:r>
      <w:r>
        <w:rPr/>
        <w:t xml:space="preserve"> Prussian blue diberikan secara oral. Di dalam lumen usus halus dan kolon, ion kalium pada kisi kristal Prussian blue ditukar dengan ion talium (Tl⁺). Terbentuk kompleks kelat talium-heksasianoferat yang sangat stabil, tidak larut, dan tidak dapat diserap oleh dinding usus, yang kemudian </w:t>
      </w:r>
      <w:r>
        <w:rPr>
          <w:b/>
        </w:rPr>
        <w:t>dikeluarkan bersama feses</w:t>
      </w:r>
      <w:r>
        <w:rPr/>
        <w:t xml:space="preserve">. Hal ini </w:t>
      </w:r>
      <w:r>
        <w:rPr>
          <w:b/>
        </w:rPr>
        <w:t>memutus siklus enterohepatik talium secara efektif</w:t>
      </w:r>
      <w:r>
        <w:rPr/>
        <w:t xml:space="preserve"> dan melipatgandakan klirens feses tanpa toksisitas sistemik.</w:t>
      </w:r>
    </w:p>
    <w:p>
      <w:pPr>
        <w:pStyle w:val="ListBullet2"/>
        <w:spacing w:after="20"/>
      </w:pPr>
      <w:r>
        <w:rPr>
          <w:i/>
        </w:rPr>
        <w:t>Dosis Baku:</w:t>
      </w:r>
      <w:r>
        <w:rPr/>
        <w:t xml:space="preserve"> </w:t>
      </w:r>
      <w:r>
        <w:rPr>
          <w:b/>
        </w:rPr>
        <w:t>3 gram per oral diberikan 3 kali sehari (total 9 g/hari)</w:t>
      </w:r>
      <w:r>
        <w:rPr/>
        <w:t xml:space="preserve"> dilarutkan dalam 100–200 mL air hangat (atau dosis pediatrik 250 mg/kgBB/hari), dilanjutkan hingga kadar U-Tl &lt; 5–10 µg/L.</w:t>
      </w:r>
    </w:p>
    <w:p>
      <w:pPr>
        <w:spacing w:after="40"/>
        <w:ind w:left="340" w:hanging="283"/>
      </w:pPr>
      <w:r>
        <w:rPr/>
        <w:t xml:space="preserve">2. </w:t>
      </w:r>
      <w:r>
        <w:rPr>
          <w:b/>
        </w:rPr>
        <w:t>Arang Aktif (</w:t>
      </w:r>
      <w:r>
        <w:rPr>
          <w:b/>
          <w:i/>
        </w:rPr>
        <w:t>Multi-Dose Activated Charcoal</w:t>
      </w:r>
      <w:r>
        <w:rPr>
          <w:b/>
        </w:rPr>
        <w:t xml:space="preserve"> / MDAC):</w:t>
      </w:r>
    </w:p>
    <w:p>
      <w:pPr>
        <w:spacing w:after="80"/>
      </w:pPr>
      <w:r>
        <w:rPr/>
        <w:t>Jika sediaan Prussian blue belum tersedia di fasilitas darurat, berikan arang aktif dosis berulang (50 g setiap 4 jam per oral/NGT) bersama laksansia ringan (laktulosa) untuk mengatasi obstipasi dan mengadsorpsi talium di usus.</w:t>
      </w:r>
    </w:p>
    <w:p>
      <w:pPr>
        <w:spacing w:after="40"/>
        <w:ind w:left="340" w:hanging="283"/>
      </w:pPr>
      <w:r>
        <w:rPr/>
        <w:t xml:space="preserve">3. </w:t>
      </w:r>
      <w:r>
        <w:rPr>
          <w:b/>
        </w:rPr>
        <w:t>Hemodialisis dan Hemoperfusi Arang (</w:t>
      </w:r>
      <w:r>
        <w:rPr>
          <w:b/>
          <w:i/>
        </w:rPr>
        <w:t>Hemoperfusion</w:t>
      </w:r>
      <w:r>
        <w:rPr>
          <w:b/>
        </w:rPr>
        <w:t>):</w:t>
      </w:r>
    </w:p>
    <w:p>
      <w:pPr>
        <w:spacing w:after="80"/>
      </w:pPr>
      <w:r>
        <w:rPr/>
        <w:t xml:space="preserve">Tindakan dialisis ekstrakorporeal efektif membersihkan fraksi talium plasma jika diinisiasi dalam </w:t>
      </w:r>
      <w:r>
        <w:rPr>
          <w:b/>
        </w:rPr>
        <w:t>24 hingga 48 jam pertama pasca-ingesti akut</w:t>
      </w:r>
      <w:r>
        <w:rPr/>
        <w:t xml:space="preserve"> saat kadar vaskular masih tinggi.</w:t>
      </w:r>
    </w:p>
    <w:p>
      <w:pPr>
        <w:spacing w:after="40"/>
        <w:ind w:left="340" w:hanging="283"/>
      </w:pPr>
      <w:r>
        <w:rPr/>
        <w:t xml:space="preserve">4. </w:t>
      </w:r>
      <w:r>
        <w:rPr>
          <w:b/>
        </w:rPr>
        <w:t>Peran Kalium Klorida (KCl) dan Peringatan Bahaya:</w:t>
      </w:r>
    </w:p>
    <w:p>
      <w:pPr>
        <w:pStyle w:val="ListBullet2"/>
        <w:spacing w:after="20"/>
      </w:pPr>
      <w:r>
        <w:rPr/>
        <w:t>Pemberian kalium intravena/oral meningkatkan ekskresi renal Tl⁺ akibat kompetisi penyerapan kembali di tubulus ginjal.</w:t>
      </w:r>
    </w:p>
    <w:p>
      <w:pPr>
        <w:pStyle w:val="ListBullet2"/>
        <w:spacing w:after="20"/>
      </w:pPr>
      <w:r>
        <w:rPr>
          <w:i/>
        </w:rPr>
        <w:t>PERINGATAN BAHAYA:</w:t>
      </w:r>
      <w:r>
        <w:rPr/>
        <w:t xml:space="preserve"> Pemberian infus kalium yang terlalu agresif dapat </w:t>
      </w:r>
      <w:r>
        <w:rPr>
          <w:b/>
        </w:rPr>
        <w:t>memobilisasi ion talium dari kompartemen intraseluler ke dalam darah secara mendadak</w:t>
      </w:r>
      <w:r>
        <w:rPr/>
        <w:t>, memicu eksaserbasi aritmia jantung letal dan pemburukan ensefalopati neurologis akut. Kalium hanya boleh diberikan secara sangat hati-hati dengan pemantauan EKG kontinu.</w:t>
      </w:r>
    </w:p>
    <w:p>
      <w:pPr>
        <w:spacing w:after="40"/>
        <w:ind w:left="340" w:hanging="283"/>
      </w:pPr>
      <w:r>
        <w:rPr/>
        <w:t xml:space="preserve">5. </w:t>
      </w:r>
      <w:r>
        <w:rPr>
          <w:b/>
        </w:rPr>
        <w:t>KONTRAINDIKASI KELATOR TERTENTU:</w:t>
      </w:r>
    </w:p>
    <w:p>
      <w:pPr>
        <w:pStyle w:val="ListBullet2"/>
        <w:spacing w:after="20"/>
      </w:pPr>
      <w:r>
        <w:rPr>
          <w:b/>
        </w:rPr>
        <w:t>Dietilditiokarbamat (DDC / Ditiokarb) DIKONTRAINDIKASIKAN MUTLAK PADA TALIUM</w:t>
      </w:r>
      <w:r>
        <w:rPr/>
        <w:t xml:space="preserve">. DDC membentuk kompleks lipofilik netral dengan talium yang </w:t>
      </w:r>
      <w:r>
        <w:rPr>
          <w:b/>
        </w:rPr>
        <w:t>menembus sawar darah otak dan meredistribusi talium secara masif ke jaringan otak</w:t>
      </w:r>
      <w:r>
        <w:rPr/>
        <w:t>, memicu ensefalopati fatal.</w:t>
      </w:r>
    </w:p>
    <w:p>
      <w:pPr>
        <w:pStyle w:val="ListBullet2"/>
        <w:spacing w:after="20"/>
      </w:pPr>
      <w:r>
        <w:rPr/>
        <w:t>BAL (Dimerkaprol) dan CaNa₂EDTA tidak efektif dan tidak direkomendasikan. D-penicillamine memiliki efikasi terbatas dan kontroversial.</w:t>
      </w:r>
    </w:p>
    <w:p>
      <w:pPr>
        <w:pStyle w:val="Heading3"/>
      </w:pPr>
      <w:r>
        <w:t>9. Manajemen Okupasi: Kelaikan Kerja dan 7 Langkah Diagnosis PAK</w:t>
      </w:r>
    </w:p>
    <w:p>
      <w:pPr>
        <w:pStyle w:val="ListBullet"/>
        <w:spacing w:after="20"/>
      </w:pPr>
      <w:r>
        <w:rPr>
          <w:b/>
        </w:rPr>
        <w:t>Penerapan 7 Langkah Diagnosis PAK (Permenkes No. 11 Tahun 2022):</w:t>
      </w:r>
    </w:p>
    <w:p>
      <w:pPr>
        <w:spacing w:after="40"/>
        <w:ind w:left="680" w:hanging="283"/>
      </w:pPr>
      <w:r>
        <w:rPr/>
        <w:t xml:space="preserve">1. </w:t>
      </w:r>
      <w:r>
        <w:rPr>
          <w:i/>
        </w:rPr>
        <w:t>Diagnosis Klinis:</w:t>
      </w:r>
      <w:r>
        <w:rPr/>
        <w:t xml:space="preserve"> Toksisitas Talium / Toxic Polyneuropathy (ICD-10: T56.8 / G62.2).</w:t>
      </w:r>
    </w:p>
    <w:p>
      <w:pPr>
        <w:spacing w:after="40"/>
        <w:ind w:left="680" w:hanging="283"/>
      </w:pPr>
      <w:r>
        <w:rPr/>
        <w:t xml:space="preserve">2. </w:t>
      </w:r>
      <w:r>
        <w:rPr>
          <w:i/>
        </w:rPr>
        <w:t>Pajanan Tempat Kerja:</w:t>
      </w:r>
      <w:r>
        <w:rPr/>
        <w:t xml:space="preserve"> Kontak serbuk talium pada proses manufaktur lensa inframerah atau peracikan rodentisida.</w:t>
      </w:r>
    </w:p>
    <w:p>
      <w:pPr>
        <w:spacing w:after="40"/>
        <w:ind w:left="680" w:hanging="283"/>
      </w:pPr>
      <w:r>
        <w:rPr/>
        <w:t xml:space="preserve">3. </w:t>
      </w:r>
      <w:r>
        <w:rPr>
          <w:i/>
        </w:rPr>
        <w:t>Hubungan Kausal:</w:t>
      </w:r>
      <w:r>
        <w:rPr/>
        <w:t xml:space="preserve"> Terbukti talium meniru kalium pada pompa Na⁺/K⁺-ATPase dan merusak akson saraf serta matriks keratin rambut.</w:t>
      </w:r>
    </w:p>
    <w:p>
      <w:pPr>
        <w:spacing w:after="40"/>
        <w:ind w:left="680" w:hanging="283"/>
      </w:pPr>
      <w:r>
        <w:rPr/>
        <w:t xml:space="preserve">4. </w:t>
      </w:r>
      <w:r>
        <w:rPr>
          <w:i/>
        </w:rPr>
        <w:t>Besaran Dosis:</w:t>
      </w:r>
      <w:r>
        <w:rPr/>
        <w:t xml:space="preserve"> Pengukuran udara melampaui NAB 0,02–0,1 mg/m³; kadar talium urin meningkat (&gt; 5–10 µg/L).</w:t>
      </w:r>
    </w:p>
    <w:p>
      <w:pPr>
        <w:spacing w:after="40"/>
        <w:ind w:left="680" w:hanging="283"/>
      </w:pPr>
      <w:r>
        <w:rPr/>
        <w:t xml:space="preserve">5. </w:t>
      </w:r>
      <w:r>
        <w:rPr>
          <w:i/>
        </w:rPr>
        <w:t>Faktor Kerentanan Individu:</w:t>
      </w:r>
      <w:r>
        <w:rPr/>
        <w:t xml:space="preserve"> Higiene buruk (makan/merokok di tempat kerja), luka lecet kulit yang mempercepat absorpsi dermal.</w:t>
      </w:r>
    </w:p>
    <w:p>
      <w:pPr>
        <w:spacing w:after="40"/>
        <w:ind w:left="680" w:hanging="283"/>
      </w:pPr>
      <w:r>
        <w:rPr/>
        <w:t xml:space="preserve">6. </w:t>
      </w:r>
      <w:r>
        <w:rPr>
          <w:i/>
        </w:rPr>
        <w:t>Faktor Luar Kerja:</w:t>
      </w:r>
      <w:r>
        <w:rPr/>
        <w:t xml:space="preserve"> </w:t>
      </w:r>
      <w:r>
        <w:rPr>
          <w:b/>
        </w:rPr>
        <w:t>Sangat Kritis:</w:t>
      </w:r>
      <w:r>
        <w:rPr/>
        <w:t xml:space="preserve"> Menyingkirkan intoksikasi kriminal/homisidal atau kontaminasi pangan herbal rumahan.</w:t>
      </w:r>
    </w:p>
    <w:p>
      <w:pPr>
        <w:spacing w:after="40"/>
        <w:ind w:left="680" w:hanging="283"/>
      </w:pPr>
      <w:r>
        <w:rPr/>
        <w:t xml:space="preserve">7. </w:t>
      </w:r>
      <w:r>
        <w:rPr>
          <w:i/>
        </w:rPr>
        <w:t>Kesimpulan:</w:t>
      </w:r>
      <w:r>
        <w:rPr/>
        <w:t xml:space="preserve"> </w:t>
      </w:r>
      <w:r>
        <w:rPr>
          <w:b/>
        </w:rPr>
        <w:t>Penyakit Akibat Kerja (PAK)</w:t>
      </w:r>
      <w:r>
        <w:rPr/>
        <w:t xml:space="preserve"> berdasarkan </w:t>
      </w:r>
      <w:r>
        <w:rPr>
          <w:b/>
        </w:rPr>
        <w:t>Perpres No. 7 Tahun 2019 Lampiran I.a Butir 18</w:t>
      </w:r>
      <w:r>
        <w:rPr/>
        <w:t xml:space="preserve"> ("Penyakit yang disebabkan oleh talium atau persenyawaannya").</w:t>
      </w:r>
    </w:p>
    <w:p>
      <w:pPr>
        <w:pStyle w:val="ListBullet"/>
        <w:spacing w:after="20"/>
      </w:pPr>
      <w:r>
        <w:rPr>
          <w:b/>
        </w:rPr>
        <w:t>Penilaian Kelaikan Kerja (</w:t>
      </w:r>
      <w:r>
        <w:rPr>
          <w:b/>
          <w:i/>
        </w:rPr>
        <w:t>Fitness for Work</w:t>
      </w:r>
      <w:r>
        <w:rPr>
          <w:b/>
        </w:rPr>
        <w:t>):</w:t>
      </w:r>
    </w:p>
    <w:p>
      <w:pPr>
        <w:pStyle w:val="ListBullet2"/>
        <w:spacing w:after="20"/>
      </w:pPr>
      <w:r>
        <w:rPr>
          <w:i/>
        </w:rPr>
        <w:t>Temporary Unfit:</w:t>
      </w:r>
      <w:r>
        <w:rPr/>
        <w:t xml:space="preserve"> Selama fase intoksikasi akut, terapi kelasi/Prussian blue, dan pemulihan polineuropati.</w:t>
      </w:r>
    </w:p>
    <w:p>
      <w:pPr>
        <w:pStyle w:val="ListBullet2"/>
        <w:spacing w:after="20"/>
      </w:pPr>
      <w:r>
        <w:rPr>
          <w:i/>
        </w:rPr>
        <w:t>Unfit Permanen:</w:t>
      </w:r>
      <w:r>
        <w:rPr/>
        <w:t xml:space="preserve"> Pekerja yang mengalami sekuelae atrofi nervus optikus ireversibel (kebutaan) atau kelumpuhan motorik permanen.</w:t>
      </w:r>
    </w:p>
    <w:p>
      <w:pPr>
        <w:pStyle w:val="ListBullet2"/>
        <w:spacing w:after="20"/>
      </w:pPr>
      <w:r>
        <w:rPr>
          <w:i/>
        </w:rPr>
        <w:t>Fit with Restriction:</w:t>
      </w:r>
      <w:r>
        <w:rPr/>
        <w:t xml:space="preserve"> Pekerja yang pulih sempurna dilarang kembali ke unit penanganan talium (</w:t>
      </w:r>
      <w:r>
        <w:rPr>
          <w:i/>
        </w:rPr>
        <w:t>job transfer</w:t>
      </w:r>
      <w:r>
        <w:rPr/>
        <w:t xml:space="preserve"> ke area non-toksik) mengingat risiko akumulasi ulang.</w:t>
      </w:r>
    </w:p>
    <w:p>
      <w:pPr>
        <w:pStyle w:val="Heading3"/>
      </w:pPr>
      <w:r>
        <w:t>10. Clinical Pearls dan Jebakan Ujian Khusus Talium</w:t>
      </w:r>
    </w:p>
    <w:p>
      <w:pPr>
        <w:pStyle w:val="ListBullet"/>
        <w:spacing w:after="20"/>
      </w:pPr>
      <w:r>
        <w:rPr>
          <w:b/>
        </w:rPr>
        <w:t>Clinical Pearl:</w:t>
      </w:r>
      <w:r>
        <w:rPr/>
        <w:t xml:space="preserve"> "Trias Diagnostik Talium": Pasien dengan kombinasi </w:t>
      </w:r>
      <w:r>
        <w:rPr>
          <w:b/>
        </w:rPr>
        <w:t>1) Nyeri perut kolik akut dengan obstipasi parah, 2) Parestesia nyeri terbakar hebat pada telapak kaki, dan 3) Alopesia total timbul 2–3 minggu kemudian</w:t>
      </w:r>
      <w:r>
        <w:rPr/>
        <w:t>, adalah patognomonik mutlak intoksikasi talium.</w:t>
      </w:r>
    </w:p>
    <w:p>
      <w:pPr>
        <w:pStyle w:val="ListBullet"/>
        <w:spacing w:after="20"/>
      </w:pPr>
      <w:r>
        <w:rPr>
          <w:b/>
        </w:rPr>
        <w:t>Board Trap 1 (Jebakan Periode Laten Alopesia):</w:t>
      </w:r>
      <w:r>
        <w:rPr/>
        <w:t xml:space="preserve"> Penguji menyajikan kasus pekerja yang datang pada hari ke-3 dengan sakit perut hebat dan nyeri kaki terbakar, tetapi </w:t>
      </w:r>
      <w:r>
        <w:rPr>
          <w:b/>
        </w:rPr>
        <w:t>rambutnya belum rontok sama sekali</w:t>
      </w:r>
      <w:r>
        <w:rPr/>
        <w:t xml:space="preserve">. Banyak residen mencoret diagnosis talium karena mengira alopesia langsung terjadi. Ingat: </w:t>
      </w:r>
      <w:r>
        <w:rPr>
          <w:b/>
        </w:rPr>
        <w:t>Alopesia talium memiliki masa laten 10 hingga 21 hari (2–3 minggu)</w:t>
      </w:r>
      <w:r>
        <w:rPr/>
        <w:t xml:space="preserve"> yang bertepatan dengan siklus pertumbuhan sel matriks folikel rambut.</w:t>
      </w:r>
    </w:p>
    <w:p>
      <w:pPr>
        <w:pStyle w:val="ListBullet"/>
        <w:spacing w:after="20"/>
      </w:pPr>
      <w:r>
        <w:rPr>
          <w:b/>
        </w:rPr>
        <w:t>Board Trap 2 (Jebakan Kelator DDC):</w:t>
      </w:r>
      <w:r>
        <w:rPr/>
        <w:t xml:space="preserve"> Penguji bertanya: </w:t>
      </w:r>
      <w:r>
        <w:rPr>
          <w:i/>
        </w:rPr>
        <w:t>"Bolehkah memberikan Ditiokarb (Na-DDC) pada keracunan talium?"</w:t>
      </w:r>
      <w:r>
        <w:rPr/>
        <w:t xml:space="preserve"> Jawab: </w:t>
      </w:r>
      <w:r>
        <w:rPr>
          <w:b/>
        </w:rPr>
        <w:t>KONTRAINDIKASI MUTLAK</w:t>
      </w:r>
      <w:r>
        <w:rPr/>
        <w:t xml:space="preserve">. Na-DDC adalah antidotum utama untuk nikel karbonil, tetapi pada talium ia membentuk kelat lipofilik yang meredistribusi talium menembus sawar darah otak ke susunan saraf pusat, memicu kematian serebral. Antidotum pilihan utama adalah </w:t>
      </w:r>
      <w:r>
        <w:rPr>
          <w:b/>
        </w:rPr>
        <w:t>Prussian Blue per oral</w:t>
      </w:r>
      <w:r>
        <w:rPr/>
        <w:t>.</w:t>
      </w:r>
    </w:p>
    <w:p>
      <w:pPr>
        <w:pStyle w:val="ListBullet"/>
        <w:spacing w:after="20"/>
      </w:pPr>
      <w:r>
        <w:rPr>
          <w:b/>
        </w:rPr>
        <w:t>Board Trap 3 (Jebakan Penetrasi Kulit):</w:t>
      </w:r>
      <w:r>
        <w:rPr/>
        <w:t xml:space="preserve"> Talium memiliki notasi </w:t>
      </w:r>
      <w:r>
        <w:rPr>
          <w:b/>
        </w:rPr>
        <w:t>Skin</w:t>
      </w:r>
      <w:r>
        <w:rPr/>
        <w:t>. Masker respirator saja tidak cukup; tanpa sarung tangan kedap kimiawi yang tepat, penyerapan perkutan talium mampu menyebabkan kematian sistemik.</w:t>
      </w:r>
    </w:p>
    <w:p>
      <w:r>
        <w:rPr>
          <w:b/>
          <w:sz w:val="16"/>
        </w:rPr>
        <w:t>Sumber yang dirujuk NotebookLM:</w:t>
      </w:r>
    </w:p>
    <w:p>
      <w:pPr>
        <w:spacing w:after="0"/>
        <w:ind w:left="283"/>
      </w:pPr>
      <w:r>
        <w:rPr>
          <w:b/>
          <w:color w:val="595959"/>
          <w:sz w:val="16"/>
        </w:rPr>
        <w:t>StatPearls NCBI Bookshelf (2022).</w:t>
      </w:r>
      <w:r>
        <w:rPr>
          <w:color w:val="595959"/>
          <w:sz w:val="16"/>
        </w:rPr>
        <w:t xml:space="preserve"> </w:t>
      </w:r>
      <w:r>
        <w:rPr>
          <w:i/>
          <w:color w:val="595959"/>
          <w:sz w:val="16"/>
        </w:rPr>
        <w:t>Metal Fume Fever</w:t>
      </w:r>
      <w:r>
        <w:rPr>
          <w:color w:val="595959"/>
          <w:sz w:val="16"/>
        </w:rPr>
        <w:t>:</w:t>
      </w:r>
    </w:p>
    <w:p>
      <w:pPr>
        <w:spacing w:after="0"/>
        <w:ind w:left="283"/>
      </w:pPr>
      <w:r>
        <w:rPr>
          <w:color w:val="595959"/>
          <w:sz w:val="16"/>
        </w:rPr>
        <w:t>Etiologi: Inhalasi partikel uap submikron seng oksida segar (</w:t>
      </w:r>
      <w:r>
        <w:rPr>
          <w:i/>
          <w:color w:val="595959"/>
          <w:sz w:val="16"/>
        </w:rPr>
        <w:t>freshly formed ZnO</w:t>
      </w:r>
      <w:r>
        <w:rPr>
          <w:color w:val="595959"/>
          <w:sz w:val="16"/>
        </w:rPr>
        <w:t>) pada pengelasan baja galvanis dan peleburan kuningan (</w:t>
      </w:r>
      <w:r>
        <w:rPr>
          <w:i/>
          <w:color w:val="595959"/>
          <w:sz w:val="16"/>
        </w:rPr>
        <w:t>brass</w:t>
      </w:r>
      <w:r>
        <w:rPr>
          <w:color w:val="595959"/>
          <w:sz w:val="16"/>
        </w:rPr>
        <w:t>).</w:t>
      </w:r>
    </w:p>
    <w:p>
      <w:pPr>
        <w:spacing w:after="0"/>
        <w:ind w:left="283"/>
      </w:pPr>
      <w:r>
        <w:rPr>
          <w:color w:val="595959"/>
          <w:sz w:val="16"/>
        </w:rPr>
        <w:t>Patofisiologi: Pelepasan pirogen endogen TNF-α, IL-6, IL-8 dari makrofag; induksi metalotionein paru yang memediasi toleransi kerja (</w:t>
      </w:r>
      <w:r>
        <w:rPr>
          <w:i/>
          <w:color w:val="595959"/>
          <w:sz w:val="16"/>
        </w:rPr>
        <w:t>tachyphylaxis / Monday morning fever</w:t>
      </w:r>
      <w:r>
        <w:rPr>
          <w:color w:val="595959"/>
          <w:sz w:val="16"/>
        </w:rPr>
        <w:t>).</w:t>
      </w:r>
    </w:p>
    <w:p>
      <w:pPr>
        <w:spacing w:after="0"/>
        <w:ind w:left="283"/>
      </w:pPr>
      <w:r>
        <w:rPr>
          <w:color w:val="595959"/>
          <w:sz w:val="16"/>
        </w:rPr>
        <w:t>Klinis: Onset laten 4–10 jam, gejala mirip flu, sensasi rasa logam di mulut, leukositosis PMN, foto toraks normal, perjalanan sembuh sendiri (</w:t>
      </w:r>
      <w:r>
        <w:rPr>
          <w:i/>
          <w:color w:val="595959"/>
          <w:sz w:val="16"/>
        </w:rPr>
        <w:t>self-limiting</w:t>
      </w:r>
      <w:r>
        <w:rPr>
          <w:color w:val="595959"/>
          <w:sz w:val="16"/>
        </w:rPr>
        <w:t>) dalam 24–48 jam.</w:t>
      </w:r>
    </w:p>
    <w:p>
      <w:pPr>
        <w:spacing w:after="0"/>
        <w:ind w:left="283"/>
      </w:pPr>
      <w:r>
        <w:rPr>
          <w:color w:val="595959"/>
          <w:sz w:val="16"/>
        </w:rPr>
        <w:t>Tatalaksana Suportif Simtomatik dan Ketiadaan Indikasi Kelasi.</w:t>
      </w:r>
    </w:p>
    <w:p>
      <w:pPr>
        <w:spacing w:after="0"/>
        <w:ind w:left="283"/>
      </w:pPr>
      <w:r>
        <w:rPr>
          <w:b/>
          <w:color w:val="595959"/>
          <w:sz w:val="16"/>
        </w:rPr>
        <w:t>Galván-Arzate, S. &amp; Santamaría, A. (1998).</w:t>
      </w:r>
      <w:r>
        <w:rPr>
          <w:color w:val="595959"/>
          <w:sz w:val="16"/>
        </w:rPr>
        <w:t xml:space="preserve"> </w:t>
      </w:r>
      <w:r>
        <w:rPr>
          <w:i/>
          <w:color w:val="595959"/>
          <w:sz w:val="16"/>
        </w:rPr>
        <w:t>Thallium toxicity.</w:t>
      </w:r>
      <w:r>
        <w:rPr>
          <w:color w:val="595959"/>
          <w:sz w:val="16"/>
        </w:rPr>
        <w:t xml:space="preserve"> Toxicology Letters, 99: 1–13:</w:t>
      </w:r>
    </w:p>
    <w:p>
      <w:pPr>
        <w:spacing w:after="0"/>
        <w:ind w:left="283"/>
      </w:pPr>
      <w:r>
        <w:rPr>
          <w:color w:val="595959"/>
          <w:sz w:val="16"/>
        </w:rPr>
        <w:t>Sifat Fisikokimiawi: Valensi monovalen Tl⁺ paling stabil dan toksik.</w:t>
      </w:r>
    </w:p>
    <w:p>
      <w:pPr>
        <w:spacing w:after="0"/>
        <w:ind w:left="283"/>
      </w:pPr>
      <w:r>
        <w:rPr>
          <w:color w:val="595959"/>
          <w:sz w:val="16"/>
        </w:rPr>
        <w:t>Mekanisme Toksik: Mimikri ion kalium (K⁺) pada enzim Na⁺/K⁺-ATPase membran dan afinitas tinggi terhadap gugus sulfhidril (-SH) enzim/keratin.</w:t>
      </w:r>
    </w:p>
    <w:p>
      <w:pPr>
        <w:spacing w:after="0"/>
        <w:ind w:left="283"/>
      </w:pPr>
      <w:r>
        <w:rPr>
          <w:color w:val="595959"/>
          <w:sz w:val="16"/>
        </w:rPr>
        <w:t>Klinis: Nyeri kolik abdomen, konstipasi obstipatif neuropati vagus, takikardia sinus, polineuropati nyeri terbakar ekstrem di telapak kaki (</w:t>
      </w:r>
      <w:r>
        <w:rPr>
          <w:i/>
          <w:color w:val="595959"/>
          <w:sz w:val="16"/>
        </w:rPr>
        <w:t>burning soles</w:t>
      </w:r>
      <w:r>
        <w:rPr>
          <w:color w:val="595959"/>
          <w:sz w:val="16"/>
        </w:rPr>
        <w:t>), paresis motorik, alopesia total laten (minggu 2–3) dengan pigmen pita zebra di akar rambut, garis Mees kuku, serta psikosis talium.</w:t>
      </w:r>
    </w:p>
    <w:p>
      <w:pPr>
        <w:spacing w:after="0"/>
        <w:ind w:left="283"/>
      </w:pPr>
      <w:r>
        <w:rPr>
          <w:color w:val="595959"/>
          <w:sz w:val="16"/>
        </w:rPr>
        <w:t>Sirkulasi Enterohepatik dan Waktu Paruh Panjang (10–15 hari hingga 30 hari).</w:t>
      </w:r>
    </w:p>
    <w:p>
      <w:pPr>
        <w:spacing w:after="0"/>
        <w:ind w:left="283"/>
      </w:pPr>
      <w:r>
        <w:rPr>
          <w:color w:val="595959"/>
          <w:sz w:val="16"/>
        </w:rPr>
        <w:t>Tatalaksana: Antidotum spesifik Prussian Blue oral, arang aktif berulang, hemodialisis, bahaya mobilisasi kalium (KCl), serta bahaya redistribusi SSP akibat kelator DDC.</w:t>
      </w:r>
    </w:p>
    <w:p>
      <w:pPr>
        <w:spacing w:after="0"/>
        <w:ind w:left="283"/>
      </w:pPr>
      <w:r>
        <w:rPr>
          <w:b/>
          <w:color w:val="595959"/>
          <w:sz w:val="16"/>
        </w:rPr>
        <w:t>ACGIH (2026 Edition).</w:t>
      </w:r>
      <w:r>
        <w:rPr>
          <w:color w:val="595959"/>
          <w:sz w:val="16"/>
        </w:rPr>
        <w:t xml:space="preserve"> </w:t>
      </w:r>
      <w:r>
        <w:rPr>
          <w:i/>
          <w:color w:val="595959"/>
          <w:sz w:val="16"/>
        </w:rPr>
        <w:t>TLVs® and BEIs®: Threshold Limit Values for Chemical Substances and Physical Agents &amp; Biological Exposure Indices</w:t>
      </w:r>
      <w:r>
        <w:rPr>
          <w:color w:val="595959"/>
          <w:sz w:val="16"/>
        </w:rPr>
        <w:t>:</w:t>
      </w:r>
    </w:p>
    <w:p>
      <w:pPr>
        <w:spacing w:after="0"/>
        <w:ind w:left="283"/>
      </w:pPr>
      <w:r>
        <w:rPr>
          <w:i/>
          <w:color w:val="595959"/>
          <w:sz w:val="16"/>
        </w:rPr>
        <w:t>Zinc oxide [CAS 1314-13-2]:</w:t>
      </w:r>
      <w:r>
        <w:rPr>
          <w:color w:val="595959"/>
          <w:sz w:val="16"/>
        </w:rPr>
        <w:t xml:space="preserve"> TLV-TWA 2 mg/m³ [R], TLV-STEL 10 mg/m³ [R], TLV Basis: Metal fume fever. Ketiadaan nilai BEI Seng.</w:t>
      </w:r>
    </w:p>
    <w:p>
      <w:pPr>
        <w:spacing w:after="0"/>
        <w:ind w:left="283"/>
      </w:pPr>
      <w:r>
        <w:rPr>
          <w:i/>
          <w:color w:val="595959"/>
          <w:sz w:val="16"/>
        </w:rPr>
        <w:t>Thallium, elemental and soluble compounds, as Tl [CAS 7440-28-0]:</w:t>
      </w:r>
      <w:r>
        <w:rPr>
          <w:color w:val="595959"/>
          <w:sz w:val="16"/>
        </w:rPr>
        <w:t xml:space="preserve"> TLV-TWA 0,02 mg/m³ [I], Notasi: Skin. TLV Basis: GI damage; peripheral neuropathy. Ketiadaan nilai BEI Talium.</w:t>
      </w:r>
    </w:p>
    <w:p>
      <w:pPr>
        <w:spacing w:after="0"/>
        <w:ind w:left="283"/>
      </w:pPr>
      <w:r>
        <w:rPr>
          <w:b/>
          <w:color w:val="595959"/>
          <w:sz w:val="16"/>
        </w:rPr>
        <w:t>Peraturan Menteri Ketenagakerjaan RI No. 5 Tahun 2018:</w:t>
      </w:r>
    </w:p>
    <w:p>
      <w:pPr>
        <w:spacing w:after="0"/>
        <w:ind w:left="283"/>
      </w:pPr>
      <w:r>
        <w:rPr>
          <w:color w:val="595959"/>
          <w:sz w:val="16"/>
        </w:rPr>
        <w:t>Lampiran 3: Seng Oksida Fume (NAB TWA 5 mg/m³, STEL 10 mg/m³); Talium Senyawa Larut sebagai Tl (NAB TWA 0,1 mg/m³, Notasi Kulit/Skin).</w:t>
      </w:r>
    </w:p>
    <w:p>
      <w:pPr>
        <w:spacing w:after="0"/>
        <w:ind w:left="283"/>
      </w:pPr>
      <w:r>
        <w:rPr>
          <w:color w:val="595959"/>
          <w:sz w:val="16"/>
        </w:rPr>
        <w:t>Lampiran 4: Evaluasi ketiadaan parameter IPB untuk Seng dan Talium.</w:t>
      </w:r>
    </w:p>
    <w:p>
      <w:pPr>
        <w:spacing w:after="0"/>
        <w:ind w:left="283"/>
      </w:pPr>
      <w:r>
        <w:rPr>
          <w:b/>
          <w:color w:val="595959"/>
          <w:sz w:val="16"/>
        </w:rPr>
        <w:t>NIOSH Pocket Guide to Chemical Hazards (2005-149):</w:t>
      </w:r>
    </w:p>
    <w:p>
      <w:pPr>
        <w:spacing w:after="0"/>
        <w:ind w:left="283"/>
      </w:pPr>
      <w:r>
        <w:rPr>
          <w:i/>
          <w:color w:val="595959"/>
          <w:sz w:val="16"/>
        </w:rPr>
        <w:t>Zinc oxide fume [CAS 1314-13-2]:</w:t>
      </w:r>
      <w:r>
        <w:rPr>
          <w:color w:val="595959"/>
          <w:sz w:val="16"/>
        </w:rPr>
        <w:t xml:space="preserve"> REL TWA 5 mg/m³, ST 10 mg/m³; Gejala Metal Fume Fever.</w:t>
      </w:r>
    </w:p>
    <w:p>
      <w:pPr>
        <w:spacing w:after="0"/>
        <w:ind w:left="283"/>
      </w:pPr>
      <w:r>
        <w:rPr>
          <w:i/>
          <w:color w:val="595959"/>
          <w:sz w:val="16"/>
        </w:rPr>
        <w:t>Thallium, soluble compounds (as Tl) [CAS 7440-28-0]:</w:t>
      </w:r>
      <w:r>
        <w:rPr>
          <w:color w:val="595959"/>
          <w:sz w:val="16"/>
        </w:rPr>
        <w:t xml:space="preserve"> REL TWA 0,1 mg/m³ [skin]; Gejala Neuropati, Alopesia, GI, Koma, Efek Ginjal.</w:t>
      </w:r>
    </w:p>
    <w:p>
      <w:pPr>
        <w:spacing w:after="0"/>
        <w:ind w:left="283"/>
      </w:pPr>
      <w:r>
        <w:rPr>
          <w:b/>
          <w:color w:val="595959"/>
          <w:sz w:val="16"/>
        </w:rPr>
        <w:t>Peraturan Presiden Republik Indonesia Nomor 7 Tahun 2019 &amp; Permenkes No. 11 Tahun 2022:</w:t>
      </w:r>
    </w:p>
    <w:p>
      <w:pPr>
        <w:spacing w:after="0"/>
        <w:ind w:left="283"/>
      </w:pPr>
      <w:r>
        <w:rPr>
          <w:color w:val="595959"/>
          <w:sz w:val="16"/>
        </w:rPr>
        <w:t>Lampiran I.a Butir 18 Perpres 7/2019 (Penyakit akibat Talium); Butir 19 (Penyakit akibat Seng); serta Implementasi 7 Langkah Diagnosis PAK Permenkes 11/2022.</w:t>
      </w:r>
    </w:p>
    <w:p>
      <w:r>
        <w:br w:type="page"/>
      </w:r>
    </w:p>
    <w:p>
      <w:pPr>
        <w:pStyle w:val="Heading1"/>
      </w:pPr>
      <w:bookmarkStart w:id="131" w:name="toc_031"/>
      <w:r>
        <w:t>4. FORMULA WAJIB HITUNG</w:t>
      </w:r>
      <w:bookmarkEnd w:id="131"/>
    </w:p>
    <w:p>
      <w:pPr>
        <w:spacing w:after="80"/>
      </w:pPr>
      <w:r>
        <w:rPr>
          <w:i/>
          <w:sz w:val="19"/>
        </w:rPr>
        <w:t>Ringkasan rumus. Kolom sumber menunjukkan bagian catatan yang memuat penurunan dan contoh hitungnya. Rumus yang bukan berasal dari NotebookLM diberi tanda (baku).</w:t>
      </w:r>
    </w:p>
    <w:tbl>
      <w:tblPr>
        <w:tblStyle w:val="TableGrid"/>
        <w:tblW w:type="auto" w:w="0"/>
        <w:tblLook w:firstColumn="1" w:firstRow="1" w:lastColumn="0" w:lastRow="0" w:noHBand="0" w:noVBand="1" w:val="04A0"/>
      </w:tblPr>
      <w:tblGrid>
        <w:gridCol w:w="3175"/>
        <w:gridCol w:w="3175"/>
        <w:gridCol w:w="3175"/>
      </w:tblGrid>
      <w:tr>
        <w:tc>
          <w:tcPr>
            <w:tcW w:type="dxa" w:w="1871"/>
            <w:shd w:val="clear" w:color="auto" w:fill="DCE6F1"/>
          </w:tcPr>
          <w:p>
            <w:pPr>
              <w:spacing w:after="0"/>
            </w:pPr>
            <w:r/>
            <w:r>
              <w:rPr>
                <w:b/>
                <w:sz w:val="17"/>
              </w:rPr>
              <w:t>Kelompok</w:t>
            </w:r>
          </w:p>
        </w:tc>
        <w:tc>
          <w:tcPr>
            <w:tcW w:type="dxa" w:w="3969"/>
            <w:shd w:val="clear" w:color="auto" w:fill="DCE6F1"/>
          </w:tcPr>
          <w:p>
            <w:pPr>
              <w:spacing w:after="0"/>
            </w:pPr>
            <w:r/>
            <w:r>
              <w:rPr>
                <w:b/>
                <w:sz w:val="17"/>
              </w:rPr>
              <w:t>Rumus</w:t>
            </w:r>
          </w:p>
        </w:tc>
        <w:tc>
          <w:tcPr>
            <w:tcW w:type="dxa" w:w="3742"/>
            <w:shd w:val="clear" w:color="auto" w:fill="DCE6F1"/>
          </w:tcPr>
          <w:p>
            <w:pPr>
              <w:spacing w:after="0"/>
            </w:pPr>
            <w:r/>
            <w:r>
              <w:rPr>
                <w:b/>
                <w:sz w:val="17"/>
              </w:rPr>
              <w:t>Keterangan / sumber</w:t>
            </w:r>
          </w:p>
        </w:tc>
      </w:tr>
      <w:tr>
        <w:tc>
          <w:tcPr>
            <w:tcW w:type="dxa" w:w="1871"/>
          </w:tcPr>
          <w:p>
            <w:pPr>
              <w:spacing w:after="0"/>
            </w:pPr>
            <w:r/>
            <w:r>
              <w:rPr>
                <w:sz w:val="17"/>
              </w:rPr>
              <w:t>Paparan TWA 8 jam</w:t>
            </w:r>
          </w:p>
        </w:tc>
        <w:tc>
          <w:tcPr>
            <w:tcW w:type="dxa" w:w="3969"/>
          </w:tcPr>
          <w:p>
            <w:pPr>
              <w:spacing w:after="0"/>
            </w:pPr>
            <w:r/>
            <w:r>
              <w:rPr>
                <w:sz w:val="17"/>
              </w:rPr>
              <w:t>TWA = Σ(Ci × Ti) / ΣTi</w:t>
            </w:r>
          </w:p>
        </w:tc>
        <w:tc>
          <w:tcPr>
            <w:tcW w:type="dxa" w:w="3742"/>
          </w:tcPr>
          <w:p>
            <w:pPr>
              <w:spacing w:after="0"/>
            </w:pPr>
            <w:r/>
            <w:r>
              <w:rPr>
                <w:sz w:val="17"/>
              </w:rPr>
              <w:t>Contoh: 35 ppm × 2 j, 15 × 3, 25 × 1, 5 × 2 → 150/8 = 18,75 ppm. Lihat 1.4.</w:t>
            </w:r>
          </w:p>
        </w:tc>
      </w:tr>
      <w:tr>
        <w:tc>
          <w:tcPr>
            <w:tcW w:type="dxa" w:w="1871"/>
          </w:tcPr>
          <w:p>
            <w:pPr>
              <w:spacing w:after="0"/>
            </w:pPr>
            <w:r/>
            <w:r>
              <w:rPr>
                <w:sz w:val="17"/>
              </w:rPr>
              <w:t>Adjusted OEL shift panjang (Brief &amp; Scala)</w:t>
            </w:r>
          </w:p>
        </w:tc>
        <w:tc>
          <w:tcPr>
            <w:tcW w:type="dxa" w:w="3969"/>
          </w:tcPr>
          <w:p>
            <w:pPr>
              <w:spacing w:after="0"/>
            </w:pPr>
            <w:r/>
            <w:r>
              <w:rPr>
                <w:sz w:val="17"/>
              </w:rPr>
              <w:t>RFd = (8/hd) × ((24 − hd)/16); RFw = (40/hw) × ((168 − hw)/128); OELadj = OEL8 jam × RF (pakai RF terkecil)</w:t>
            </w:r>
          </w:p>
        </w:tc>
        <w:tc>
          <w:tcPr>
            <w:tcW w:type="dxa" w:w="3742"/>
          </w:tcPr>
          <w:p>
            <w:pPr>
              <w:spacing w:after="0"/>
            </w:pPr>
            <w:r/>
            <w:r>
              <w:rPr>
                <w:sz w:val="17"/>
              </w:rPr>
              <w:t>Shift 12 jam: RFd = (8/12) × (12/16) = 0,50 → NAB 100 ppm menjadi 50 ppm. Lihat 1.4 (model OSHA lebih longgar, tanpa penalti jam pemulihan).</w:t>
            </w:r>
          </w:p>
        </w:tc>
      </w:tr>
      <w:tr>
        <w:tc>
          <w:tcPr>
            <w:tcW w:type="dxa" w:w="1871"/>
          </w:tcPr>
          <w:p>
            <w:pPr>
              <w:spacing w:after="0"/>
            </w:pPr>
            <w:r/>
            <w:r>
              <w:rPr>
                <w:sz w:val="17"/>
              </w:rPr>
              <w:t>Campuran (unity)</w:t>
            </w:r>
          </w:p>
        </w:tc>
        <w:tc>
          <w:tcPr>
            <w:tcW w:type="dxa" w:w="3969"/>
          </w:tcPr>
          <w:p>
            <w:pPr>
              <w:spacing w:after="0"/>
            </w:pPr>
            <w:r/>
            <w:r>
              <w:rPr>
                <w:sz w:val="17"/>
              </w:rPr>
              <w:t>Σ(Ci / TLVi) ≤ 1 untuk zat dengan organ target/efek sama</w:t>
            </w:r>
          </w:p>
        </w:tc>
        <w:tc>
          <w:tcPr>
            <w:tcW w:type="dxa" w:w="3742"/>
          </w:tcPr>
          <w:p>
            <w:pPr>
              <w:spacing w:after="0"/>
            </w:pPr>
            <w:r/>
            <w:r>
              <w:rPr>
                <w:sz w:val="17"/>
              </w:rPr>
              <w:t>Lihat 1.5. Efek independen dinilai terpisah, bukan dijumlah.</w:t>
            </w:r>
          </w:p>
        </w:tc>
      </w:tr>
      <w:tr>
        <w:tc>
          <w:tcPr>
            <w:tcW w:type="dxa" w:w="1871"/>
          </w:tcPr>
          <w:p>
            <w:pPr>
              <w:spacing w:after="0"/>
            </w:pPr>
            <w:r/>
            <w:r>
              <w:rPr>
                <w:sz w:val="17"/>
              </w:rPr>
              <w:t>Non-kanker (ARKL)</w:t>
            </w:r>
          </w:p>
        </w:tc>
        <w:tc>
          <w:tcPr>
            <w:tcW w:type="dxa" w:w="3969"/>
          </w:tcPr>
          <w:p>
            <w:pPr>
              <w:spacing w:after="0"/>
            </w:pPr>
            <w:r/>
            <w:r>
              <w:rPr>
                <w:sz w:val="17"/>
              </w:rPr>
              <w:t>Intake = (C × R × tE × fE × Dt) / (Wb × tavg); tavg = Dt × 365 hari; RQ = Intake / RfD; inhalasi RQ = C / RfC; HI = ΣRQ</w:t>
            </w:r>
          </w:p>
        </w:tc>
        <w:tc>
          <w:tcPr>
            <w:tcW w:type="dxa" w:w="3742"/>
          </w:tcPr>
          <w:p>
            <w:pPr>
              <w:spacing w:after="0"/>
            </w:pPr>
            <w:r/>
            <w:r>
              <w:rPr>
                <w:sz w:val="17"/>
              </w:rPr>
              <w:t>Notasi Pedoman ARKL 2012. Setara CDI = (C × IR × EF × ED)/(BW × AT) dan HQ. RQ &gt; 1 = tidak aman. Lihat 2.4.</w:t>
            </w:r>
          </w:p>
        </w:tc>
      </w:tr>
      <w:tr>
        <w:tc>
          <w:tcPr>
            <w:tcW w:type="dxa" w:w="1871"/>
          </w:tcPr>
          <w:p>
            <w:pPr>
              <w:spacing w:after="0"/>
            </w:pPr>
            <w:r/>
            <w:r>
              <w:rPr>
                <w:sz w:val="17"/>
              </w:rPr>
              <w:t>Konsentrasi/dosis aman (ARKL)</w:t>
            </w:r>
          </w:p>
        </w:tc>
        <w:tc>
          <w:tcPr>
            <w:tcW w:type="dxa" w:w="3969"/>
          </w:tcPr>
          <w:p>
            <w:pPr>
              <w:spacing w:after="0"/>
            </w:pPr>
            <w:r/>
            <w:r>
              <w:rPr>
                <w:sz w:val="17"/>
              </w:rPr>
              <w:t>C aman = (RfD × Wb × tavg) / (R × tE × fE × Dt)</w:t>
            </w:r>
          </w:p>
        </w:tc>
        <w:tc>
          <w:tcPr>
            <w:tcW w:type="dxa" w:w="3742"/>
          </w:tcPr>
          <w:p>
            <w:pPr>
              <w:spacing w:after="0"/>
            </w:pPr>
            <w:r/>
            <w:r>
              <w:rPr>
                <w:sz w:val="17"/>
              </w:rPr>
              <w:t>(baku) turunan aljabar dari rumus intake.</w:t>
            </w:r>
          </w:p>
        </w:tc>
      </w:tr>
      <w:tr>
        <w:tc>
          <w:tcPr>
            <w:tcW w:type="dxa" w:w="1871"/>
          </w:tcPr>
          <w:p>
            <w:pPr>
              <w:spacing w:after="0"/>
            </w:pPr>
            <w:r/>
            <w:r>
              <w:rPr>
                <w:sz w:val="17"/>
              </w:rPr>
              <w:t>MOS / MOE</w:t>
            </w:r>
          </w:p>
        </w:tc>
        <w:tc>
          <w:tcPr>
            <w:tcW w:type="dxa" w:w="3969"/>
          </w:tcPr>
          <w:p>
            <w:pPr>
              <w:spacing w:after="0"/>
            </w:pPr>
            <w:r/>
            <w:r>
              <w:rPr>
                <w:sz w:val="17"/>
              </w:rPr>
              <w:t>MOE = NOAEL / pajanan (atau BMDL / pajanan)</w:t>
            </w:r>
          </w:p>
        </w:tc>
        <w:tc>
          <w:tcPr>
            <w:tcW w:type="dxa" w:w="3742"/>
          </w:tcPr>
          <w:p>
            <w:pPr>
              <w:spacing w:after="0"/>
            </w:pPr>
            <w:r/>
            <w:r>
              <w:rPr>
                <w:sz w:val="17"/>
              </w:rPr>
              <w:t>(baku) tidak dibahas rinci di notebook; makin besar makin aman.</w:t>
            </w:r>
          </w:p>
        </w:tc>
      </w:tr>
      <w:tr>
        <w:tc>
          <w:tcPr>
            <w:tcW w:type="dxa" w:w="1871"/>
          </w:tcPr>
          <w:p>
            <w:pPr>
              <w:spacing w:after="0"/>
            </w:pPr>
            <w:r/>
            <w:r>
              <w:rPr>
                <w:sz w:val="17"/>
              </w:rPr>
              <w:t>Kanker</w:t>
            </w:r>
          </w:p>
        </w:tc>
        <w:tc>
          <w:tcPr>
            <w:tcW w:type="dxa" w:w="3969"/>
          </w:tcPr>
          <w:p>
            <w:pPr>
              <w:spacing w:after="0"/>
            </w:pPr>
            <w:r/>
            <w:r>
              <w:rPr>
                <w:sz w:val="17"/>
              </w:rPr>
              <w:t>Intake karsinogenik: tavg = 70 tahun × 365 = 25.550 hari; ECR = Intake × CSF; atau ECR = C × IUR</w:t>
            </w:r>
          </w:p>
        </w:tc>
        <w:tc>
          <w:tcPr>
            <w:tcW w:type="dxa" w:w="3742"/>
          </w:tcPr>
          <w:p>
            <w:pPr>
              <w:spacing w:after="0"/>
            </w:pPr>
            <w:r/>
            <w:r>
              <w:rPr>
                <w:sz w:val="17"/>
              </w:rPr>
              <w:t>Interpretasi: Pedoman ARKL memakai batas 1E-4; rentang kerja 1E-6 sampai 1E-4. LADD/LADI = intake yang dirata-ratakan seumur hidup (baku). Lihat 2.4.</w:t>
            </w:r>
          </w:p>
        </w:tc>
      </w:tr>
      <w:tr>
        <w:tc>
          <w:tcPr>
            <w:tcW w:type="dxa" w:w="1871"/>
          </w:tcPr>
          <w:p>
            <w:pPr>
              <w:spacing w:after="0"/>
            </w:pPr>
            <w:r/>
            <w:r>
              <w:rPr>
                <w:sz w:val="17"/>
              </w:rPr>
              <w:t>Biomonitoring: koreksi kreatinin</w:t>
            </w:r>
          </w:p>
        </w:tc>
        <w:tc>
          <w:tcPr>
            <w:tcW w:type="dxa" w:w="3969"/>
          </w:tcPr>
          <w:p>
            <w:pPr>
              <w:spacing w:after="0"/>
            </w:pPr>
            <w:r/>
            <w:r>
              <w:rPr>
                <w:sz w:val="17"/>
              </w:rPr>
              <w:t>µg/g kreatinin = konsentrasi urin (µg/L) / kreatinin (g/L)</w:t>
            </w:r>
          </w:p>
        </w:tc>
        <w:tc>
          <w:tcPr>
            <w:tcW w:type="dxa" w:w="3742"/>
          </w:tcPr>
          <w:p>
            <w:pPr>
              <w:spacing w:after="0"/>
            </w:pPr>
            <w:r/>
            <w:r>
              <w:rPr>
                <w:sz w:val="17"/>
              </w:rPr>
              <w:t>Diterima bila kreatinin 0,3 sampai 3 g/L. Lihat 1.8.</w:t>
            </w:r>
          </w:p>
        </w:tc>
      </w:tr>
      <w:tr>
        <w:tc>
          <w:tcPr>
            <w:tcW w:type="dxa" w:w="1871"/>
          </w:tcPr>
          <w:p>
            <w:pPr>
              <w:spacing w:after="0"/>
            </w:pPr>
            <w:r/>
            <w:r>
              <w:rPr>
                <w:sz w:val="17"/>
              </w:rPr>
              <w:t>Biomonitoring: koreksi berat jenis</w:t>
            </w:r>
          </w:p>
        </w:tc>
        <w:tc>
          <w:tcPr>
            <w:tcW w:type="dxa" w:w="3969"/>
          </w:tcPr>
          <w:p>
            <w:pPr>
              <w:spacing w:after="0"/>
            </w:pPr>
            <w:r/>
            <w:r>
              <w:rPr>
                <w:sz w:val="17"/>
              </w:rPr>
              <w:t>C koreksi = C ukur × (SG ref − 1,000) / (SG sampel − 1,000)</w:t>
            </w:r>
          </w:p>
        </w:tc>
        <w:tc>
          <w:tcPr>
            <w:tcW w:type="dxa" w:w="3742"/>
          </w:tcPr>
          <w:p>
            <w:pPr>
              <w:spacing w:after="0"/>
            </w:pPr>
            <w:r/>
            <w:r>
              <w:rPr>
                <w:sz w:val="17"/>
              </w:rPr>
              <w:t>SG ref lazim 1,024 (kadang 1,020); sampel layak bila 1,010 sampai 1,030. Contoh 10 µg/L pada SG 1,012 → 20 µg/L. Lihat 1.8.</w:t>
            </w:r>
          </w:p>
        </w:tc>
      </w:tr>
      <w:tr>
        <w:tc>
          <w:tcPr>
            <w:tcW w:type="dxa" w:w="1871"/>
          </w:tcPr>
          <w:p>
            <w:pPr>
              <w:spacing w:after="0"/>
            </w:pPr>
            <w:r/>
            <w:r>
              <w:rPr>
                <w:sz w:val="17"/>
              </w:rPr>
              <w:t>Steady state</w:t>
            </w:r>
          </w:p>
        </w:tc>
        <w:tc>
          <w:tcPr>
            <w:tcW w:type="dxa" w:w="3969"/>
          </w:tcPr>
          <w:p>
            <w:pPr>
              <w:spacing w:after="0"/>
            </w:pPr>
            <w:r/>
            <w:r>
              <w:rPr>
                <w:sz w:val="17"/>
              </w:rPr>
              <w:t>Cukup ≈ 5 × T1/2 (≈ 97% dari Css)</w:t>
            </w:r>
          </w:p>
        </w:tc>
        <w:tc>
          <w:tcPr>
            <w:tcW w:type="dxa" w:w="3742"/>
          </w:tcPr>
          <w:p>
            <w:pPr>
              <w:spacing w:after="0"/>
            </w:pPr>
            <w:r/>
            <w:r>
              <w:rPr>
                <w:sz w:val="17"/>
              </w:rPr>
              <w:t>Lihat 1.10.</w:t>
            </w:r>
          </w:p>
        </w:tc>
      </w:tr>
      <w:tr>
        <w:tc>
          <w:tcPr>
            <w:tcW w:type="dxa" w:w="1871"/>
          </w:tcPr>
          <w:p>
            <w:pPr>
              <w:spacing w:after="0"/>
            </w:pPr>
            <w:r/>
            <w:r>
              <w:rPr>
                <w:sz w:val="17"/>
              </w:rPr>
              <w:t>Kinetik: T1/2, sisa, akumulasi</w:t>
            </w:r>
          </w:p>
        </w:tc>
        <w:tc>
          <w:tcPr>
            <w:tcW w:type="dxa" w:w="3969"/>
          </w:tcPr>
          <w:p>
            <w:pPr>
              <w:spacing w:after="0"/>
            </w:pPr>
            <w:r/>
            <w:r>
              <w:rPr>
                <w:sz w:val="17"/>
              </w:rPr>
              <w:t>T1/2 = 0,693 / Kel = 0,693 × Vd / Cl; fraksi sisa setelah n × T1/2 = (1/2)^n; faktor akumulasi = 1 / (1 − e^(−Kel × τ))</w:t>
            </w:r>
          </w:p>
        </w:tc>
        <w:tc>
          <w:tcPr>
            <w:tcW w:type="dxa" w:w="3742"/>
          </w:tcPr>
          <w:p>
            <w:pPr>
              <w:spacing w:after="0"/>
            </w:pPr>
            <w:r/>
            <w:r>
              <w:rPr>
                <w:sz w:val="17"/>
              </w:rPr>
              <w:t>Lihat 1.10. Faktor akumulasi dan fraksi sisa bersifat (baku).</w:t>
            </w:r>
          </w:p>
        </w:tc>
      </w:tr>
    </w:tbl>
    <w:p>
      <w:pPr>
        <w:spacing w:after="40"/>
      </w:pPr>
    </w:p>
    <w:p>
      <w:r>
        <w:br w:type="page"/>
      </w:r>
    </w:p>
    <w:p>
      <w:pPr>
        <w:pStyle w:val="Heading1"/>
      </w:pPr>
      <w:bookmarkStart w:id="132" w:name="toc_032"/>
      <w:r>
        <w:t>5. QUICK TABLE AKHIR (3A. LOGAM BERAT)</w:t>
      </w:r>
      <w:bookmarkEnd w:id="132"/>
    </w:p>
    <w:p>
      <w:pPr>
        <w:spacing w:after="80"/>
      </w:pPr>
      <w:r>
        <w:rPr>
          <w:i/>
          <w:sz w:val="19"/>
        </w:rPr>
        <w:t>Kolom: Zat | Gejala klinis | Biomarker spesifik (sampel + waktu) | Antidotum / terapi kunci. Angka diambil dari jawaban NotebookLM di bagian 3A; periksa catatan kualitas di akhir dokumen untuk nilai yang berbeda antar sumber.</w:t>
      </w:r>
    </w:p>
    <w:tbl>
      <w:tblPr>
        <w:tblStyle w:val="TableGrid"/>
        <w:tblW w:type="auto" w:w="0"/>
        <w:tblLook w:firstColumn="1" w:firstRow="1" w:lastColumn="0" w:lastRow="0" w:noHBand="0" w:noVBand="1" w:val="04A0"/>
      </w:tblPr>
      <w:tblGrid>
        <w:gridCol w:w="2381"/>
        <w:gridCol w:w="2381"/>
        <w:gridCol w:w="2381"/>
        <w:gridCol w:w="2381"/>
      </w:tblGrid>
      <w:tr>
        <w:tc>
          <w:tcPr>
            <w:tcW w:type="dxa" w:w="1361"/>
            <w:shd w:val="clear" w:color="auto" w:fill="DCE6F1"/>
          </w:tcPr>
          <w:p>
            <w:pPr>
              <w:spacing w:after="0"/>
            </w:pPr>
            <w:r/>
            <w:r>
              <w:rPr>
                <w:b/>
                <w:sz w:val="16"/>
              </w:rPr>
              <w:t>Zat</w:t>
            </w:r>
          </w:p>
        </w:tc>
        <w:tc>
          <w:tcPr>
            <w:tcW w:type="dxa" w:w="2608"/>
            <w:shd w:val="clear" w:color="auto" w:fill="DCE6F1"/>
          </w:tcPr>
          <w:p>
            <w:pPr>
              <w:spacing w:after="0"/>
            </w:pPr>
            <w:r/>
            <w:r>
              <w:rPr>
                <w:b/>
                <w:sz w:val="16"/>
              </w:rPr>
              <w:t>Gejala klinis</w:t>
            </w:r>
          </w:p>
        </w:tc>
        <w:tc>
          <w:tcPr>
            <w:tcW w:type="dxa" w:w="3061"/>
            <w:shd w:val="clear" w:color="auto" w:fill="DCE6F1"/>
          </w:tcPr>
          <w:p>
            <w:pPr>
              <w:spacing w:after="0"/>
            </w:pPr>
            <w:r/>
            <w:r>
              <w:rPr>
                <w:b/>
                <w:sz w:val="16"/>
              </w:rPr>
              <w:t>Biomarker spesifik (sampel + waktu)</w:t>
            </w:r>
          </w:p>
        </w:tc>
        <w:tc>
          <w:tcPr>
            <w:tcW w:type="dxa" w:w="2608"/>
            <w:shd w:val="clear" w:color="auto" w:fill="DCE6F1"/>
          </w:tcPr>
          <w:p>
            <w:pPr>
              <w:spacing w:after="0"/>
            </w:pPr>
            <w:r/>
            <w:r>
              <w:rPr>
                <w:b/>
                <w:sz w:val="16"/>
              </w:rPr>
              <w:t>Antidotum / terapi kunci</w:t>
            </w:r>
          </w:p>
        </w:tc>
      </w:tr>
      <w:tr>
        <w:tc>
          <w:tcPr>
            <w:tcW w:type="dxa" w:w="1361"/>
          </w:tcPr>
          <w:p>
            <w:pPr>
              <w:spacing w:after="0"/>
            </w:pPr>
            <w:r/>
            <w:r>
              <w:rPr>
                <w:b/>
                <w:sz w:val="16"/>
              </w:rPr>
              <w:t>Kromium (Cr VI)</w:t>
            </w:r>
          </w:p>
        </w:tc>
        <w:tc>
          <w:tcPr>
            <w:tcW w:type="dxa" w:w="2608"/>
          </w:tcPr>
          <w:p>
            <w:pPr>
              <w:spacing w:after="0"/>
            </w:pPr>
            <w:r/>
            <w:r>
              <w:rPr>
                <w:sz w:val="16"/>
              </w:rPr>
              <w:t>Ulkus/perforasi septum nasi, chrome holes, dermatitis kontak alergi, asma, kanker paru dan sinonasal</w:t>
            </w:r>
          </w:p>
        </w:tc>
        <w:tc>
          <w:tcPr>
            <w:tcW w:type="dxa" w:w="3061"/>
          </w:tcPr>
          <w:p>
            <w:pPr>
              <w:spacing w:after="0"/>
            </w:pPr>
            <w:r/>
            <w:r>
              <w:rPr>
                <w:sz w:val="16"/>
              </w:rPr>
              <w:t>Kromium total urin, akhir shift akhir minggu kerja. IPB Permenaker/ACGIH lama 25 µg/L (peningkatan selama shift 10 µg/L); ACGIH 2026 berbasis populasi 0,7 µg/L. Cr eritrosit (waktu bebas) untuk dosis kumulatif Cr VI</w:t>
            </w:r>
          </w:p>
        </w:tc>
        <w:tc>
          <w:tcPr>
            <w:tcW w:type="dxa" w:w="2608"/>
          </w:tcPr>
          <w:p>
            <w:pPr>
              <w:spacing w:after="0"/>
            </w:pPr>
            <w:r/>
            <w:r>
              <w:rPr>
                <w:sz w:val="16"/>
              </w:rPr>
              <w:t>Dekontaminasi dan suportif. Tidak ada antidotum spesifik; BAL terbatas; DMSA/CaNa2EDTA dipertimbangkan pada fase awal ingesti</w:t>
            </w:r>
          </w:p>
        </w:tc>
      </w:tr>
      <w:tr>
        <w:tc>
          <w:tcPr>
            <w:tcW w:type="dxa" w:w="1361"/>
          </w:tcPr>
          <w:p>
            <w:pPr>
              <w:spacing w:after="0"/>
            </w:pPr>
            <w:r/>
            <w:r>
              <w:rPr>
                <w:b/>
                <w:sz w:val="16"/>
              </w:rPr>
              <w:t>Merkuri (Hg)</w:t>
            </w:r>
          </w:p>
        </w:tc>
        <w:tc>
          <w:tcPr>
            <w:tcW w:type="dxa" w:w="2608"/>
          </w:tcPr>
          <w:p>
            <w:pPr>
              <w:spacing w:after="0"/>
            </w:pPr>
            <w:r/>
            <w:r>
              <w:rPr>
                <w:sz w:val="16"/>
              </w:rPr>
              <w:t>Tremor, eretisme, gingivostomatitis, nefropati, akrodinia; MeHg: gangguan sensorik/cerebellar (Minamata)</w:t>
            </w:r>
          </w:p>
        </w:tc>
        <w:tc>
          <w:tcPr>
            <w:tcW w:type="dxa" w:w="3061"/>
          </w:tcPr>
          <w:p>
            <w:pPr>
              <w:spacing w:after="0"/>
            </w:pPr>
            <w:r/>
            <w:r>
              <w:rPr>
                <w:sz w:val="16"/>
              </w:rPr>
              <w:t>Hg anorganik urin, sebelum shift: 20 µg/g kreatinin (BEI ACGIH dan IPB Permenaker); &gt;100 µg/g kreatinin = medical removal + evaluasi kelasi. Hg darah/rambut untuk metilmerkuri</w:t>
            </w:r>
          </w:p>
        </w:tc>
        <w:tc>
          <w:tcPr>
            <w:tcW w:type="dxa" w:w="2608"/>
          </w:tcPr>
          <w:p>
            <w:pPr>
              <w:spacing w:after="0"/>
            </w:pPr>
            <w:r/>
            <w:r>
              <w:rPr>
                <w:sz w:val="16"/>
              </w:rPr>
              <w:t xml:space="preserve">DMSA (oral) atau DMPS; </w:t>
            </w:r>
            <w:r>
              <w:rPr>
                <w:b/>
                <w:sz w:val="16"/>
              </w:rPr>
              <w:t>BAL dikontraindikasikan pada Hg elemental dan metilmerkuri</w:t>
            </w:r>
          </w:p>
        </w:tc>
      </w:tr>
      <w:tr>
        <w:tc>
          <w:tcPr>
            <w:tcW w:type="dxa" w:w="1361"/>
          </w:tcPr>
          <w:p>
            <w:pPr>
              <w:spacing w:after="0"/>
            </w:pPr>
            <w:r/>
            <w:r>
              <w:rPr>
                <w:b/>
                <w:sz w:val="16"/>
              </w:rPr>
              <w:t>Arsen (As)</w:t>
            </w:r>
          </w:p>
        </w:tc>
        <w:tc>
          <w:tcPr>
            <w:tcW w:type="dxa" w:w="2608"/>
          </w:tcPr>
          <w:p>
            <w:pPr>
              <w:spacing w:after="0"/>
            </w:pPr>
            <w:r/>
            <w:r>
              <w:rPr>
                <w:sz w:val="16"/>
              </w:rPr>
              <w:t>Akut: gastroenteritis berat, Mees lines; kronis: hiperkeratosis, hiperpigmentasi, neuropati, kanker kulit/paru/kandung kemih; arsin: hemolisis</w:t>
            </w:r>
          </w:p>
        </w:tc>
        <w:tc>
          <w:tcPr>
            <w:tcW w:type="dxa" w:w="3061"/>
          </w:tcPr>
          <w:p>
            <w:pPr>
              <w:spacing w:after="0"/>
            </w:pPr>
            <w:r/>
            <w:r>
              <w:rPr>
                <w:sz w:val="16"/>
              </w:rPr>
              <w:t>As anorganik + MMA + DMA urin, akhir shift akhir minggu kerja, puasa seafood 48 sampai 72 jam. ACGIH 2026 15 µg/g kreatinin (Pop); IPB Permenaker 35 µg As/L</w:t>
            </w:r>
          </w:p>
        </w:tc>
        <w:tc>
          <w:tcPr>
            <w:tcW w:type="dxa" w:w="2608"/>
          </w:tcPr>
          <w:p>
            <w:pPr>
              <w:spacing w:after="0"/>
            </w:pPr>
            <w:r/>
            <w:r>
              <w:rPr>
                <w:sz w:val="16"/>
              </w:rPr>
              <w:t xml:space="preserve">BAL/DMPS/DMSA pada keracunan arsen. </w:t>
            </w:r>
            <w:r>
              <w:rPr>
                <w:b/>
                <w:sz w:val="16"/>
              </w:rPr>
              <w:t>Arsin: transfusi tukar, suportif; kelasi tidak bermanfaat</w:t>
            </w:r>
          </w:p>
        </w:tc>
      </w:tr>
      <w:tr>
        <w:tc>
          <w:tcPr>
            <w:tcW w:type="dxa" w:w="1361"/>
          </w:tcPr>
          <w:p>
            <w:pPr>
              <w:spacing w:after="0"/>
            </w:pPr>
            <w:r/>
            <w:r>
              <w:rPr>
                <w:b/>
                <w:sz w:val="16"/>
              </w:rPr>
              <w:t>Timbal (Pb)</w:t>
            </w:r>
          </w:p>
        </w:tc>
        <w:tc>
          <w:tcPr>
            <w:tcW w:type="dxa" w:w="2608"/>
          </w:tcPr>
          <w:p>
            <w:pPr>
              <w:spacing w:after="0"/>
            </w:pPr>
            <w:r/>
            <w:r>
              <w:rPr>
                <w:sz w:val="16"/>
              </w:rPr>
              <w:t>Kolik abdomen, anemia (basophilic stippling), neuropati motorik, ensefalopati, nefropati, hipertensi, garis Burton</w:t>
            </w:r>
          </w:p>
        </w:tc>
        <w:tc>
          <w:tcPr>
            <w:tcW w:type="dxa" w:w="3061"/>
          </w:tcPr>
          <w:p>
            <w:pPr>
              <w:spacing w:after="0"/>
            </w:pPr>
            <w:r/>
            <w:r>
              <w:rPr>
                <w:sz w:val="16"/>
              </w:rPr>
              <w:t>BLL (darah): BEI 200 µg/L (20 µg/dL); ZPP sebagai pelengkap (ZPP tinggi dengan BLL rendah = pajanan lama/kelasi diam-diam/defisiensi besi)</w:t>
            </w:r>
          </w:p>
        </w:tc>
        <w:tc>
          <w:tcPr>
            <w:tcW w:type="dxa" w:w="2608"/>
          </w:tcPr>
          <w:p>
            <w:pPr>
              <w:spacing w:after="0"/>
            </w:pPr>
            <w:r/>
            <w:r>
              <w:rPr>
                <w:sz w:val="16"/>
              </w:rPr>
              <w:t>Kelasi (CaNa2EDTA, DMSA/succimer) sesuai BLL dan gejala: BLL 50 sampai 79 µg/dL hanya bila bergejala; ≥80 sampai 100 atau ensefalopati = rawat inap dan kelasi agresif. Perhatikan urutan pada ensefalopati (lihat 3A.4)</w:t>
            </w:r>
          </w:p>
        </w:tc>
      </w:tr>
      <w:tr>
        <w:tc>
          <w:tcPr>
            <w:tcW w:type="dxa" w:w="1361"/>
          </w:tcPr>
          <w:p>
            <w:pPr>
              <w:spacing w:after="0"/>
            </w:pPr>
            <w:r/>
            <w:r>
              <w:rPr>
                <w:b/>
                <w:sz w:val="16"/>
              </w:rPr>
              <w:t>Kadmium (Cd)</w:t>
            </w:r>
          </w:p>
        </w:tc>
        <w:tc>
          <w:tcPr>
            <w:tcW w:type="dxa" w:w="2608"/>
          </w:tcPr>
          <w:p>
            <w:pPr>
              <w:spacing w:after="0"/>
            </w:pPr>
            <w:r/>
            <w:r>
              <w:rPr>
                <w:sz w:val="16"/>
              </w:rPr>
              <w:t>Nefropati tubular proksimal, proteinuria molekul rendah (β2-MG), osteomalasia/itai-itai, emfisema, kanker paru; akut: pneumonitis kimia (laten 4 sampai 12 jam)</w:t>
            </w:r>
          </w:p>
        </w:tc>
        <w:tc>
          <w:tcPr>
            <w:tcW w:type="dxa" w:w="3061"/>
          </w:tcPr>
          <w:p>
            <w:pPr>
              <w:spacing w:after="0"/>
            </w:pPr>
            <w:r/>
            <w:r>
              <w:rPr>
                <w:sz w:val="16"/>
              </w:rPr>
              <w:t>Cd urin: 5 µg/g kreatinin (beban tubuh); Cd darah: 5 µg/L (pajanan terkini); β2-mikroglobulin urin sebagai efek</w:t>
            </w:r>
          </w:p>
        </w:tc>
        <w:tc>
          <w:tcPr>
            <w:tcW w:type="dxa" w:w="2608"/>
          </w:tcPr>
          <w:p>
            <w:pPr>
              <w:spacing w:after="0"/>
            </w:pPr>
            <w:r/>
            <w:r>
              <w:rPr>
                <w:b/>
                <w:sz w:val="16"/>
              </w:rPr>
              <w:t>Kelasi (BAL, EDTA) dikontraindikasikan</w:t>
            </w:r>
            <w:r>
              <w:rPr>
                <w:sz w:val="16"/>
              </w:rPr>
              <w:t xml:space="preserve"> (memperberat nefrotoksisitas). Akut: suportif, kortikosteroid dipertimbangkan</w:t>
            </w:r>
          </w:p>
        </w:tc>
      </w:tr>
      <w:tr>
        <w:tc>
          <w:tcPr>
            <w:tcW w:type="dxa" w:w="1361"/>
          </w:tcPr>
          <w:p>
            <w:pPr>
              <w:spacing w:after="0"/>
            </w:pPr>
            <w:r/>
            <w:r>
              <w:rPr>
                <w:b/>
                <w:sz w:val="16"/>
              </w:rPr>
              <w:t>Mangan (Mn)</w:t>
            </w:r>
          </w:p>
        </w:tc>
        <w:tc>
          <w:tcPr>
            <w:tcW w:type="dxa" w:w="2608"/>
          </w:tcPr>
          <w:p>
            <w:pPr>
              <w:spacing w:after="0"/>
            </w:pPr>
            <w:r/>
            <w:r>
              <w:rPr>
                <w:sz w:val="16"/>
              </w:rPr>
              <w:t>Manganisme: fase awal psikiatrik (locura manganica), lanjut ekstrapiramidal; pembeda dari Parkinson (respons levodopa buruk)</w:t>
            </w:r>
          </w:p>
        </w:tc>
        <w:tc>
          <w:tcPr>
            <w:tcW w:type="dxa" w:w="3061"/>
          </w:tcPr>
          <w:p>
            <w:pPr>
              <w:spacing w:after="0"/>
            </w:pPr>
            <w:r/>
            <w:r>
              <w:rPr>
                <w:b/>
                <w:sz w:val="16"/>
              </w:rPr>
              <w:t>Tidak ada BEI ACGIH.</w:t>
            </w:r>
            <w:r>
              <w:rPr>
                <w:sz w:val="16"/>
              </w:rPr>
              <w:t xml:space="preserve"> Mn darah (rujukan 4 sampai 15 µg/L), MRI T1 pallidal</w:t>
            </w:r>
          </w:p>
        </w:tc>
        <w:tc>
          <w:tcPr>
            <w:tcW w:type="dxa" w:w="2608"/>
          </w:tcPr>
          <w:p>
            <w:pPr>
              <w:spacing w:after="0"/>
            </w:pPr>
            <w:r/>
            <w:r>
              <w:rPr>
                <w:sz w:val="16"/>
              </w:rPr>
              <w:t>Hentikan pajanan; CaNa2EDTA efektivitas terbatas karena sulit menembus sawar darah otak; Na-PAS dilaporkan memperbaiki klinis</w:t>
            </w:r>
          </w:p>
        </w:tc>
      </w:tr>
      <w:tr>
        <w:tc>
          <w:tcPr>
            <w:tcW w:type="dxa" w:w="1361"/>
          </w:tcPr>
          <w:p>
            <w:pPr>
              <w:spacing w:after="0"/>
            </w:pPr>
            <w:r/>
            <w:r>
              <w:rPr>
                <w:b/>
                <w:sz w:val="16"/>
              </w:rPr>
              <w:t>Nikel (Ni)</w:t>
            </w:r>
          </w:p>
        </w:tc>
        <w:tc>
          <w:tcPr>
            <w:tcW w:type="dxa" w:w="2608"/>
          </w:tcPr>
          <w:p>
            <w:pPr>
              <w:spacing w:after="0"/>
            </w:pPr>
            <w:r/>
            <w:r>
              <w:rPr>
                <w:sz w:val="16"/>
              </w:rPr>
              <w:t>Dermatitis kontak alergi, asma/rinitis, perforasi septum, kanker paru dan sinonasal; nikel karbonil: pneumonitis tertunda</w:t>
            </w:r>
          </w:p>
        </w:tc>
        <w:tc>
          <w:tcPr>
            <w:tcW w:type="dxa" w:w="3061"/>
          </w:tcPr>
          <w:p>
            <w:pPr>
              <w:spacing w:after="0"/>
            </w:pPr>
            <w:r/>
            <w:r>
              <w:rPr>
                <w:sz w:val="16"/>
              </w:rPr>
              <w:t>Ni urin/serum. Notebook mencantumkan nilai BEI 30 µg/L dan 5 µg/L (spesimen: lihat 3A.7; verifikasi pada buku BEI ACGIH 2026)</w:t>
            </w:r>
          </w:p>
        </w:tc>
        <w:tc>
          <w:tcPr>
            <w:tcW w:type="dxa" w:w="2608"/>
          </w:tcPr>
          <w:p>
            <w:pPr>
              <w:spacing w:after="0"/>
            </w:pPr>
            <w:r/>
            <w:r>
              <w:rPr>
                <w:sz w:val="16"/>
              </w:rPr>
              <w:t>Nikel karbonil: dietilditiokarbamat (Na-DDC, ditiokarb); CaNa2EDTA tidak mencegah kematian paru. Dermatitis: hindari kontak</w:t>
            </w:r>
          </w:p>
        </w:tc>
      </w:tr>
      <w:tr>
        <w:tc>
          <w:tcPr>
            <w:tcW w:type="dxa" w:w="1361"/>
          </w:tcPr>
          <w:p>
            <w:pPr>
              <w:spacing w:after="0"/>
            </w:pPr>
            <w:r/>
            <w:r>
              <w:rPr>
                <w:b/>
                <w:sz w:val="16"/>
              </w:rPr>
              <w:t>Berilium (Be)</w:t>
            </w:r>
          </w:p>
        </w:tc>
        <w:tc>
          <w:tcPr>
            <w:tcW w:type="dxa" w:w="2608"/>
          </w:tcPr>
          <w:p>
            <w:pPr>
              <w:spacing w:after="0"/>
            </w:pPr>
            <w:r/>
            <w:r>
              <w:rPr>
                <w:sz w:val="16"/>
              </w:rPr>
              <w:t>Akut: pneumonitis kimia, dermatitis; kronis: sensitisasi (BeS) dan chronic beryllium disease (granuloma non-kaseosa), kanker paru</w:t>
            </w:r>
          </w:p>
        </w:tc>
        <w:tc>
          <w:tcPr>
            <w:tcW w:type="dxa" w:w="3061"/>
          </w:tcPr>
          <w:p>
            <w:pPr>
              <w:spacing w:after="0"/>
            </w:pPr>
            <w:r/>
            <w:r>
              <w:rPr>
                <w:b/>
                <w:sz w:val="16"/>
              </w:rPr>
              <w:t>Tidak ada BEI.</w:t>
            </w:r>
            <w:r>
              <w:rPr>
                <w:sz w:val="16"/>
              </w:rPr>
              <w:t xml:space="preserve"> BeLPT darah (berulang) untuk sensitisasi; BAL-BeLPT/biopsi untuk CBD</w:t>
            </w:r>
          </w:p>
        </w:tc>
        <w:tc>
          <w:tcPr>
            <w:tcW w:type="dxa" w:w="2608"/>
          </w:tcPr>
          <w:p>
            <w:pPr>
              <w:spacing w:after="0"/>
            </w:pPr>
            <w:r/>
            <w:r>
              <w:rPr>
                <w:sz w:val="16"/>
              </w:rPr>
              <w:t xml:space="preserve">Kortikosteroid sistemik untuk CBD bergejala/fungsi paru memburuk; hentikan pajanan; </w:t>
            </w:r>
            <w:r>
              <w:rPr>
                <w:b/>
                <w:sz w:val="16"/>
              </w:rPr>
              <w:t>tidak ada antidotum, kelasi tidak efektif</w:t>
            </w:r>
          </w:p>
        </w:tc>
      </w:tr>
      <w:tr>
        <w:tc>
          <w:tcPr>
            <w:tcW w:type="dxa" w:w="1361"/>
          </w:tcPr>
          <w:p>
            <w:pPr>
              <w:spacing w:after="0"/>
            </w:pPr>
            <w:r/>
            <w:r>
              <w:rPr>
                <w:b/>
                <w:sz w:val="16"/>
              </w:rPr>
              <w:t>Kobalt / hard metal</w:t>
            </w:r>
          </w:p>
        </w:tc>
        <w:tc>
          <w:tcPr>
            <w:tcW w:type="dxa" w:w="2608"/>
          </w:tcPr>
          <w:p>
            <w:pPr>
              <w:spacing w:after="0"/>
            </w:pPr>
            <w:r/>
            <w:r>
              <w:rPr>
                <w:sz w:val="16"/>
              </w:rPr>
              <w:t>Asma okupasi, hard metal lung disease (GIP, fibrosis), kardiomiopati, dermatitis</w:t>
            </w:r>
          </w:p>
        </w:tc>
        <w:tc>
          <w:tcPr>
            <w:tcW w:type="dxa" w:w="3061"/>
          </w:tcPr>
          <w:p>
            <w:pPr>
              <w:spacing w:after="0"/>
            </w:pPr>
            <w:r/>
            <w:r>
              <w:rPr>
                <w:sz w:val="16"/>
              </w:rPr>
              <w:t>Co urin: BEI 15 µg/L (Co darah: Nq)</w:t>
            </w:r>
          </w:p>
        </w:tc>
        <w:tc>
          <w:tcPr>
            <w:tcW w:type="dxa" w:w="2608"/>
          </w:tcPr>
          <w:p>
            <w:pPr>
              <w:spacing w:after="0"/>
            </w:pPr>
            <w:r/>
            <w:r>
              <w:rPr>
                <w:sz w:val="16"/>
              </w:rPr>
              <w:t xml:space="preserve">Hentikan pajanan (medical removal), bronkodilator/kortikosteroid; </w:t>
            </w:r>
            <w:r>
              <w:rPr>
                <w:b/>
                <w:sz w:val="16"/>
              </w:rPr>
              <w:t>kelasi tidak efektif</w:t>
            </w:r>
          </w:p>
        </w:tc>
      </w:tr>
      <w:tr>
        <w:tc>
          <w:tcPr>
            <w:tcW w:type="dxa" w:w="1361"/>
          </w:tcPr>
          <w:p>
            <w:pPr>
              <w:spacing w:after="0"/>
            </w:pPr>
            <w:r/>
            <w:r>
              <w:rPr>
                <w:b/>
                <w:sz w:val="16"/>
              </w:rPr>
              <w:t>Seng (Zn)</w:t>
            </w:r>
          </w:p>
        </w:tc>
        <w:tc>
          <w:tcPr>
            <w:tcW w:type="dxa" w:w="2608"/>
          </w:tcPr>
          <w:p>
            <w:pPr>
              <w:spacing w:after="0"/>
            </w:pPr>
            <w:r/>
            <w:r>
              <w:rPr>
                <w:sz w:val="16"/>
              </w:rPr>
              <w:t>Metal fume fever: demam, menggigil, mialgia, leukositosis, onset 4 sampai 12 jam, sembuh sendiri, tachyphylaxis</w:t>
            </w:r>
          </w:p>
        </w:tc>
        <w:tc>
          <w:tcPr>
            <w:tcW w:type="dxa" w:w="3061"/>
          </w:tcPr>
          <w:p>
            <w:pPr>
              <w:spacing w:after="0"/>
            </w:pPr>
            <w:r/>
            <w:r>
              <w:rPr>
                <w:sz w:val="16"/>
              </w:rPr>
              <w:t>Tidak ada BEI</w:t>
            </w:r>
          </w:p>
        </w:tc>
        <w:tc>
          <w:tcPr>
            <w:tcW w:type="dxa" w:w="2608"/>
          </w:tcPr>
          <w:p>
            <w:pPr>
              <w:spacing w:after="0"/>
            </w:pPr>
            <w:r/>
            <w:r>
              <w:rPr>
                <w:sz w:val="16"/>
              </w:rPr>
              <w:t xml:space="preserve">Suportif/simtomatik; </w:t>
            </w:r>
            <w:r>
              <w:rPr>
                <w:b/>
                <w:sz w:val="16"/>
              </w:rPr>
              <w:t>kelasi tidak diindikasikan</w:t>
            </w:r>
          </w:p>
        </w:tc>
      </w:tr>
      <w:tr>
        <w:tc>
          <w:tcPr>
            <w:tcW w:type="dxa" w:w="1361"/>
          </w:tcPr>
          <w:p>
            <w:pPr>
              <w:spacing w:after="0"/>
            </w:pPr>
            <w:r/>
            <w:r>
              <w:rPr>
                <w:b/>
                <w:sz w:val="16"/>
              </w:rPr>
              <w:t>Talium (Tl)</w:t>
            </w:r>
          </w:p>
        </w:tc>
        <w:tc>
          <w:tcPr>
            <w:tcW w:type="dxa" w:w="2608"/>
          </w:tcPr>
          <w:p>
            <w:pPr>
              <w:spacing w:after="0"/>
            </w:pPr>
            <w:r/>
            <w:r>
              <w:rPr>
                <w:sz w:val="16"/>
              </w:rPr>
              <w:t>Nyeri neuropati, GI; alopesia 2 sampai 3 minggu, neuropati ascending, garis Mees</w:t>
            </w:r>
          </w:p>
        </w:tc>
        <w:tc>
          <w:tcPr>
            <w:tcW w:type="dxa" w:w="3061"/>
          </w:tcPr>
          <w:p>
            <w:pPr>
              <w:spacing w:after="0"/>
            </w:pPr>
            <w:r/>
            <w:r>
              <w:rPr>
                <w:sz w:val="16"/>
              </w:rPr>
              <w:t>Tl urin; tidak ada BEI (lihat 3A.11)</w:t>
            </w:r>
          </w:p>
        </w:tc>
        <w:tc>
          <w:tcPr>
            <w:tcW w:type="dxa" w:w="2608"/>
          </w:tcPr>
          <w:p>
            <w:pPr>
              <w:spacing w:after="0"/>
            </w:pPr>
            <w:r/>
            <w:r>
              <w:rPr>
                <w:sz w:val="16"/>
              </w:rPr>
              <w:t xml:space="preserve">Prussian blue oral, arang aktif berulang, hemodialisis; </w:t>
            </w:r>
            <w:r>
              <w:rPr>
                <w:b/>
                <w:sz w:val="16"/>
              </w:rPr>
              <w:t>hindari Na-DDC</w:t>
            </w:r>
            <w:r>
              <w:rPr>
                <w:sz w:val="16"/>
              </w:rPr>
              <w:t xml:space="preserve"> dan hati-hati mobilisasi kalium</w:t>
            </w:r>
          </w:p>
        </w:tc>
      </w:tr>
    </w:tbl>
    <w:p>
      <w:pPr>
        <w:spacing w:after="40"/>
      </w:pPr>
    </w:p>
    <w:p>
      <w:r>
        <w:br w:type="page"/>
      </w:r>
    </w:p>
    <w:p>
      <w:pPr>
        <w:pStyle w:val="Heading1"/>
      </w:pPr>
      <w:bookmarkStart w:id="133" w:name="toc_033"/>
      <w:r>
        <w:t>6. BAGIAN PENUTUP (3A. LOGAM BERAT)</w:t>
      </w:r>
      <w:bookmarkEnd w:id="133"/>
    </w:p>
    <w:p>
      <w:pPr>
        <w:pStyle w:val="Heading2"/>
      </w:pPr>
      <w:bookmarkStart w:id="134" w:name="toc_034"/>
      <w:r>
        <w:t>6.1 Lafaz OSCE: satu kalimat per zat prioritas</w:t>
      </w:r>
      <w:bookmarkEnd w:id="134"/>
    </w:p>
    <w:p>
      <w:pPr>
        <w:spacing w:after="80"/>
      </w:pPr>
      <w:r>
        <w:rPr>
          <w:i/>
          <w:sz w:val="19"/>
        </w:rPr>
        <w:t>Disusun dari ringkasan bagian 3A dan Quick Table. Gunakan sebagai kerangka jawaban lisan.</w:t>
      </w:r>
    </w:p>
    <w:p>
      <w:pPr>
        <w:pStyle w:val="ListBullet"/>
        <w:spacing w:after="20"/>
      </w:pPr>
      <w:r>
        <w:rPr>
          <w:b/>
        </w:rPr>
        <w:t>Timbal:</w:t>
      </w:r>
      <w:r>
        <w:rPr/>
        <w:t xml:space="preserve"> "Pekerja ini keracunan timbal dengan BLL berapa pun yang bergejala aktif; tarik dari pajanan, ukur BLL dan ZPP, dan kelasi sesuai ambang BLL dan gejala, dengan BEI 200 µg/L sebagai acuan pemantauan."</w:t>
      </w:r>
    </w:p>
    <w:p>
      <w:pPr>
        <w:pStyle w:val="ListBullet"/>
        <w:spacing w:after="20"/>
      </w:pPr>
      <w:r>
        <w:rPr>
          <w:b/>
        </w:rPr>
        <w:t>Merkuri:</w:t>
      </w:r>
      <w:r>
        <w:rPr/>
        <w:t xml:space="preserve"> "Hg anorganik urin sebelum shift dibandingkan BEI 20 µg/g kreatinin; pada Hg elemental dan metilmerkuri BAL dikontraindikasikan, gunakan DMSA atau DMPS."</w:t>
      </w:r>
    </w:p>
    <w:p>
      <w:pPr>
        <w:pStyle w:val="ListBullet"/>
        <w:spacing w:after="20"/>
      </w:pPr>
      <w:r>
        <w:rPr>
          <w:b/>
        </w:rPr>
        <w:t>Arsen:</w:t>
      </w:r>
      <w:r>
        <w:rPr/>
        <w:t xml:space="preserve"> "Pemeriksaan urin harus dispesiasi dan pekerja puasa seafood 48 sampai 72 jam, karena arsenobetain memberi hasil semu tinggi; arsin ditangani dengan transfusi tukar, bukan kelasi."</w:t>
      </w:r>
    </w:p>
    <w:p>
      <w:pPr>
        <w:pStyle w:val="ListBullet"/>
        <w:spacing w:after="20"/>
      </w:pPr>
      <w:r>
        <w:rPr>
          <w:b/>
        </w:rPr>
        <w:t>Kadmium:</w:t>
      </w:r>
      <w:r>
        <w:rPr/>
        <w:t xml:space="preserve"> "Nefropati tubular ditandai β2-mikroglobulin urin; kelasi dengan BAL atau EDTA dikontraindikasikan."</w:t>
      </w:r>
    </w:p>
    <w:p>
      <w:pPr>
        <w:pStyle w:val="ListBullet"/>
        <w:spacing w:after="20"/>
      </w:pPr>
      <w:r>
        <w:rPr>
          <w:b/>
        </w:rPr>
        <w:t>Kromium VI:</w:t>
      </w:r>
      <w:r>
        <w:rPr/>
        <w:t xml:space="preserve"> "Septum nasi berulserasi dan kanker paru pada pekerja pelapisan krom; Cr VI karsinogen Grup 1, dan NAB Permenaker 5/2018 lebih tua daripada TLV ACGIH terbaru."</w:t>
      </w:r>
    </w:p>
    <w:p>
      <w:pPr>
        <w:pStyle w:val="ListBullet"/>
        <w:spacing w:after="20"/>
      </w:pPr>
      <w:r>
        <w:rPr>
          <w:b/>
        </w:rPr>
        <w:t>Mangan:</w:t>
      </w:r>
      <w:r>
        <w:rPr/>
        <w:t xml:space="preserve"> "Gejala ekstrapiramidal pada pengelas tanpa respons levodopa mengarah ke manganisme, bukan Parkinson; tidak ada BEI ACGIH sehingga diagnosis bertumpu pada riwayat pajanan, klinis, dan MRI T1."</w:t>
      </w:r>
    </w:p>
    <w:p>
      <w:pPr>
        <w:pStyle w:val="ListBullet"/>
        <w:spacing w:after="20"/>
      </w:pPr>
      <w:r>
        <w:rPr>
          <w:b/>
        </w:rPr>
        <w:t>Nikel:</w:t>
      </w:r>
      <w:r>
        <w:rPr/>
        <w:t xml:space="preserve"> "Dermatitis kontak alergi dan kanker sinonasal pada pemurnian nikel; keracunan nikel karbonil memerlukan observasi panjang karena gejala tertunda, dengan dietilditiokarbamat sebagai antidotum."</w:t>
      </w:r>
    </w:p>
    <w:p>
      <w:pPr>
        <w:pStyle w:val="ListBullet"/>
        <w:spacing w:after="20"/>
      </w:pPr>
      <w:r>
        <w:rPr>
          <w:b/>
        </w:rPr>
        <w:t>Berilium:</w:t>
      </w:r>
      <w:r>
        <w:rPr/>
        <w:t xml:space="preserve"> "BeLPT positif berulang dengan granuloma non-kaseosa adalah penyakit berilium kronik; tidak ada BEI dan tidak ada antidotum, terapi utamanya kortikosteroid dan penghentian pajanan."</w:t>
      </w:r>
    </w:p>
    <w:p>
      <w:pPr>
        <w:pStyle w:val="ListBullet"/>
        <w:spacing w:after="20"/>
      </w:pPr>
      <w:r>
        <w:rPr>
          <w:b/>
        </w:rPr>
        <w:t>Kobalt/hard metal:</w:t>
      </w:r>
      <w:r>
        <w:rPr/>
        <w:t xml:space="preserve"> "Hard metal lung disease dengan giant cell interstitial pneumonia memerlukan penghentian pajanan dan kortikosteroid; kelasi tidak berguna."</w:t>
      </w:r>
    </w:p>
    <w:p>
      <w:pPr>
        <w:pStyle w:val="ListBullet"/>
        <w:spacing w:after="20"/>
      </w:pPr>
      <w:r>
        <w:rPr>
          <w:b/>
        </w:rPr>
        <w:t>Seng:</w:t>
      </w:r>
      <w:r>
        <w:rPr/>
        <w:t xml:space="preserve"> "Demam dan menggigil 4 sampai 12 jam setelah pengelasan galvanis adalah metal fume fever, sembuh sendiri dalam sekitar 24 jam, tidak dikelasi."</w:t>
      </w:r>
    </w:p>
    <w:p>
      <w:pPr>
        <w:pStyle w:val="ListBullet"/>
        <w:spacing w:after="20"/>
      </w:pPr>
      <w:r>
        <w:rPr>
          <w:b/>
        </w:rPr>
        <w:t>Talium:</w:t>
      </w:r>
      <w:r>
        <w:rPr/>
        <w:t xml:space="preserve"> "Nyeri neuropati disusul rambut rontok 2 sampai 3 minggu mengarah ke talium; berikan Prussian blue dan arang aktif, hindari ditiokarb."</w:t>
      </w:r>
    </w:p>
    <w:p>
      <w:pPr>
        <w:pStyle w:val="Heading2"/>
      </w:pPr>
      <w:bookmarkStart w:id="135" w:name="toc_035"/>
      <w:r>
        <w:t>6.2 Vignette MCQ dan jawaban (3A)</w:t>
      </w:r>
      <w:bookmarkEnd w:id="135"/>
    </w:p>
    <w:p>
      <w:pPr>
        <w:spacing w:after="80"/>
      </w:pPr>
      <w:r>
        <w:rPr>
          <w:i/>
          <w:sz w:val="19"/>
        </w:rPr>
        <w:t>Skenario fiktif untuk latihan. Jawaban mengikuti isi bagian 3A di atas.</w:t>
      </w:r>
    </w:p>
    <w:p>
      <w:pPr>
        <w:spacing w:after="40"/>
      </w:pPr>
      <w:r>
        <w:rPr>
          <w:b/>
        </w:rPr>
        <w:t>Vignette 1 (Timbal)</w:t>
      </w:r>
    </w:p>
    <w:p>
      <w:pPr>
        <w:spacing w:after="40"/>
      </w:pPr>
      <w:r>
        <w:rPr/>
        <w:t>Pekerja pabrik aki 41 tahun mengeluh kolik abdomen berat dan lemah pergelangan tangan sejak 2 minggu. Hb 9,1 g/dL dengan basophilic stippling; BLL 62 µg/dL. Tidak ada tanda ensefalopati. Langkah paling tepat?</w:t>
      </w:r>
    </w:p>
    <w:p>
      <w:pPr>
        <w:spacing w:after="0"/>
        <w:ind w:left="454"/>
      </w:pPr>
      <w:r>
        <w:rPr/>
        <w:t>A. Observasi dan ulang BLL 3 bulan</w:t>
      </w:r>
    </w:p>
    <w:p>
      <w:pPr>
        <w:spacing w:after="0"/>
        <w:ind w:left="454"/>
      </w:pPr>
      <w:r>
        <w:rPr/>
        <w:t>B. Tarik dari pajanan dan beri terapi kelasi karena BLL 50 sampai 79 µg/dL dengan gejala aktif</w:t>
      </w:r>
    </w:p>
    <w:p>
      <w:pPr>
        <w:spacing w:after="0"/>
        <w:ind w:left="454"/>
      </w:pPr>
      <w:r>
        <w:rPr/>
        <w:t>C. Berikan BAL tunggal</w:t>
      </w:r>
    </w:p>
    <w:p>
      <w:pPr>
        <w:spacing w:after="0"/>
        <w:ind w:left="454"/>
      </w:pPr>
      <w:r>
        <w:rPr/>
        <w:t>D. Cukup suplementasi besi</w:t>
      </w:r>
    </w:p>
    <w:p>
      <w:pPr>
        <w:spacing w:after="0"/>
        <w:ind w:left="454"/>
      </w:pPr>
      <w:r>
        <w:rPr/>
        <w:t>E. Kembali bekerja dengan APD</w:t>
      </w:r>
    </w:p>
    <w:p>
      <w:pPr>
        <w:spacing w:after="160"/>
      </w:pPr>
      <w:r>
        <w:rPr>
          <w:b/>
          <w:sz w:val="19"/>
        </w:rPr>
        <w:t>Jawaban:</w:t>
      </w:r>
      <w:r>
        <w:rPr>
          <w:sz w:val="19"/>
        </w:rPr>
        <w:t xml:space="preserve"> B. Kelasi pada BLL 50 sampai 79 µg/dL dipertimbangkan bila ada gejala aktif, setelah pekerja ditarik dari pajanan (3A.4). A salah karena gejala aktif; C tidak dipakai tunggal; D dan E mengabaikan pajanan.</w:t>
      </w:r>
    </w:p>
    <w:p>
      <w:pPr>
        <w:spacing w:after="40"/>
      </w:pPr>
      <w:r>
        <w:rPr>
          <w:b/>
        </w:rPr>
        <w:t>Vignette 2 (Kadmium)</w:t>
      </w:r>
    </w:p>
    <w:p>
      <w:pPr>
        <w:spacing w:after="40"/>
      </w:pPr>
      <w:r>
        <w:rPr/>
        <w:t>Pekerja baterai Ni-Cd 52 tahun dengan proteinuria. β2-mikroglobulin urin meningkat, Cd urin 14 µg/g kreatinin (BEI 5). Terapi yang dikontraindikasikan?</w:t>
      </w:r>
    </w:p>
    <w:p>
      <w:pPr>
        <w:spacing w:after="0"/>
        <w:ind w:left="454"/>
      </w:pPr>
      <w:r>
        <w:rPr/>
        <w:t>A. Penghentian pajanan</w:t>
      </w:r>
    </w:p>
    <w:p>
      <w:pPr>
        <w:spacing w:after="0"/>
        <w:ind w:left="454"/>
      </w:pPr>
      <w:r>
        <w:rPr/>
        <w:t>B. Kelasi BAL atau CaNa2EDTA</w:t>
      </w:r>
    </w:p>
    <w:p>
      <w:pPr>
        <w:spacing w:after="0"/>
        <w:ind w:left="454"/>
      </w:pPr>
      <w:r>
        <w:rPr/>
        <w:t>C. Hidrasi dan pemantauan fungsi ginjal</w:t>
      </w:r>
    </w:p>
    <w:p>
      <w:pPr>
        <w:spacing w:after="0"/>
        <w:ind w:left="454"/>
      </w:pPr>
      <w:r>
        <w:rPr/>
        <w:t>D. Suplementasi kalsium dan vitamin D bila ada osteomalasia</w:t>
      </w:r>
    </w:p>
    <w:p>
      <w:pPr>
        <w:spacing w:after="0"/>
        <w:ind w:left="454"/>
      </w:pPr>
      <w:r>
        <w:rPr/>
        <w:t>E. Rujuk nefrologi</w:t>
      </w:r>
    </w:p>
    <w:p>
      <w:pPr>
        <w:spacing w:after="160"/>
      </w:pPr>
      <w:r>
        <w:rPr>
          <w:b/>
          <w:sz w:val="19"/>
        </w:rPr>
        <w:t>Jawaban:</w:t>
      </w:r>
      <w:r>
        <w:rPr>
          <w:sz w:val="19"/>
        </w:rPr>
        <w:t xml:space="preserve"> B. Kelasi BAL/EDTA pada nefropati kadmium dikontraindikasikan karena kompleks logam-kelator memperberat kerusakan tubulus (3A.5).</w:t>
      </w:r>
    </w:p>
    <w:p>
      <w:pPr>
        <w:spacing w:after="40"/>
      </w:pPr>
      <w:r>
        <w:rPr>
          <w:b/>
        </w:rPr>
        <w:t>Vignette 3 (Berilium)</w:t>
      </w:r>
    </w:p>
    <w:p>
      <w:pPr>
        <w:spacing w:after="40"/>
      </w:pPr>
      <w:r>
        <w:rPr/>
        <w:t>Pekerja pengecoran paduan Cu-Be 38 tahun, batuk dan sesak progresif. BeLPT darah positif dua kali; biopsi transbronkial menunjukkan granuloma non-kaseosa. Pernyataan yang benar?</w:t>
      </w:r>
    </w:p>
    <w:p>
      <w:pPr>
        <w:spacing w:after="0"/>
        <w:ind w:left="454"/>
      </w:pPr>
      <w:r>
        <w:rPr/>
        <w:t>A. BEI berilium urin digunakan untuk diagnosis</w:t>
      </w:r>
    </w:p>
    <w:p>
      <w:pPr>
        <w:spacing w:after="0"/>
        <w:ind w:left="454"/>
      </w:pPr>
      <w:r>
        <w:rPr/>
        <w:t>B. Kelasi CaNa2EDTA adalah terapi utama</w:t>
      </w:r>
    </w:p>
    <w:p>
      <w:pPr>
        <w:spacing w:after="0"/>
        <w:ind w:left="454"/>
      </w:pPr>
      <w:r>
        <w:rPr/>
        <w:t>C. Ini penyakit berilium kronik; terapi kortikosteroid sistemik dan penghentian pajanan</w:t>
      </w:r>
    </w:p>
    <w:p>
      <w:pPr>
        <w:spacing w:after="0"/>
        <w:ind w:left="454"/>
      </w:pPr>
      <w:r>
        <w:rPr/>
        <w:t>D. Kembali bekerja setelah steroid</w:t>
      </w:r>
    </w:p>
    <w:p>
      <w:pPr>
        <w:spacing w:after="0"/>
        <w:ind w:left="454"/>
      </w:pPr>
      <w:r>
        <w:rPr/>
        <w:t>E. Diagnosis sarkoidosis cukup</w:t>
      </w:r>
    </w:p>
    <w:p>
      <w:pPr>
        <w:spacing w:after="160"/>
      </w:pPr>
      <w:r>
        <w:rPr>
          <w:b/>
          <w:sz w:val="19"/>
        </w:rPr>
        <w:t>Jawaban:</w:t>
      </w:r>
      <w:r>
        <w:rPr>
          <w:sz w:val="19"/>
        </w:rPr>
        <w:t xml:space="preserve"> C. CBD adalah hipersensitivitas tipe IV; tidak ada BEI dan tidak ada antidotum; kortikosteroid dipakai pada penyakit bergejala atau fungsi paru memburuk (3A.8). E keliru karena BeLPT positif dan riwayat pajanan membedakan CBD dari sarkoidosis.</w:t>
      </w:r>
    </w:p>
    <w:p>
      <w:pPr>
        <w:spacing w:after="40"/>
      </w:pPr>
      <w:r>
        <w:rPr>
          <w:b/>
        </w:rPr>
        <w:t>Vignette 4 (Arsen, jebakan seafood)</w:t>
      </w:r>
    </w:p>
    <w:p>
      <w:pPr>
        <w:spacing w:after="40"/>
      </w:pPr>
      <w:r>
        <w:rPr/>
        <w:t>Pekerja peleburan tembaga: arsen urin total 480 µg/L pada sampel pagi setelah makan kerang semalam, tanpa gejala. Langkah berikut yang paling tepat?</w:t>
      </w:r>
    </w:p>
    <w:p>
      <w:pPr>
        <w:spacing w:after="0"/>
        <w:ind w:left="454"/>
      </w:pPr>
      <w:r>
        <w:rPr/>
        <w:t>A. Diagnosis keracunan arsen dan kelasi segera</w:t>
      </w:r>
    </w:p>
    <w:p>
      <w:pPr>
        <w:spacing w:after="0"/>
        <w:ind w:left="454"/>
      </w:pPr>
      <w:r>
        <w:rPr/>
        <w:t>B. Ulang pemeriksaan dengan spesiasi (iAs + MMA + DMA) setelah puasa seafood 48 sampai 72 jam</w:t>
      </w:r>
    </w:p>
    <w:p>
      <w:pPr>
        <w:spacing w:after="0"/>
        <w:ind w:left="454"/>
      </w:pPr>
      <w:r>
        <w:rPr/>
        <w:t>C. Abaikan karena asimtomatik</w:t>
      </w:r>
    </w:p>
    <w:p>
      <w:pPr>
        <w:spacing w:after="0"/>
        <w:ind w:left="454"/>
      </w:pPr>
      <w:r>
        <w:rPr/>
        <w:t>D. Transfusi tukar</w:t>
      </w:r>
    </w:p>
    <w:p>
      <w:pPr>
        <w:spacing w:after="0"/>
        <w:ind w:left="454"/>
      </w:pPr>
      <w:r>
        <w:rPr/>
        <w:t>E. Periksa kadar timbal</w:t>
      </w:r>
    </w:p>
    <w:p>
      <w:pPr>
        <w:spacing w:after="160"/>
      </w:pPr>
      <w:r>
        <w:rPr>
          <w:b/>
          <w:sz w:val="19"/>
        </w:rPr>
        <w:t>Jawaban:</w:t>
      </w:r>
      <w:r>
        <w:rPr>
          <w:sz w:val="19"/>
        </w:rPr>
        <w:t xml:space="preserve"> B. Arsenik total urin terdistorsi arsenobetain dari makanan laut; sampel yang benar adalah spesies anorganik ditambah metabolit termetilasi, akhir shift akhir minggu kerja (3A.3).</w:t>
      </w:r>
    </w:p>
    <w:p>
      <w:pPr>
        <w:pStyle w:val="Heading2"/>
      </w:pPr>
      <w:bookmarkStart w:id="136" w:name="toc_036"/>
      <w:r>
        <w:t>6.3 Vignette hitung ARKL (data hipotetis)</w:t>
      </w:r>
      <w:bookmarkEnd w:id="136"/>
    </w:p>
    <w:tbl>
      <w:tblPr>
        <w:tblStyle w:val="TableGrid"/>
        <w:tblW w:type="auto" w:w="0"/>
        <w:tblLook w:firstColumn="1" w:firstRow="1" w:lastColumn="0" w:lastRow="0" w:noHBand="0" w:noVBand="1" w:val="04A0"/>
      </w:tblPr>
      <w:tblGrid>
        <w:gridCol w:w="9524"/>
      </w:tblGrid>
      <w:tr>
        <w:tc>
          <w:tcPr>
            <w:tcW w:type="dxa" w:w="9524"/>
            <w:shd w:val="clear" w:color="auto" w:fill="E2EFDA"/>
          </w:tcPr>
          <w:p>
            <w:r/>
            <w:r>
              <w:rPr>
                <w:sz w:val="19"/>
              </w:rPr>
              <w:t>Semua angka di bawah ini hipotetis untuk latihan; nilai RfD dan CSF bukan nilai resmi suatu zat. Rumus mengikuti bagian 2.4 dan bagian 4.</w:t>
            </w:r>
          </w:p>
        </w:tc>
      </w:tr>
    </w:tbl>
    <w:p>
      <w:pPr>
        <w:spacing w:after="40"/>
      </w:pPr>
    </w:p>
    <w:p>
      <w:pPr>
        <w:spacing w:after="40"/>
      </w:pPr>
      <w:r>
        <w:rPr>
          <w:b/>
        </w:rPr>
        <w:t>A. Non-kanker.</w:t>
      </w:r>
      <w:r>
        <w:rPr/>
        <w:t xml:space="preserve"> Pekerja terpajan debu logam X di udara 0,02 mg/m3. Laju inhalasi R = 0,83 m3/jam, tE = 8 jam/hari, fE = 250 hari/tahun, Dt = 10 tahun, Wb = 70 kg, tavg = 10 × 365 = 3.650 hari, RfD inhalasi hipotetis = 1 × 10⁻³ mg/kg/hari.</w:t>
      </w:r>
    </w:p>
    <w:p>
      <w:pPr>
        <w:pStyle w:val="ListBullet"/>
        <w:spacing w:after="20"/>
      </w:pPr>
      <w:r>
        <w:rPr/>
        <w:t>Intake = (0,02 × 0,83 × 8 × 250 × 10) / (70 × 3.650) = 332 / 255.500 = 1,30 × 10⁻³ mg/kg/hari.</w:t>
      </w:r>
    </w:p>
    <w:p>
      <w:pPr>
        <w:pStyle w:val="ListBullet"/>
        <w:spacing w:after="20"/>
      </w:pPr>
      <w:r>
        <w:rPr/>
        <w:t>RQ = 1,30 × 10⁻³ / 1 × 10⁻³ = 1,30 → RQ &gt; 1, risiko tidak aman.</w:t>
      </w:r>
    </w:p>
    <w:p>
      <w:pPr>
        <w:pStyle w:val="ListBullet"/>
        <w:spacing w:after="20"/>
      </w:pPr>
      <w:r>
        <w:rPr/>
        <w:t>Konsentrasi aman = (RfD × Wb × tavg) / (R × tE × fE × Dt) = (10⁻³ × 255.500) / 16.600 = 0,0154 mg/m3. Konsentrasi saat ini harus diturunkan sekitar 23%.</w:t>
      </w:r>
    </w:p>
    <w:p>
      <w:pPr>
        <w:spacing w:after="40"/>
      </w:pPr>
      <w:r>
        <w:rPr>
          <w:b/>
        </w:rPr>
        <w:t>B. Kanker.</w:t>
      </w:r>
      <w:r>
        <w:rPr/>
        <w:t xml:space="preserve"> Karsinogen Y di udara 0,0005 mg/m3; R = 0,83 m3/jam, tE = 8 jam/hari, fE = 250 hari/tahun, Dt = 30 tahun, Wb = 70 kg, tavg = 70 × 365 = 25.550 hari, CSF hipotetis = 1,5 (mg/kg/hari)⁻¹.</w:t>
      </w:r>
    </w:p>
    <w:p>
      <w:pPr>
        <w:pStyle w:val="ListBullet"/>
        <w:spacing w:after="20"/>
      </w:pPr>
      <w:r>
        <w:rPr/>
        <w:t>Intake karsinogenik = (0,0005 × 0,83 × 8 × 250 × 30) / (70 × 25.550) = 24,9 / 1.788.500 = 1,39 × 10⁻⁵ mg/kg/hari.</w:t>
      </w:r>
    </w:p>
    <w:p>
      <w:pPr>
        <w:pStyle w:val="ListBullet"/>
        <w:spacing w:after="20"/>
      </w:pPr>
      <w:r>
        <w:rPr/>
        <w:t>ECR = 1,39 × 10⁻⁵ × 1,5 = 2,1 × 10⁻⁵.</w:t>
      </w:r>
    </w:p>
    <w:p>
      <w:pPr>
        <w:pStyle w:val="ListBullet"/>
        <w:spacing w:after="20"/>
      </w:pPr>
      <w:r>
        <w:rPr/>
        <w:t>Interpretasi: di atas 1 × 10⁻⁶ tetapi di bawah 1 × 10⁻⁴. Menurut batas Pedoman ARKL (1E-4) risiko masih dapat diterima, namun di atas target 1E-6 sehingga tetap perlu pengendalian dan pemantauan (prinsip ALARA).</w:t>
      </w:r>
    </w:p>
    <w:p>
      <w:pPr>
        <w:pStyle w:val="Heading1"/>
      </w:pPr>
      <w:bookmarkStart w:id="137" w:name="toc_037"/>
      <w:r>
        <w:t>7. CATATAN KUALITAS DAN HAL YANG PERLU DICEK</w:t>
      </w:r>
      <w:bookmarkEnd w:id="137"/>
    </w:p>
    <w:p>
      <w:pPr>
        <w:spacing w:after="80"/>
      </w:pPr>
      <w:r>
        <w:rPr>
          <w:i/>
          <w:sz w:val="19"/>
        </w:rPr>
        <w:t>Daftar ini dibuat agar jawaban yang kurang pasti tidak diterima begitu saja.</w:t>
      </w:r>
    </w:p>
    <w:p>
      <w:pPr>
        <w:pStyle w:val="ListBullet"/>
        <w:spacing w:after="20"/>
      </w:pPr>
      <w:r>
        <w:rPr>
          <w:b/>
          <w:sz w:val="20"/>
        </w:rPr>
        <w:t>PP 88/2019 sudah dicabut</w:t>
      </w:r>
      <w:r>
        <w:rPr>
          <w:sz w:val="20"/>
        </w:rPr>
        <w:t xml:space="preserve"> oleh PP 28/2024 (Pasal 1170) menurut NotebookLM; teks utuh PP 88/2019 tidak ada di notebook. Outline yang menyebut PP 88/2019 sebagai regulasi berlaku perlu diperbarui. Cek pasal pada PDF PP 28/2024.</w:t>
      </w:r>
    </w:p>
    <w:p>
      <w:pPr>
        <w:pStyle w:val="ListBullet"/>
        <w:spacing w:after="20"/>
      </w:pPr>
      <w:r>
        <w:rPr>
          <w:b/>
          <w:sz w:val="20"/>
        </w:rPr>
        <w:t>Dua versi BEI kromium:</w:t>
      </w:r>
      <w:r>
        <w:rPr>
          <w:sz w:val="20"/>
        </w:rPr>
        <w:t xml:space="preserve"> 25 µg/L (akhir shift akhir minggu kerja; dipakai IPB Permenaker 5/2018) dan 0,7 µg/L berbasis populasi (ACGIH 2026). Pastikan mana yang ditanyakan dosen.</w:t>
      </w:r>
    </w:p>
    <w:p>
      <w:pPr>
        <w:pStyle w:val="ListBullet"/>
        <w:spacing w:after="20"/>
      </w:pPr>
      <w:r>
        <w:rPr>
          <w:b/>
          <w:sz w:val="20"/>
        </w:rPr>
        <w:t>Nikel:</w:t>
      </w:r>
      <w:r>
        <w:rPr>
          <w:sz w:val="20"/>
        </w:rPr>
        <w:t xml:space="preserve"> notebook menyebut nilai BEI 30 µg/L dan 5 µg/L. Spesimen dan status BEI nikel perlu diverifikasi pada buku TLV/BEI ACGIH 2026 sebelum dihafal.</w:t>
      </w:r>
    </w:p>
    <w:p>
      <w:pPr>
        <w:pStyle w:val="ListBullet"/>
        <w:spacing w:after="20"/>
      </w:pPr>
      <w:r>
        <w:rPr>
          <w:b/>
          <w:sz w:val="20"/>
        </w:rPr>
        <w:t>Angka Permenaker 5/2018 vs ACGIH:</w:t>
      </w:r>
      <w:r>
        <w:rPr>
          <w:sz w:val="20"/>
        </w:rPr>
        <w:t xml:space="preserve"> banyak NAB/IPB Permenaker lebih tua daripada ACGIH 2026 (kromium, arsen BEI 35 vs 15 µg/g, dan lain-lain). Sebutkan keduanya.</w:t>
      </w:r>
    </w:p>
    <w:p>
      <w:pPr>
        <w:pStyle w:val="ListBullet"/>
        <w:spacing w:after="20"/>
      </w:pPr>
      <w:r>
        <w:rPr>
          <w:b/>
          <w:sz w:val="20"/>
        </w:rPr>
        <w:t xml:space="preserve">Sumber </w:t>
      </w:r>
      <w:r>
        <w:rPr>
          <w:b/>
          <w:sz w:val="20"/>
        </w:rPr>
        <w:t>CASARE~1.PDF</w:t>
      </w:r>
      <w:r>
        <w:rPr>
          <w:sz w:val="20"/>
        </w:rPr>
        <w:t xml:space="preserve"> di notebook gagal terunggah (error), sehingga tidak dipakai.</w:t>
      </w:r>
    </w:p>
    <w:p>
      <w:pPr>
        <w:pStyle w:val="ListBullet"/>
        <w:spacing w:after="20"/>
      </w:pPr>
      <w:r>
        <w:rPr>
          <w:b/>
          <w:sz w:val="20"/>
        </w:rPr>
        <w:t>Sumber tambahan 3A</w:t>
      </w:r>
      <w:r>
        <w:rPr>
          <w:sz w:val="20"/>
        </w:rPr>
        <w:t xml:space="preserve"> (ATSDR ToxProfile, EPA IRIS, ATSDR CSEM) belum ditambahkan ke notebook. Rekomendasi: cukup CSEM per logam bila diperlukan, karena ToxProfile 300 sampai 600 halaman per zat terlalu berat. Tautan ToxProfile yang sudah diverifikasi: tp2 (As), tp5 (Cd, draf), tp7 (Cr), tp13 (Pb), tp151 (Mn), tp46 (Hg), tp15 (Ni), tp4 (Be), tp33 (Co), tp60 (Zn), tp54 (Tl, draf), pada </w:t>
      </w:r>
      <w:r>
        <w:rPr>
          <w:sz w:val="20"/>
        </w:rPr>
        <w:t>atsdr.cdc.gov/ToxProfiles/tpN.pdf</w:t>
      </w:r>
      <w:r>
        <w:rPr>
          <w:sz w:val="20"/>
        </w:rPr>
        <w:t>.</w:t>
      </w:r>
    </w:p>
    <w:p>
      <w:pPr>
        <w:pStyle w:val="ListBullet"/>
        <w:spacing w:after="20"/>
      </w:pPr>
      <w:r>
        <w:rPr>
          <w:b/>
          <w:sz w:val="20"/>
        </w:rPr>
        <w:t>Belum ada:</w:t>
      </w:r>
      <w:r>
        <w:rPr>
          <w:sz w:val="20"/>
        </w:rPr>
        <w:t xml:space="preserve"> Permenkes 7/2019 dan regulasi BPJS (bagian 2.5), grafik/gambar (kurva dosis-respons, jalur metabolisme), serta bagian 3B sampai 3F dan quick table zat lain (notebook lain).</w:t>
      </w:r>
    </w:p>
    <w:p>
      <w:pPr>
        <w:pStyle w:val="ListBullet"/>
        <w:spacing w:after="20"/>
      </w:pPr>
      <w:r>
        <w:rPr>
          <w:b/>
          <w:sz w:val="20"/>
        </w:rPr>
        <w:t>Konten Seng dan Talium</w:t>
      </w:r>
      <w:r>
        <w:rPr>
          <w:sz w:val="20"/>
        </w:rPr>
        <w:t xml:space="preserve"> dijawab dalam satu pertanyaan NotebookLM (lebih ringkas, sesuai permintaan memperpendek zat minor). Kobalt juga satu pertanyaan.</w:t>
      </w:r>
    </w:p>
    <w:p>
      <w:pPr>
        <w:pStyle w:val="ListBullet"/>
        <w:spacing w:after="20"/>
      </w:pPr>
      <w:r>
        <w:rPr>
          <w:b/>
          <w:sz w:val="20"/>
        </w:rPr>
        <w:t>Sumber jawaban</w:t>
      </w:r>
      <w:r>
        <w:rPr>
          <w:sz w:val="20"/>
        </w:rPr>
        <w:t xml:space="preserve"> adalah keluaran NotebookLM yang dapat keliru ('can make mistakes'). Angka yang dipakai untuk ujian sebaiknya dicek ke sumber primer.</w:t>
      </w:r>
    </w:p>
    <w:sectPr w:rsidR="00FC693F" w:rsidRPr="0006063C" w:rsidSect="00034616">
      <w:footerReference w:type="default" r:id="rId9"/>
      <w:pgSz w:w="12246" w:h="15817"/>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