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PENILAIAN KECACATAN</w:t>
      </w:r>
    </w:p>
    <w:p>
      <w:pPr>
        <w:jc w:val="center"/>
      </w:pPr>
      <w:r>
        <w:rPr>
          <w:i/>
          <w:sz w:val="26"/>
        </w:rPr>
        <w:t>AMA Guides 6th Ed. + Permenaker No. 25/2008 (Catatan Gabungan)</w:t>
      </w:r>
    </w:p>
    <w:p>
      <w:pPr>
        <w:jc w:val="center"/>
      </w:pPr>
      <w:r>
        <w:rPr>
          <w:color w:val="606060"/>
          <w:sz w:val="19"/>
        </w:rPr>
        <w:t>Menggabungkan dua catatan lama — Catatan_AMA.docx dan Catatan_Kecacatan_Permenaker.docx (folder PPDS Okupasi\Materi Board) — disusun ulang mengikuti outline 15 poin baru. Poin 9 (Perbandingan Longitudinal) dan Poin 12 (Lafaz) adalah gap yang tidak ada di catatan lama, diisi dari NotebookLM (notebook “Kecacatan”) pada 30 Agustus 2026 — ditandai [BARU — NotebookLM] di teks. Bagian lain diringkas/disusun ulang dari catatan lama; detail lengkap per-bidang Permenaker dan per-bab AMA tetap tersimpan di dua file arsip aslinya.</w:t>
      </w:r>
    </w:p>
    <w:p>
      <w:r>
        <w:br w:type="page"/>
      </w:r>
    </w:p>
    <w:p>
      <w:pPr>
        <w:pStyle w:val="Heading1"/>
      </w:pPr>
      <w:r>
        <w:t>1. Dasar Konsep + Hukum yang Berlaku</w:t>
      </w:r>
    </w:p>
    <w:p>
      <w:pPr>
        <w:pStyle w:val="Heading2"/>
      </w:pPr>
      <w:r>
        <w:t>AMA Guides</w:t>
      </w:r>
    </w:p>
    <w:p>
      <w:pPr>
        <w:pStyle w:val="ListBullet"/>
      </w:pPr>
      <w:r>
        <w:t xml:space="preserve">Model </w:t>
      </w:r>
      <w:r>
        <w:rPr>
          <w:b/>
        </w:rPr>
        <w:t>ICF</w:t>
      </w:r>
      <w:r>
        <w:t xml:space="preserve"> (International Classification of Functioning, Disability, and Health): </w:t>
      </w:r>
      <w:r>
        <w:rPr>
          <w:i/>
        </w:rPr>
        <w:t>Impairment → Activity Limitation → Participation Restriction</w:t>
      </w:r>
      <w:r>
        <w:t xml:space="preserve"> — kerangka kontemporer biopsikososial. AMA Guides </w:t>
      </w:r>
      <w:r>
        <w:rPr>
          <w:b/>
        </w:rPr>
        <w:t>secara eksplisit hanya mengukur lapis pertama (impairment)</w:t>
      </w:r>
      <w:r>
        <w:t xml:space="preserve"> — bukan alat untuk menilai kemampuan kerja (itu levelnya </w:t>
      </w:r>
      <w:r>
        <w:rPr>
          <w:i/>
        </w:rPr>
        <w:t>participation restriction</w:t>
      </w:r>
      <w:r>
        <w:t>, di luar scope buku).</w:t>
      </w:r>
    </w:p>
    <w:p>
      <w:pPr>
        <w:pStyle w:val="ListBullet"/>
      </w:pPr>
      <w:r>
        <w:rPr>
          <w:b/>
        </w:rPr>
        <w:t>Table 2-1 — 3 prinsip fundamental</w:t>
      </w:r>
      <w:r>
        <w:t xml:space="preserve">: (a) tidak ada impairment yang boleh melebihi 100% </w:t>
      </w:r>
      <w:r>
        <w:rPr>
          <w:i/>
        </w:rPr>
        <w:t>whole person impairment</w:t>
      </w:r>
      <w:r>
        <w:t xml:space="preserve"> (WPI); (b) impairment satu organ/anggota tubuh tidak boleh melebihi nilai amputasi organ itu; (c) semua regional impairment dalam satu organ/sistem digabung dulu di level yang sama, baru digabung ke level </w:t>
      </w:r>
      <w:r>
        <w:rPr>
          <w:i/>
        </w:rPr>
        <w:t>whole person</w:t>
      </w:r>
      <w:r>
        <w:t>.</w:t>
      </w:r>
    </w:p>
    <w:p>
      <w:pPr>
        <w:pStyle w:val="ListBullet"/>
      </w:pPr>
      <w:r>
        <w:rPr>
          <w:b/>
        </w:rPr>
        <w:t>Causality — 4 syarat</w:t>
      </w:r>
      <w:r>
        <w:t xml:space="preserve">: (1) ada kejadian penyebab, (2) pasien memang mengalami kondisi tersebut, (3) kejadian tersebut </w:t>
      </w:r>
      <w:r>
        <w:rPr>
          <w:i/>
        </w:rPr>
        <w:t>dapat</w:t>
      </w:r>
      <w:r>
        <w:t xml:space="preserve"> menyebabkan kondisi tersebut, (4) kejadian tersebut </w:t>
      </w:r>
      <w:r>
        <w:rPr>
          <w:i/>
        </w:rPr>
        <w:t>memang</w:t>
      </w:r>
      <w:r>
        <w:t xml:space="preserve"> menyebabkan/berkontribusi material terhadap kondisi (dalam derajat probabilitas medis).</w:t>
      </w:r>
    </w:p>
    <w:p>
      <w:pPr>
        <w:pStyle w:val="ListBullet"/>
      </w:pPr>
      <w:r>
        <w:rPr>
          <w:b/>
        </w:rPr>
        <w:t>Legal vs Medical Probability</w:t>
      </w:r>
      <w:r>
        <w:t xml:space="preserve">: hukum "probable" jika &gt;50%; sains/medis "probable" jika &gt;95% — jebakan klasik. Pemeriksa dokter tetap memakai standar </w:t>
      </w:r>
      <w:r>
        <w:rPr>
          <w:b/>
        </w:rPr>
        <w:t>legal (&gt;50%)</w:t>
      </w:r>
      <w:r>
        <w:t xml:space="preserve"> saat menentukan kausalitas untuk keperluan kompensasi.</w:t>
      </w:r>
    </w:p>
    <w:p>
      <w:pPr>
        <w:pStyle w:val="ListBullet"/>
      </w:pPr>
      <w:r>
        <w:rPr>
          <w:b/>
        </w:rPr>
        <w:t>Aggravation</w:t>
      </w:r>
      <w:r>
        <w:t xml:space="preserve"> (memperburuk kondisi sebelumnya secara </w:t>
      </w:r>
      <w:r>
        <w:rPr>
          <w:b/>
        </w:rPr>
        <w:t>permanen</w:t>
      </w:r>
      <w:r>
        <w:t xml:space="preserve">) harus dibedakan tegas dari </w:t>
      </w:r>
      <w:r>
        <w:rPr>
          <w:b/>
        </w:rPr>
        <w:t>Exacerbation/Recurrence/Flare-up</w:t>
      </w:r>
      <w:r>
        <w:t xml:space="preserve"> (memburuk </w:t>
      </w:r>
      <w:r>
        <w:rPr>
          <w:b/>
        </w:rPr>
        <w:t>sementara</w:t>
      </w:r>
      <w:r>
        <w:t>, lalu kembali ke baseline).</w:t>
      </w:r>
    </w:p>
    <w:p>
      <w:pPr>
        <w:pStyle w:val="Heading2"/>
      </w:pPr>
      <w:r>
        <w:t>Permenaker</w:t>
      </w:r>
    </w:p>
    <w:p>
      <w:pPr>
        <w:pStyle w:val="ListBullet"/>
      </w:pPr>
      <w:r>
        <w:t xml:space="preserve">Model </w:t>
      </w:r>
      <w:r>
        <w:rPr>
          <w:b/>
        </w:rPr>
        <w:t>ICIDH klasik</w:t>
      </w:r>
      <w:r>
        <w:t xml:space="preserve">: </w:t>
      </w:r>
      <w:r>
        <w:rPr>
          <w:i/>
        </w:rPr>
        <w:t>Impairment → Disability → Handicap</w:t>
      </w:r>
      <w:r>
        <w:t xml:space="preserve"> (istilah "handicap" tak dipakai eksplisit dalam regulasi Indonesia tapi logikanya dipakai).</w:t>
      </w:r>
    </w:p>
    <w:p>
      <w:pPr>
        <w:pStyle w:val="ListBullet"/>
      </w:pPr>
      <w:r>
        <w:rPr>
          <w:b/>
        </w:rPr>
        <w:t>UU 40/2004 (SJSN)</w:t>
      </w:r>
      <w:r>
        <w:t xml:space="preserve"> = pilar hak konstitusional atas jaminan sosial; </w:t>
      </w:r>
      <w:r>
        <w:rPr>
          <w:b/>
        </w:rPr>
        <w:t>UU 24/2011 (BPJS)</w:t>
      </w:r>
      <w:r>
        <w:t xml:space="preserve"> = pilar kelembagaan penyelenggara resmi (BPJS Ketenagakerjaan, PT Taspen, PT ASABRI) — dua UU ini memisahkan hak manfaat dari tata kelola lembaga.</w:t>
      </w:r>
    </w:p>
    <w:p>
      <w:pPr>
        <w:pStyle w:val="ListBullet"/>
      </w:pPr>
      <w:r>
        <w:rPr>
          <w:b/>
        </w:rPr>
        <w:t>4 jalur regulasi per golongan pekerja</w:t>
      </w:r>
      <w:r>
        <w: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Golongan</w:t>
            </w:r>
          </w:p>
        </w:tc>
        <w:tc>
          <w:tcPr>
            <w:tcW w:type="dxa" w:w="2880"/>
            <w:shd w:val="clear" w:color="auto" w:fill="1F4E5F"/>
          </w:tcPr>
          <w:p>
            <w:r>
              <w:rPr>
                <w:b/>
                <w:color w:val="FFFFFF"/>
                <w:sz w:val="18"/>
              </w:rPr>
              <w:t>Regulasi induk</w:t>
            </w:r>
          </w:p>
        </w:tc>
        <w:tc>
          <w:tcPr>
            <w:tcW w:type="dxa" w:w="2880"/>
            <w:shd w:val="clear" w:color="auto" w:fill="1F4E5F"/>
          </w:tcPr>
          <w:p>
            <w:r>
              <w:rPr>
                <w:b/>
                <w:color w:val="FFFFFF"/>
                <w:sz w:val="18"/>
              </w:rPr>
              <w:t>Penyelenggara</w:t>
            </w:r>
          </w:p>
        </w:tc>
      </w:tr>
      <w:tr>
        <w:tc>
          <w:tcPr>
            <w:tcW w:type="dxa" w:w="2880"/>
          </w:tcPr>
          <w:p>
            <w:r>
              <w:rPr>
                <w:sz w:val="18"/>
              </w:rPr>
              <w:t>Swasta (Penerima Upah)</w:t>
            </w:r>
          </w:p>
        </w:tc>
        <w:tc>
          <w:tcPr>
            <w:tcW w:type="dxa" w:w="2880"/>
          </w:tcPr>
          <w:p>
            <w:r>
              <w:rPr>
                <w:sz w:val="18"/>
              </w:rPr>
              <w:t>PP 44/2015 → PP 82/2019 → PP 49/2023, + Permenaker 5/2021 → 1/2025</w:t>
            </w:r>
          </w:p>
        </w:tc>
        <w:tc>
          <w:tcPr>
            <w:tcW w:type="dxa" w:w="2880"/>
          </w:tcPr>
          <w:p>
            <w:r>
              <w:rPr>
                <w:sz w:val="18"/>
              </w:rPr>
              <w:t>BPJS Ketenagakerjaan</w:t>
            </w:r>
          </w:p>
        </w:tc>
      </w:tr>
      <w:tr>
        <w:tc>
          <w:tcPr>
            <w:tcW w:type="dxa" w:w="2880"/>
          </w:tcPr>
          <w:p>
            <w:r>
              <w:rPr>
                <w:sz w:val="18"/>
              </w:rPr>
              <w:t>Swasta (Bukan Penerima Upah/BPU)</w:t>
            </w:r>
          </w:p>
        </w:tc>
        <w:tc>
          <w:tcPr>
            <w:tcW w:type="dxa" w:w="2880"/>
          </w:tcPr>
          <w:p>
            <w:r>
              <w:rPr>
                <w:sz w:val="18"/>
              </w:rPr>
              <w:t>Permenaker 1/2016 jo. 21/2017 → 5/2021 → 1/2025</w:t>
            </w:r>
          </w:p>
        </w:tc>
        <w:tc>
          <w:tcPr>
            <w:tcW w:type="dxa" w:w="2880"/>
          </w:tcPr>
          <w:p>
            <w:r>
              <w:rPr>
                <w:sz w:val="18"/>
              </w:rPr>
              <w:t>BPJS Ketenagakerjaan</w:t>
            </w:r>
          </w:p>
        </w:tc>
      </w:tr>
      <w:tr>
        <w:tc>
          <w:tcPr>
            <w:tcW w:type="dxa" w:w="2880"/>
          </w:tcPr>
          <w:p>
            <w:r>
              <w:rPr>
                <w:sz w:val="18"/>
              </w:rPr>
              <w:t>ASN (PNS &amp; PPPK)</w:t>
            </w:r>
          </w:p>
        </w:tc>
        <w:tc>
          <w:tcPr>
            <w:tcW w:type="dxa" w:w="2880"/>
          </w:tcPr>
          <w:p>
            <w:r>
              <w:rPr>
                <w:sz w:val="18"/>
              </w:rPr>
              <w:t>PP 70/2015 jo. PP 66/2017 → BKN 4/2020</w:t>
            </w:r>
          </w:p>
        </w:tc>
        <w:tc>
          <w:tcPr>
            <w:tcW w:type="dxa" w:w="2880"/>
          </w:tcPr>
          <w:p>
            <w:r>
              <w:rPr>
                <w:sz w:val="18"/>
              </w:rPr>
              <w:t>PT Taspen (Persero)</w:t>
            </w:r>
          </w:p>
        </w:tc>
      </w:tr>
      <w:tr>
        <w:tc>
          <w:tcPr>
            <w:tcW w:type="dxa" w:w="2880"/>
          </w:tcPr>
          <w:p>
            <w:r>
              <w:rPr>
                <w:sz w:val="18"/>
              </w:rPr>
              <w:t>TNI/Polri/PNS Kemhan-Polri</w:t>
            </w:r>
          </w:p>
        </w:tc>
        <w:tc>
          <w:tcPr>
            <w:tcW w:type="dxa" w:w="2880"/>
          </w:tcPr>
          <w:p>
            <w:r>
              <w:rPr>
                <w:sz w:val="18"/>
              </w:rPr>
              <w:t>PP 102/2015 jo. PP 54/2020</w:t>
            </w:r>
          </w:p>
        </w:tc>
        <w:tc>
          <w:tcPr>
            <w:tcW w:type="dxa" w:w="2880"/>
          </w:tcPr>
          <w:p>
            <w:r>
              <w:rPr>
                <w:sz w:val="18"/>
              </w:rPr>
              <w:t>PT ASABRI (Persero)</w:t>
            </w:r>
          </w:p>
        </w:tc>
      </w:tr>
    </w:tbl>
    <w:p/>
    <w:p>
      <w:pPr>
        <w:pStyle w:val="ListBullet"/>
      </w:pPr>
      <w:r>
        <w:rPr>
          <w:b/>
        </w:rPr>
        <w:t>Permenaker No. 25/2008</w:t>
      </w:r>
      <w:r>
        <w:t xml:space="preserve"> = pedoman klinis diagnosis &amp; penilaian cacat yang </w:t>
      </w:r>
      <w:r>
        <w:rPr>
          <w:b/>
        </w:rPr>
        <w:t>universal lintas semua golongan pekerja</w:t>
      </w:r>
      <w:r>
        <w:t xml:space="preserve"> di atas — siapapun penjaminnya, dokter Sp.Ok memakai pedoman diagnosis yang sama.</w:t>
      </w:r>
    </w:p>
    <w:p>
      <w:pPr>
        <w:pStyle w:val="Heading2"/>
      </w:pPr>
      <w:r>
        <w:t>Integrasi (poin ujian)</w:t>
      </w:r>
    </w:p>
    <w:p>
      <w:r>
        <w:rPr>
          <w:b/>
        </w:rPr>
        <w:t>Aturan outsourcing ke AMA Guides</w:t>
      </w:r>
      <w:r>
        <w:t xml:space="preserve">: hanya boleh dipakai jika suatu jenis kecacatan atau metode perhitungannya </w:t>
      </w:r>
      <w:r>
        <w:rPr>
          <w:b/>
        </w:rPr>
        <w:t>tidak diatur</w:t>
      </w:r>
      <w:r>
        <w:t xml:space="preserve"> di Permenaker 25/2008, dan </w:t>
      </w:r>
      <w:r>
        <w:rPr>
          <w:b/>
        </w:rPr>
        <w:t>tidak bertentangan</w:t>
      </w:r>
      <w:r>
        <w:t xml:space="preserve"> dengan norma hukum nasional Indonesia. Local wisdom &amp; regulasi nasional tetap utama.</w:t>
      </w:r>
    </w:p>
    <w:p>
      <w:pPr>
        <w:pStyle w:val="Heading1"/>
      </w:pPr>
      <w:r>
        <w:t>2. Terminologi &amp; Klasifikasi Konsep Kunci</w:t>
      </w:r>
    </w:p>
    <w:p>
      <w:pPr>
        <w:pStyle w:val="ListBullet"/>
      </w:pPr>
      <w:r>
        <w:rPr>
          <w:b/>
        </w:rPr>
        <w:t>Impairment</w:t>
      </w:r>
      <w:r>
        <w:t xml:space="preserve">: kerusakan struktur/fungsi tubuh, dinilai </w:t>
      </w:r>
      <w:r>
        <w:rPr>
          <w:b/>
        </w:rPr>
        <w:t>objektif medis</w:t>
      </w:r>
      <w:r>
        <w:t xml:space="preserve"> oleh dokter, sama untuk semua orang tanpa memandang profesi.</w:t>
      </w:r>
    </w:p>
    <w:p>
      <w:pPr>
        <w:pStyle w:val="ListBullet"/>
      </w:pPr>
      <w:r>
        <w:rPr>
          <w:b/>
        </w:rPr>
        <w:t>Disability</w:t>
      </w:r>
      <w:r>
        <w:t xml:space="preserve">: keterbatasan aktivitas sosial/ekonomi/pekerjaan </w:t>
      </w:r>
      <w:r>
        <w:rPr>
          <w:b/>
        </w:rPr>
        <w:t>kontekstual</w:t>
      </w:r>
      <w:r>
        <w:t xml:space="preserve"> terhadap pekerjaan spesifik — ranah Dokter Penasehat/badan penjamin, </w:t>
      </w:r>
      <w:r>
        <w:rPr>
          <w:b/>
        </w:rPr>
        <w:t>bukan</w:t>
      </w:r>
      <w:r>
        <w:t xml:space="preserve"> tugas dokter pemeriksa.</w:t>
      </w:r>
    </w:p>
    <w:p>
      <w:pPr>
        <w:pStyle w:val="ListBullet"/>
      </w:pPr>
      <w:r>
        <w:rPr>
          <w:b/>
        </w:rPr>
        <w:t>Contoh ujian klasik</w:t>
      </w:r>
      <w:r>
        <w:t xml:space="preserve">: pianis konser vs pengacara, sama-sama amputasi total kelingking kiri (non-dominan) → </w:t>
      </w:r>
      <w:r>
        <w:rPr>
          <w:i/>
        </w:rPr>
        <w:t>impairment</w:t>
      </w:r>
      <w:r>
        <w:t xml:space="preserve"> identik (100% loss of digit, 10% loss of hand, 9% loss of UE, 5% WPI) tapi </w:t>
      </w:r>
      <w:r>
        <w:rPr>
          <w:i/>
        </w:rPr>
        <w:t>disability</w:t>
      </w:r>
      <w:r>
        <w:t xml:space="preserve"> jauh berbeda (pengacara ~0%, pianis ~100% kehilangan mata pencaharian).</w:t>
      </w:r>
    </w:p>
    <w:p>
      <w:pPr>
        <w:pStyle w:val="ListBullet"/>
      </w:pPr>
      <w:r>
        <w:rPr>
          <w:b/>
        </w:rPr>
        <w:t>Larangan manipulasi</w:t>
      </w:r>
      <w:r>
        <w:t xml:space="preserve">: dilarang keras menaikkan nilai impairment medis hanya karena pekerja dinyatakan </w:t>
      </w:r>
      <w:r>
        <w:rPr>
          <w:i/>
        </w:rPr>
        <w:t>unfit</w:t>
      </w:r>
      <w:r>
        <w:t xml:space="preserve"> untuk jabatan lamanya. Jalur banding: </w:t>
      </w:r>
      <w:r>
        <w:rPr>
          <w:b/>
        </w:rPr>
        <w:t>Dokter Penasehat</w:t>
      </w:r>
      <w:r>
        <w:t>, bukan dokter menaikkan angka.</w:t>
      </w:r>
    </w:p>
    <w:p>
      <w:pPr>
        <w:pStyle w:val="ListBullet"/>
      </w:pPr>
      <w:r>
        <w:rPr>
          <w:b/>
        </w:rPr>
        <w:t>WPI (AMA)</w:t>
      </w:r>
      <w:r>
        <w:t>: skala 0–100%, representasi utuh kondisi tubuh.</w:t>
      </w:r>
    </w:p>
    <w:p>
      <w:pPr>
        <w:pStyle w:val="ListBullet"/>
      </w:pPr>
      <w:r>
        <w:rPr>
          <w:b/>
        </w:rPr>
        <w:t>% cacat fungsi (Indonesia)</w:t>
      </w:r>
      <w:r>
        <w:t xml:space="preserve">: skala </w:t>
      </w:r>
      <w:r>
        <w:rPr>
          <w:b/>
        </w:rPr>
        <w:t>upah</w:t>
      </w:r>
      <w:r>
        <w:t xml:space="preserve">, bukan WPI murni — dibatasi maksimal </w:t>
      </w:r>
      <w:r>
        <w:rPr>
          <w:b/>
        </w:rPr>
        <w:t>70%</w:t>
      </w:r>
      <w:r>
        <w:t xml:space="preserve"> (Permenaker 5/2021 Pasal 84 ayat 1).</w:t>
      </w:r>
    </w:p>
    <w:p>
      <w:pPr>
        <w:pStyle w:val="ListBullet"/>
      </w:pPr>
      <w:r>
        <w:rPr>
          <w:b/>
        </w:rPr>
        <w:t>Prinsip Harmonisasi</w:t>
      </w:r>
      <w:r>
        <w:t xml:space="preserve">: jika hasil kalkulasi AMA &gt;70%, kalkulasi tetap dilakukan penuh secara klinis untuk akurasi diagnostik, tapi angka yang </w:t>
      </w:r>
      <w:r>
        <w:rPr>
          <w:b/>
        </w:rPr>
        <w:t>dilaporkan ke penjamin dipangkas ke 70%</w:t>
      </w:r>
      <w:r>
        <w:t>.</w:t>
      </w:r>
    </w:p>
    <w:p>
      <w:pPr>
        <w:pStyle w:val="ListBullet"/>
      </w:pPr>
      <w:r>
        <w:rPr>
          <w:b/>
        </w:rPr>
        <w:t>3 kategori kecacatan Indonesia</w:t>
      </w:r>
      <w:r>
        <w:t xml:space="preserve"> (PP 44/2015 &amp; turunannya):</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Kategori</w:t>
            </w:r>
          </w:p>
        </w:tc>
        <w:tc>
          <w:tcPr>
            <w:tcW w:type="dxa" w:w="2880"/>
            <w:shd w:val="clear" w:color="auto" w:fill="1F4E5F"/>
          </w:tcPr>
          <w:p>
            <w:r>
              <w:rPr>
                <w:b/>
                <w:color w:val="FFFFFF"/>
                <w:sz w:val="18"/>
              </w:rPr>
              <w:t>Definisi</w:t>
            </w:r>
          </w:p>
        </w:tc>
        <w:tc>
          <w:tcPr>
            <w:tcW w:type="dxa" w:w="2880"/>
            <w:shd w:val="clear" w:color="auto" w:fill="1F4E5F"/>
          </w:tcPr>
          <w:p>
            <w:r>
              <w:rPr>
                <w:b/>
                <w:color w:val="FFFFFF"/>
                <w:sz w:val="18"/>
              </w:rPr>
              <w:t>Aturan Pelaporan</w:t>
            </w:r>
          </w:p>
        </w:tc>
      </w:tr>
      <w:tr>
        <w:tc>
          <w:tcPr>
            <w:tcW w:type="dxa" w:w="2880"/>
          </w:tcPr>
          <w:p>
            <w:r>
              <w:rPr>
                <w:sz w:val="18"/>
              </w:rPr>
              <w:t>Cacat Sebagian Anatomis</w:t>
            </w:r>
          </w:p>
        </w:tc>
        <w:tc>
          <w:tcPr>
            <w:tcW w:type="dxa" w:w="2880"/>
          </w:tcPr>
          <w:p>
            <w:r>
              <w:rPr>
                <w:sz w:val="18"/>
              </w:rPr>
              <w:t>Kehilangan anggota tubuh secara fisik (amputasi)</w:t>
            </w:r>
          </w:p>
        </w:tc>
        <w:tc>
          <w:tcPr>
            <w:tcW w:type="dxa" w:w="2880"/>
          </w:tcPr>
          <w:p>
            <w:r>
              <w:rPr>
                <w:b/>
                <w:sz w:val="18"/>
              </w:rPr>
              <w:t>Dilarang</w:t>
            </w:r>
            <w:r>
              <w:rPr>
                <w:sz w:val="18"/>
              </w:rPr>
              <w:t xml:space="preserve"> mencantumkan persentase di laporan medis (KK3B); tuliskan hanya nama segmen anatomis yang hilang. Konversi ke persentase adalah ranah administratif penjamin.</w:t>
            </w:r>
          </w:p>
        </w:tc>
      </w:tr>
      <w:tr>
        <w:tc>
          <w:tcPr>
            <w:tcW w:type="dxa" w:w="2880"/>
          </w:tcPr>
          <w:p>
            <w:r>
              <w:rPr>
                <w:sz w:val="18"/>
              </w:rPr>
              <w:t>Cacat Sebagian Fungsi</w:t>
            </w:r>
          </w:p>
        </w:tc>
        <w:tc>
          <w:tcPr>
            <w:tcW w:type="dxa" w:w="2880"/>
          </w:tcPr>
          <w:p>
            <w:r>
              <w:rPr>
                <w:sz w:val="18"/>
              </w:rPr>
              <w:t>Berkurang/hilangnya fungsi tanpa hilang fisik utuh</w:t>
            </w:r>
          </w:p>
        </w:tc>
        <w:tc>
          <w:tcPr>
            <w:tcW w:type="dxa" w:w="2880"/>
          </w:tcPr>
          <w:p>
            <w:r>
              <w:rPr>
                <w:b/>
                <w:sz w:val="18"/>
              </w:rPr>
              <w:t>Wajib</w:t>
            </w:r>
            <w:r>
              <w:rPr>
                <w:sz w:val="18"/>
              </w:rPr>
              <w:t xml:space="preserve"> mencantumkan persentase; ROM wajib diukur pakai goniometer, bukan estimasi visual.</w:t>
            </w:r>
          </w:p>
        </w:tc>
      </w:tr>
      <w:tr>
        <w:tc>
          <w:tcPr>
            <w:tcW w:type="dxa" w:w="2880"/>
          </w:tcPr>
          <w:p>
            <w:r>
              <w:rPr>
                <w:sz w:val="18"/>
              </w:rPr>
              <w:t>Cacat Total Tetap</w:t>
            </w:r>
          </w:p>
        </w:tc>
        <w:tc>
          <w:tcPr>
            <w:tcW w:type="dxa" w:w="2880"/>
          </w:tcPr>
          <w:p>
            <w:r>
              <w:rPr>
                <w:sz w:val="18"/>
              </w:rPr>
              <w:t>Kerusakan/hilangnya fungsi organ secara masif, kapasitas kerja hilang total permanen</w:t>
            </w:r>
          </w:p>
        </w:tc>
        <w:tc>
          <w:tcPr>
            <w:tcW w:type="dxa" w:w="2880"/>
          </w:tcPr>
          <w:p>
            <w:r>
              <w:rPr>
                <w:sz w:val="18"/>
              </w:rPr>
              <w:t xml:space="preserve">Penentuan akhir kategori ini di bawah wewenang </w:t>
            </w:r>
            <w:r>
              <w:rPr>
                <w:b/>
                <w:sz w:val="18"/>
              </w:rPr>
              <w:t>Dokter Penasehat</w:t>
            </w:r>
            <w:r>
              <w:rPr>
                <w:sz w:val="18"/>
              </w:rPr>
              <w:t>, bukan dokter pemeriksa pertama.</w:t>
            </w:r>
          </w:p>
        </w:tc>
      </w:tr>
    </w:tbl>
    <w:p/>
    <w:p>
      <w:pPr>
        <w:pStyle w:val="ListBullet"/>
      </w:pPr>
      <w:r>
        <w:rPr>
          <w:b/>
        </w:rPr>
        <w:t>Batas proksimal jari (PIP)</w:t>
      </w:r>
      <w:r>
        <w:t xml:space="preserve">: amputasi melewati sendi </w:t>
      </w:r>
      <w:r>
        <w:rPr>
          <w:i/>
        </w:rPr>
        <w:t>proximal interphalangeal</w:t>
      </w:r>
      <w:r>
        <w:t xml:space="preserve"> (PIP) → cacat anatomis satu jari penuh. Amputasi distal dari PIP → umumnya cacat sebagian fungsi.</w:t>
      </w:r>
    </w:p>
    <w:p>
      <w:pPr>
        <w:pStyle w:val="ListBullet"/>
      </w:pPr>
      <w:r>
        <w:rPr>
          <w:b/>
        </w:rPr>
        <w:t>Aturan 5 jari</w:t>
      </w:r>
      <w:r>
        <w:t xml:space="preserve"> untuk klaim "tangan" (BPJS-TK): seluruh 5 jari harus cacat agar dapat diklaim sebagai satu segmen "pergelangan tangan ke bawah"; jika kurang dari 5 jari, wajib dilaporkan segmental per jari.</w:t>
      </w:r>
    </w:p>
    <w:p>
      <w:pPr>
        <w:pStyle w:val="Heading1"/>
      </w:pPr>
      <w:r>
        <w:t>3. Kapan Dilakukan, Tujuan Okupasi</w:t>
      </w:r>
    </w:p>
    <w:p>
      <w:pPr>
        <w:pStyle w:val="ListBullet"/>
      </w:pPr>
      <w:r>
        <w:rPr>
          <w:b/>
        </w:rPr>
        <w:t>Trigger</w:t>
      </w:r>
      <w:r>
        <w:t xml:space="preserve">: pasca-KK/PAK, saat </w:t>
      </w:r>
      <w:r>
        <w:rPr>
          <w:b/>
        </w:rPr>
        <w:t>MMI (Maximum Medical Improvement)</w:t>
      </w:r>
      <w:r>
        <w:t xml:space="preserve"> tercapai — bukan sebelum. Penilaian kecacatan tidak boleh dilakukan tergesa-gesa dalam satu kali pertemuan.</w:t>
      </w:r>
    </w:p>
    <w:p>
      <w:pPr>
        <w:pStyle w:val="ListBullet"/>
      </w:pPr>
      <w:r>
        <w:rPr>
          <w:b/>
        </w:rPr>
        <w:t>Tujuan</w:t>
      </w:r>
      <w:r>
        <w:t>: menentukan hak santunan, status Return to Work (RTW), kelaikan kerja lanjutan, dasar Form KK3B.</w:t>
      </w:r>
    </w:p>
    <w:p>
      <w:pPr>
        <w:pStyle w:val="ListBullet"/>
      </w:pPr>
      <w:r>
        <w:t xml:space="preserve">AMA: MMI juga konsep sentral di </w:t>
      </w:r>
      <w:r>
        <w:rPr>
          <w:b/>
        </w:rPr>
        <w:t>Bab 14 (Psikiatri)</w:t>
      </w:r>
      <w:r>
        <w:t xml:space="preserve"> — kondisi jiwa perlu MMI eksplisit sebelum rating.</w:t>
      </w:r>
    </w:p>
    <w:p>
      <w:pPr>
        <w:pStyle w:val="ListBullet"/>
      </w:pPr>
      <w:r>
        <w:rPr>
          <w:b/>
        </w:rPr>
        <w:t>Kapan tunda penilaian</w:t>
      </w:r>
      <w:r>
        <w:t xml:space="preserve"> — contoh neuroma stump: wajib observasi fisioterapi </w:t>
      </w:r>
      <w:r>
        <w:rPr>
          <w:b/>
        </w:rPr>
        <w:t>minimal 1 bulan</w:t>
      </w:r>
      <w:r>
        <w:t xml:space="preserve"> tanpa perbaikan klinis sebelum MMI dinyatakan; pasien tidak boleh ditutup kasusnya selagi masih nyeri hebat.</w:t>
      </w:r>
    </w:p>
    <w:p>
      <w:pPr>
        <w:ind w:left="340"/>
      </w:pPr>
      <w:r>
        <w:rPr>
          <w:b/>
          <w:i/>
          <w:color w:val="8A2B06"/>
        </w:rPr>
        <w:t>[BARU — NotebookLM]</w:t>
      </w:r>
      <w:r>
        <w:rPr>
          <w:i/>
          <w:color w:val="8A2B06"/>
        </w:rPr>
        <w:t xml:space="preserve"> Kriteria waktu administratif Indonesia (Permenaker 25/2008): batas ancer-ancer maksimal </w:t>
      </w:r>
      <w:r>
        <w:rPr>
          <w:b/>
          <w:i/>
          <w:color w:val="8A2B06"/>
        </w:rPr>
        <w:t>6 bulan</w:t>
      </w:r>
      <w:r>
        <w:rPr>
          <w:i/>
          <w:color w:val="8A2B06"/>
        </w:rPr>
        <w:t xml:space="preserve"> pengobatan untuk menyatakan kondisi fungsional telah menetap/MMI. Khusus kasus ortopedi/muskuloskeletal kompleks pasca-operasi rekonstruksi/pemasangan implan, penilaian dapat ditunda </w:t>
      </w:r>
      <w:r>
        <w:rPr>
          <w:b/>
          <w:i/>
          <w:color w:val="8A2B06"/>
        </w:rPr>
        <w:t>6 bulan sampai maksimal 2 tahun</w:t>
      </w:r>
      <w:r>
        <w:rPr>
          <w:i/>
          <w:color w:val="8A2B06"/>
        </w:rPr>
        <w:t xml:space="preserve"> untuk memastikan konsolidasi tulang &amp; adaptasi jaringan lunak stabil. Jika pasien </w:t>
      </w:r>
      <w:r>
        <w:rPr>
          <w:b/>
          <w:i/>
          <w:color w:val="8A2B06"/>
        </w:rPr>
        <w:t>menolak tindakan medis yang direkomendasikan</w:t>
      </w:r>
      <w:r>
        <w:rPr>
          <w:i/>
          <w:color w:val="8A2B06"/>
        </w:rPr>
        <w:t xml:space="preserve"> (mis. menolak operasi HNP karena takut lumpuh), pasien tetap dapat dinyatakan MMI dengan catatan khusus ("MMI without treatment") — dokter wajib mendokumentasikan alasan penolakan dan memberi estimasi nilai kecacatan seandainya pasien bersedia terapi.</w:t>
      </w:r>
    </w:p>
    <w:p>
      <w:pPr>
        <w:pStyle w:val="Heading1"/>
      </w:pPr>
      <w:r>
        <w:t>4. Syarat Pemeriksaan/Validasi</w:t>
      </w:r>
    </w:p>
    <w:p>
      <w:pPr>
        <w:pStyle w:val="ListBullet"/>
      </w:pPr>
      <w:r>
        <w:rPr>
          <w:b/>
        </w:rPr>
        <w:t>ROM wajib goniometer</w:t>
      </w:r>
      <w:r>
        <w:t>, bukan estimasi visual.</w:t>
      </w:r>
    </w:p>
    <w:p>
      <w:pPr>
        <w:pStyle w:val="ListBullet"/>
      </w:pPr>
      <w:r>
        <w:rPr>
          <w:b/>
        </w:rPr>
        <w:t>Assistive devices (AMA)</w:t>
      </w:r>
      <w:r>
        <w:t xml:space="preserve">: dinilai dengan alat terpasang jika alat tidak mudah dilepas (lensa tanam mata); dinilai </w:t>
      </w:r>
      <w:r>
        <w:rPr>
          <w:b/>
        </w:rPr>
        <w:t>dengan DAN tanpa</w:t>
      </w:r>
      <w:r>
        <w:t xml:space="preserve"> alat jika mudah dilepas (kacamata, alat bantu dengar) — laporkan keduanya.</w:t>
      </w:r>
    </w:p>
    <w:p>
      <w:pPr>
        <w:pStyle w:val="ListBullet"/>
      </w:pPr>
      <w:r>
        <w:rPr>
          <w:b/>
        </w:rPr>
        <w:t>Grade modifier</w:t>
      </w:r>
      <w:r>
        <w:t xml:space="preserve"> (GMFH/GMPE/GMCS) hanya valid jika </w:t>
      </w:r>
      <w:r>
        <w:rPr>
          <w:b/>
        </w:rPr>
        <w:t>reliabel</w:t>
      </w:r>
      <w:r>
        <w:t xml:space="preserve"> dan </w:t>
      </w:r>
      <w:r>
        <w:rPr>
          <w:b/>
        </w:rPr>
        <w:t>tidak duplikasi</w:t>
      </w:r>
      <w:r>
        <w:t xml:space="preserve"> faktor yang sudah dipakai menentukan kelas. Jika GMFH berbeda ≥2 grade dari GMPE/GMCS → GMFH otomatis dianggap tidak reliabel dan dikeluarkan dari perhitungan.</w:t>
      </w:r>
    </w:p>
    <w:p>
      <w:pPr>
        <w:ind w:left="340"/>
      </w:pPr>
      <w:r>
        <w:rPr>
          <w:b/>
          <w:i/>
          <w:color w:val="8A2B06"/>
        </w:rPr>
        <w:t>[BARU — NotebookLM]</w:t>
      </w:r>
      <w:r>
        <w:rPr>
          <w:i/>
          <w:color w:val="8A2B06"/>
        </w:rPr>
        <w:t xml:space="preserve"> Protokol goniometri presisi (dipakai untuk validasi ROM, termasuk mendeteksi </w:t>
      </w:r>
      <w:r>
        <w:rPr>
          <w:i/>
          <w:color w:val="8A2B06"/>
        </w:rPr>
        <w:t>symptom magnification</w:t>
      </w:r>
      <w:r>
        <w:rPr>
          <w:i/>
          <w:color w:val="8A2B06"/>
        </w:rPr>
        <w:t xml:space="preserve">): prioritaskan </w:t>
      </w:r>
      <w:r>
        <w:rPr>
          <w:b/>
          <w:i/>
          <w:color w:val="8A2B06"/>
        </w:rPr>
        <w:t>gerak aktif (voluntary motion)</w:t>
      </w:r>
      <w:r>
        <w:rPr>
          <w:i/>
          <w:color w:val="8A2B06"/>
        </w:rPr>
        <w:t xml:space="preserve"> — ROM pasif hanya diukur bila ROM aktif tidak lengkap. </w:t>
      </w:r>
      <w:r>
        <w:rPr>
          <w:b/>
          <w:i/>
          <w:color w:val="8A2B06"/>
        </w:rPr>
        <w:t>Aturan 10°</w:t>
      </w:r>
      <w:r>
        <w:rPr>
          <w:i/>
          <w:color w:val="8A2B06"/>
        </w:rPr>
        <w:t>: ROM aktif dinyatakan sah hanya jika selisihnya maksimal 10° dari ROM pasif; jika lebih lebar, dicurigai ada usaha suboptimal/</w:t>
      </w:r>
      <w:r>
        <w:rPr>
          <w:i/>
          <w:color w:val="8A2B06"/>
        </w:rPr>
        <w:t>symptom magnification</w:t>
      </w:r>
      <w:r>
        <w:rPr>
          <w:i/>
          <w:color w:val="8A2B06"/>
        </w:rPr>
        <w:t xml:space="preserve"> dan rating harus ditangguhkan. Pengukuran wajib </w:t>
      </w:r>
      <w:r>
        <w:rPr>
          <w:b/>
          <w:i/>
          <w:color w:val="8A2B06"/>
        </w:rPr>
        <w:t>diulang minimal 3 kali</w:t>
      </w:r>
      <w:r>
        <w:rPr>
          <w:i/>
          <w:color w:val="8A2B06"/>
        </w:rPr>
        <w:t xml:space="preserve">, hasil harus konsisten (selisih antar-pemeriksaan ≤10°), gunakan nilai maksimal yang terobservasi. Pembacaan sudut goniometer </w:t>
      </w:r>
      <w:r>
        <w:rPr>
          <w:b/>
          <w:i/>
          <w:color w:val="8A2B06"/>
        </w:rPr>
        <w:t>dibulatkan ke angka terdekat berakhiran 0</w:t>
      </w:r>
      <w:r>
        <w:rPr>
          <w:i/>
          <w:color w:val="8A2B06"/>
        </w:rPr>
        <w:t xml:space="preserve"> (mis. 24°→20°, 25°→30°) demi konsistensi replikasi data.</w:t>
      </w:r>
    </w:p>
    <w:p>
      <w:pPr>
        <w:pStyle w:val="Heading1"/>
      </w:pPr>
      <w:r>
        <w:t>5. Interpretasi + Klasifikasi/Grading Severity</w:t>
      </w:r>
    </w:p>
    <w:p>
      <w:pPr>
        <w:pStyle w:val="Heading2"/>
      </w:pPr>
      <w:r>
        <w:t>AMA — Metodologi Diagnosis-Based Impairment (DBI)</w:t>
      </w:r>
    </w:p>
    <w:p>
      <w:r>
        <w:t>Metode default di hampir semua bab organ (Bab 4, 6, 7, 15, 16, 17):</w:t>
      </w:r>
    </w:p>
    <w:p>
      <w:pPr>
        <w:pStyle w:val="ListNumber"/>
      </w:pPr>
      <w:r>
        <w:rPr>
          <w:b/>
        </w:rPr>
        <w:t>Key Factor</w:t>
      </w:r>
      <w:r>
        <w:t xml:space="preserve"> (diagnosis spesifik) → menentukan </w:t>
      </w:r>
      <w:r>
        <w:rPr>
          <w:b/>
        </w:rPr>
        <w:t>Impairment Class (0–4/5)</w:t>
      </w:r>
      <w:r>
        <w:t xml:space="preserve"> lewat grid regional per bab.</w:t>
      </w:r>
    </w:p>
    <w:p>
      <w:pPr>
        <w:pStyle w:val="ListNumber"/>
      </w:pPr>
      <w:r>
        <w:t xml:space="preserve">Kelas dibagi </w:t>
      </w:r>
      <w:r>
        <w:rPr>
          <w:b/>
        </w:rPr>
        <w:t>5 grade (A–E)</w:t>
      </w:r>
      <w:r>
        <w:t xml:space="preserve">; Grade C = default/tengah. Grade ditentukan dari </w:t>
      </w:r>
      <w:r>
        <w:rPr>
          <w:b/>
        </w:rPr>
        <w:t>3 Grade Modifier ("non-key factor")</w:t>
      </w:r>
      <w:r>
        <w:t>:</w:t>
      </w:r>
    </w:p>
    <w:p>
      <w:pPr>
        <w:pStyle w:val="ListBullet2"/>
      </w:pPr>
      <w:r>
        <w:rPr>
          <w:b/>
        </w:rPr>
        <w:t>GMFH</w:t>
      </w:r>
      <w:r>
        <w:t xml:space="preserve"> = </w:t>
      </w:r>
      <w:r>
        <w:rPr>
          <w:i/>
        </w:rPr>
        <w:t>Functional History</w:t>
      </w:r>
    </w:p>
    <w:p>
      <w:pPr>
        <w:pStyle w:val="ListBullet2"/>
      </w:pPr>
      <w:r>
        <w:rPr>
          <w:b/>
        </w:rPr>
        <w:t>GMPE</w:t>
      </w:r>
      <w:r>
        <w:t xml:space="preserve"> = </w:t>
      </w:r>
      <w:r>
        <w:rPr>
          <w:i/>
        </w:rPr>
        <w:t>Physical Examination</w:t>
      </w:r>
    </w:p>
    <w:p>
      <w:pPr>
        <w:pStyle w:val="ListBullet2"/>
      </w:pPr>
      <w:r>
        <w:rPr>
          <w:b/>
        </w:rPr>
        <w:t>GMCS</w:t>
      </w:r>
      <w:r>
        <w:t xml:space="preserve"> = </w:t>
      </w:r>
      <w:r>
        <w:rPr>
          <w:i/>
        </w:rPr>
        <w:t>Clinical Studies</w:t>
      </w:r>
      <w:r>
        <w:t xml:space="preserve"> (lab/radiologi/elektrodiagnostik)</w:t>
      </w:r>
    </w:p>
    <w:p>
      <w:pPr>
        <w:pStyle w:val="ListNumber"/>
      </w:pPr>
      <w:r>
        <w:t>Jika diagnosis tidak ada di grid → gunakan kondisi analog + jelaskan rasional di laporan.</w:t>
      </w:r>
    </w:p>
    <w:p>
      <w:pPr>
        <w:pStyle w:val="ListNumber"/>
      </w:pPr>
      <w:r>
        <w:rPr>
          <w:b/>
        </w:rPr>
        <w:t>Jalur alternatif berdiri sendiri</w:t>
      </w:r>
      <w:r>
        <w:t xml:space="preserve"> (tidak dihitung pakai Net Adjustment DBI, kecuali Amputasi yang tetap digabung):</w:t>
      </w:r>
    </w:p>
    <w:p>
      <w:pPr>
        <w:pStyle w:val="ListBullet2"/>
      </w:pPr>
      <w:r>
        <w:rPr>
          <w:b/>
        </w:rPr>
        <w:t>Range of Motion (ROM)</w:t>
      </w:r>
      <w:r>
        <w:t xml:space="preserve"> — tidak boleh digabung dengan DBI untuk diagnosis yang sama.</w:t>
      </w:r>
    </w:p>
    <w:p>
      <w:pPr>
        <w:pStyle w:val="ListBullet2"/>
      </w:pPr>
      <w:r>
        <w:rPr>
          <w:b/>
        </w:rPr>
        <w:t>Amputation</w:t>
      </w:r>
      <w:r>
        <w:t xml:space="preserve"> — digabungkan dengan DBI lain via Combined Values Chart.</w:t>
      </w:r>
    </w:p>
    <w:p>
      <w:pPr>
        <w:pStyle w:val="ListBullet2"/>
      </w:pPr>
      <w:r>
        <w:rPr>
          <w:b/>
        </w:rPr>
        <w:t>Peripheral Nerve/CRPS</w:t>
      </w:r>
      <w:r>
        <w:t xml:space="preserve"> — digabung dengan DBI hanya jika DBI belum mencakup kerusakan saraf itu.</w:t>
      </w:r>
    </w:p>
    <w:p>
      <w:pPr>
        <w:pStyle w:val="Heading2"/>
      </w:pPr>
      <w:r>
        <w:t>Permenaker — Sistem Grading per Bidang (masing-masing organ punya sistemnya sendiri)</w:t>
      </w:r>
    </w:p>
    <w:p>
      <w:r>
        <w:rPr>
          <w:b/>
        </w:rPr>
        <w:t>Neurologi — Manual Muscle Test (MMT):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1F4E5F"/>
          </w:tcPr>
          <w:p>
            <w:r>
              <w:rPr>
                <w:b/>
                <w:color w:val="FFFFFF"/>
                <w:sz w:val="18"/>
              </w:rPr>
              <w:t>Nilai MMT</w:t>
            </w:r>
          </w:p>
        </w:tc>
        <w:tc>
          <w:tcPr>
            <w:tcW w:type="dxa" w:w="2880"/>
            <w:shd w:val="clear" w:color="auto" w:fill="1F4E5F"/>
          </w:tcPr>
          <w:p>
            <w:r>
              <w:rPr>
                <w:b/>
                <w:color w:val="FFFFFF"/>
                <w:sz w:val="18"/>
              </w:rPr>
              <w:t>Deskripsi</w:t>
            </w:r>
          </w:p>
        </w:tc>
        <w:tc>
          <w:tcPr>
            <w:tcW w:type="dxa" w:w="2880"/>
            <w:shd w:val="clear" w:color="auto" w:fill="1F4E5F"/>
          </w:tcPr>
          <w:p>
            <w:r>
              <w:rPr>
                <w:b/>
                <w:color w:val="FFFFFF"/>
                <w:sz w:val="18"/>
              </w:rPr>
              <w:t>% Cacat</w:t>
            </w:r>
          </w:p>
        </w:tc>
      </w:tr>
      <w:tr>
        <w:tc>
          <w:tcPr>
            <w:tcW w:type="dxa" w:w="2880"/>
          </w:tcPr>
          <w:p>
            <w:r>
              <w:rPr>
                <w:sz w:val="18"/>
              </w:rPr>
              <w:t>0</w:t>
            </w:r>
          </w:p>
        </w:tc>
        <w:tc>
          <w:tcPr>
            <w:tcW w:type="dxa" w:w="2880"/>
          </w:tcPr>
          <w:p>
            <w:r>
              <w:rPr>
                <w:sz w:val="18"/>
              </w:rPr>
              <w:t>Kelumpuhan = amputasi</w:t>
            </w:r>
          </w:p>
        </w:tc>
        <w:tc>
          <w:tcPr>
            <w:tcW w:type="dxa" w:w="2880"/>
          </w:tcPr>
          <w:p>
            <w:r>
              <w:rPr>
                <w:sz w:val="18"/>
              </w:rPr>
              <w:t>100%</w:t>
            </w:r>
          </w:p>
        </w:tc>
      </w:tr>
      <w:tr>
        <w:tc>
          <w:tcPr>
            <w:tcW w:type="dxa" w:w="2880"/>
          </w:tcPr>
          <w:p>
            <w:r>
              <w:rPr>
                <w:sz w:val="18"/>
              </w:rPr>
              <w:t>1</w:t>
            </w:r>
          </w:p>
        </w:tc>
        <w:tc>
          <w:tcPr>
            <w:tcW w:type="dxa" w:w="2880"/>
          </w:tcPr>
          <w:p>
            <w:r>
              <w:rPr>
                <w:sz w:val="18"/>
              </w:rPr>
              <w:t>Ada gerak otot tanpa gerak sendi</w:t>
            </w:r>
          </w:p>
        </w:tc>
        <w:tc>
          <w:tcPr>
            <w:tcW w:type="dxa" w:w="2880"/>
          </w:tcPr>
          <w:p>
            <w:r>
              <w:rPr>
                <w:sz w:val="18"/>
              </w:rPr>
              <w:t>80%</w:t>
            </w:r>
          </w:p>
        </w:tc>
      </w:tr>
      <w:tr>
        <w:tc>
          <w:tcPr>
            <w:tcW w:type="dxa" w:w="2880"/>
          </w:tcPr>
          <w:p>
            <w:r>
              <w:rPr>
                <w:sz w:val="18"/>
              </w:rPr>
              <w:t>2</w:t>
            </w:r>
          </w:p>
        </w:tc>
        <w:tc>
          <w:tcPr>
            <w:tcW w:type="dxa" w:w="2880"/>
          </w:tcPr>
          <w:p>
            <w:r>
              <w:rPr>
                <w:sz w:val="18"/>
              </w:rPr>
              <w:t>Gerak sendi tanpa gravitasi</w:t>
            </w:r>
          </w:p>
        </w:tc>
        <w:tc>
          <w:tcPr>
            <w:tcW w:type="dxa" w:w="2880"/>
          </w:tcPr>
          <w:p>
            <w:r>
              <w:rPr>
                <w:sz w:val="18"/>
              </w:rPr>
              <w:t>60%</w:t>
            </w:r>
          </w:p>
        </w:tc>
      </w:tr>
      <w:tr>
        <w:tc>
          <w:tcPr>
            <w:tcW w:type="dxa" w:w="2880"/>
          </w:tcPr>
          <w:p>
            <w:r>
              <w:rPr>
                <w:sz w:val="18"/>
              </w:rPr>
              <w:t>3</w:t>
            </w:r>
          </w:p>
        </w:tc>
        <w:tc>
          <w:tcPr>
            <w:tcW w:type="dxa" w:w="2880"/>
          </w:tcPr>
          <w:p>
            <w:r>
              <w:rPr>
                <w:sz w:val="18"/>
              </w:rPr>
              <w:t>Gerak sendi dengan gravitasi</w:t>
            </w:r>
          </w:p>
        </w:tc>
        <w:tc>
          <w:tcPr>
            <w:tcW w:type="dxa" w:w="2880"/>
          </w:tcPr>
          <w:p>
            <w:r>
              <w:rPr>
                <w:sz w:val="18"/>
              </w:rPr>
              <w:t>40%</w:t>
            </w:r>
          </w:p>
        </w:tc>
      </w:tr>
      <w:tr>
        <w:tc>
          <w:tcPr>
            <w:tcW w:type="dxa" w:w="2880"/>
          </w:tcPr>
          <w:p>
            <w:r>
              <w:rPr>
                <w:sz w:val="18"/>
              </w:rPr>
              <w:t>4</w:t>
            </w:r>
          </w:p>
        </w:tc>
        <w:tc>
          <w:tcPr>
            <w:tcW w:type="dxa" w:w="2880"/>
          </w:tcPr>
          <w:p>
            <w:r>
              <w:rPr>
                <w:sz w:val="18"/>
              </w:rPr>
              <w:t>Lawan tahanan ringan</w:t>
            </w:r>
          </w:p>
        </w:tc>
        <w:tc>
          <w:tcPr>
            <w:tcW w:type="dxa" w:w="2880"/>
          </w:tcPr>
          <w:p>
            <w:r>
              <w:rPr>
                <w:sz w:val="18"/>
              </w:rPr>
              <w:t>20%</w:t>
            </w:r>
          </w:p>
        </w:tc>
      </w:tr>
      <w:tr>
        <w:tc>
          <w:tcPr>
            <w:tcW w:type="dxa" w:w="2880"/>
          </w:tcPr>
          <w:p>
            <w:r>
              <w:rPr>
                <w:sz w:val="18"/>
              </w:rPr>
              <w:t>5</w:t>
            </w:r>
          </w:p>
        </w:tc>
        <w:tc>
          <w:tcPr>
            <w:tcW w:type="dxa" w:w="2880"/>
          </w:tcPr>
          <w:p>
            <w:r>
              <w:rPr>
                <w:sz w:val="18"/>
              </w:rPr>
              <w:t>Lawan tahanan kuat/penuh</w:t>
            </w:r>
          </w:p>
        </w:tc>
        <w:tc>
          <w:tcPr>
            <w:tcW w:type="dxa" w:w="2880"/>
          </w:tcPr>
          <w:p>
            <w:r>
              <w:rPr>
                <w:sz w:val="18"/>
              </w:rPr>
              <w:t>0%</w:t>
            </w:r>
          </w:p>
        </w:tc>
      </w:tr>
    </w:tbl>
    <w:p/>
    <w:p>
      <w:r>
        <w:rPr>
          <w:b/>
        </w:rPr>
        <w:t>Cedera medula spinalis — Impairment Scale (ASIA/IMSOP):</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1F4E5F"/>
          </w:tcPr>
          <w:p>
            <w:r>
              <w:rPr>
                <w:b/>
                <w:color w:val="FFFFFF"/>
                <w:sz w:val="18"/>
              </w:rPr>
              <w:t>Grade</w:t>
            </w:r>
          </w:p>
        </w:tc>
        <w:tc>
          <w:tcPr>
            <w:tcW w:type="dxa" w:w="2160"/>
            <w:shd w:val="clear" w:color="auto" w:fill="1F4E5F"/>
          </w:tcPr>
          <w:p>
            <w:r>
              <w:rPr>
                <w:b/>
                <w:color w:val="FFFFFF"/>
                <w:sz w:val="18"/>
              </w:rPr>
              <w:t>Tipe</w:t>
            </w:r>
          </w:p>
        </w:tc>
        <w:tc>
          <w:tcPr>
            <w:tcW w:type="dxa" w:w="2160"/>
            <w:shd w:val="clear" w:color="auto" w:fill="1F4E5F"/>
          </w:tcPr>
          <w:p>
            <w:r>
              <w:rPr>
                <w:b/>
                <w:color w:val="FFFFFF"/>
                <w:sz w:val="18"/>
              </w:rPr>
              <w:t>Deskripsi fungsi</w:t>
            </w:r>
          </w:p>
        </w:tc>
        <w:tc>
          <w:tcPr>
            <w:tcW w:type="dxa" w:w="2160"/>
            <w:shd w:val="clear" w:color="auto" w:fill="1F4E5F"/>
          </w:tcPr>
          <w:p>
            <w:r>
              <w:rPr>
                <w:b/>
                <w:color w:val="FFFFFF"/>
                <w:sz w:val="18"/>
              </w:rPr>
              <w:t>% fungsi hilang</w:t>
            </w:r>
          </w:p>
        </w:tc>
      </w:tr>
      <w:tr>
        <w:tc>
          <w:tcPr>
            <w:tcW w:type="dxa" w:w="2160"/>
          </w:tcPr>
          <w:p>
            <w:r>
              <w:rPr>
                <w:sz w:val="18"/>
              </w:rPr>
              <w:t>A</w:t>
            </w:r>
          </w:p>
        </w:tc>
        <w:tc>
          <w:tcPr>
            <w:tcW w:type="dxa" w:w="2160"/>
          </w:tcPr>
          <w:p>
            <w:r>
              <w:rPr>
                <w:sz w:val="18"/>
              </w:rPr>
              <w:t>Komplit</w:t>
            </w:r>
          </w:p>
        </w:tc>
        <w:tc>
          <w:tcPr>
            <w:tcW w:type="dxa" w:w="2160"/>
          </w:tcPr>
          <w:p>
            <w:r>
              <w:rPr>
                <w:sz w:val="18"/>
              </w:rPr>
              <w:t>Tak ada motorik/sensorik S4-S5</w:t>
            </w:r>
          </w:p>
        </w:tc>
        <w:tc>
          <w:tcPr>
            <w:tcW w:type="dxa" w:w="2160"/>
          </w:tcPr>
          <w:p>
            <w:r>
              <w:rPr>
                <w:sz w:val="18"/>
              </w:rPr>
              <w:t>&gt;75%</w:t>
            </w:r>
          </w:p>
        </w:tc>
      </w:tr>
      <w:tr>
        <w:tc>
          <w:tcPr>
            <w:tcW w:type="dxa" w:w="2160"/>
          </w:tcPr>
          <w:p>
            <w:r>
              <w:rPr>
                <w:sz w:val="18"/>
              </w:rPr>
              <w:t>B</w:t>
            </w:r>
          </w:p>
        </w:tc>
        <w:tc>
          <w:tcPr>
            <w:tcW w:type="dxa" w:w="2160"/>
          </w:tcPr>
          <w:p>
            <w:r>
              <w:rPr>
                <w:sz w:val="18"/>
              </w:rPr>
              <w:t>Inkomplit</w:t>
            </w:r>
          </w:p>
        </w:tc>
        <w:tc>
          <w:tcPr>
            <w:tcW w:type="dxa" w:w="2160"/>
          </w:tcPr>
          <w:p>
            <w:r>
              <w:rPr>
                <w:sz w:val="18"/>
              </w:rPr>
              <w:t>Sensorik baik, motorik terganggu s.d. S4-S5</w:t>
            </w:r>
          </w:p>
        </w:tc>
        <w:tc>
          <w:tcPr>
            <w:tcW w:type="dxa" w:w="2160"/>
          </w:tcPr>
          <w:p>
            <w:r>
              <w:rPr>
                <w:sz w:val="18"/>
              </w:rPr>
              <w:t>&gt;50-75%</w:t>
            </w:r>
          </w:p>
        </w:tc>
      </w:tr>
      <w:tr>
        <w:tc>
          <w:tcPr>
            <w:tcW w:type="dxa" w:w="2160"/>
          </w:tcPr>
          <w:p>
            <w:r>
              <w:rPr>
                <w:sz w:val="18"/>
              </w:rPr>
              <w:t>C</w:t>
            </w:r>
          </w:p>
        </w:tc>
        <w:tc>
          <w:tcPr>
            <w:tcW w:type="dxa" w:w="2160"/>
          </w:tcPr>
          <w:p>
            <w:r>
              <w:rPr>
                <w:sz w:val="18"/>
              </w:rPr>
              <w:t>Inkomplit</w:t>
            </w:r>
          </w:p>
        </w:tc>
        <w:tc>
          <w:tcPr>
            <w:tcW w:type="dxa" w:w="2160"/>
          </w:tcPr>
          <w:p>
            <w:r>
              <w:rPr>
                <w:sz w:val="18"/>
              </w:rPr>
              <w:t>Motorik terganggu, kekuatan &lt;3</w:t>
            </w:r>
          </w:p>
        </w:tc>
        <w:tc>
          <w:tcPr>
            <w:tcW w:type="dxa" w:w="2160"/>
          </w:tcPr>
          <w:p>
            <w:r>
              <w:rPr>
                <w:sz w:val="18"/>
              </w:rPr>
              <w:t>&gt;25-50%</w:t>
            </w:r>
          </w:p>
        </w:tc>
      </w:tr>
      <w:tr>
        <w:tc>
          <w:tcPr>
            <w:tcW w:type="dxa" w:w="2160"/>
          </w:tcPr>
          <w:p>
            <w:r>
              <w:rPr>
                <w:sz w:val="18"/>
              </w:rPr>
              <w:t>D</w:t>
            </w:r>
          </w:p>
        </w:tc>
        <w:tc>
          <w:tcPr>
            <w:tcW w:type="dxa" w:w="2160"/>
          </w:tcPr>
          <w:p>
            <w:r>
              <w:rPr>
                <w:sz w:val="18"/>
              </w:rPr>
              <w:t>Inkomplit</w:t>
            </w:r>
          </w:p>
        </w:tc>
        <w:tc>
          <w:tcPr>
            <w:tcW w:type="dxa" w:w="2160"/>
          </w:tcPr>
          <w:p>
            <w:r>
              <w:rPr>
                <w:sz w:val="18"/>
              </w:rPr>
              <w:t>Motorik terganggu, kekuatan &gt;3</w:t>
            </w:r>
          </w:p>
        </w:tc>
        <w:tc>
          <w:tcPr>
            <w:tcW w:type="dxa" w:w="2160"/>
          </w:tcPr>
          <w:p>
            <w:r>
              <w:rPr>
                <w:sz w:val="18"/>
              </w:rPr>
              <w:t>1-25%</w:t>
            </w:r>
          </w:p>
        </w:tc>
      </w:tr>
      <w:tr>
        <w:tc>
          <w:tcPr>
            <w:tcW w:type="dxa" w:w="2160"/>
          </w:tcPr>
          <w:p>
            <w:r>
              <w:rPr>
                <w:sz w:val="18"/>
              </w:rPr>
              <w:t>E</w:t>
            </w:r>
          </w:p>
        </w:tc>
        <w:tc>
          <w:tcPr>
            <w:tcW w:type="dxa" w:w="2160"/>
          </w:tcPr>
          <w:p>
            <w:r>
              <w:rPr>
                <w:sz w:val="18"/>
              </w:rPr>
              <w:t>Normal</w:t>
            </w:r>
          </w:p>
        </w:tc>
        <w:tc>
          <w:tcPr>
            <w:tcW w:type="dxa" w:w="2160"/>
          </w:tcPr>
          <w:p>
            <w:r>
              <w:rPr>
                <w:sz w:val="18"/>
              </w:rPr>
              <w:t>—</w:t>
            </w:r>
          </w:p>
        </w:tc>
        <w:tc>
          <w:tcPr>
            <w:tcW w:type="dxa" w:w="2160"/>
          </w:tcPr>
          <w:p>
            <w:r>
              <w:rPr>
                <w:sz w:val="18"/>
              </w:rPr>
              <w:t>0%</w:t>
            </w:r>
          </w:p>
        </w:tc>
      </w:tr>
    </w:tbl>
    <w:p/>
    <w:p>
      <w:pPr>
        <w:pStyle w:val="ListBullet"/>
      </w:pPr>
      <w:r>
        <w:rPr>
          <w:b/>
        </w:rPr>
        <w:t>Cedera kepala berat</w:t>
      </w:r>
      <w:r>
        <w:t xml:space="preserve"> — Glasgow Outcome Scale (GOS), dinilai setelah </w:t>
      </w:r>
      <w:r>
        <w:rPr>
          <w:b/>
        </w:rPr>
        <w:t>6 bulan</w:t>
      </w:r>
      <w:r>
        <w:t xml:space="preserve"> neurorehabilitasi: GOS 1 (vegetatif) &gt;75% hilang · GOS 2 (disabilitas berat) 51-75% · GOS 3 (sedang) 25-50% · GOS 4 (ringan) 1-25%.</w:t>
      </w:r>
    </w:p>
    <w:p>
      <w:pPr>
        <w:pStyle w:val="ListBullet"/>
      </w:pPr>
      <w:r>
        <w:rPr>
          <w:b/>
        </w:rPr>
        <w:t>Ischialgia/Brachialgia &amp; neuritis jebakan</w:t>
      </w:r>
      <w:r>
        <w:t>: dinilai setelah terapi 6 bulan — kemampuan kerja 50-75% → santunan 40%; 25-50% → santunan 20%.</w:t>
      </w:r>
    </w:p>
    <w:p>
      <w:pPr>
        <w:pStyle w:val="ListBullet"/>
      </w:pPr>
      <w:r>
        <w:rPr>
          <w:b/>
        </w:rPr>
        <w:t>Gangguan Fungsi Steinbrocker</w:t>
      </w:r>
      <w:r>
        <w:t xml:space="preserve"> (skala fungsional umum, subjektif — hindari kecuali darurat tanpa panduan objektif lain): 1 → aktivitas sehari-hari 25% · 2 → beberapa kesukaran 50% · 3 → terbatas/perlu dibantu 75% · 4 → sangat sukar 100%.</w:t>
      </w:r>
    </w:p>
    <w:p>
      <w:r>
        <w:rPr>
          <w:i/>
        </w:rPr>
        <w:t>(Grading detail per bidang lain — Kulit, Penyakit Dalam, Psikiatri, THT, Orthopaedi, Paru, Mata, Radiasi Mengion — tetap diarsipkan lengkap di `Catatan_Kecacatan_Permenaker.docx`/`.md` sebagai referensi; tidak diduplikasi di sini.)</w:t>
      </w:r>
    </w:p>
    <w:p>
      <w:pPr>
        <w:pStyle w:val="Heading1"/>
      </w:pPr>
      <w:r>
        <w:t>6. Kalkulasi/Formula Wajib</w:t>
      </w:r>
    </w:p>
    <w:p>
      <w:pPr>
        <w:pStyle w:val="ListBullet"/>
      </w:pPr>
      <w:r>
        <w:rPr>
          <w:b/>
        </w:rPr>
        <w:t>Formula Santunan (Indonesia)</w:t>
      </w:r>
      <w:r>
        <w:t>:</w:t>
      </w:r>
    </w:p>
    <w:p>
      <w:pPr>
        <w:pStyle w:val="ListBullet2"/>
      </w:pPr>
      <w:r>
        <w:t xml:space="preserve">Cacat Sebagian Anatomis = % Tabel (Lampiran III PP 44/2015) × </w:t>
      </w:r>
      <w:r>
        <w:rPr>
          <w:b/>
        </w:rPr>
        <w:t>80</w:t>
      </w:r>
      <w:r>
        <w:t xml:space="preserve"> × Upah Sebulan</w:t>
      </w:r>
    </w:p>
    <w:p>
      <w:pPr>
        <w:pStyle w:val="ListBullet2"/>
      </w:pPr>
      <w:r>
        <w:t>Cacat Sebagian Fungsi = % berkurangnya fungsi × % sesuai tabel × 80 × Upah Sebulan</w:t>
      </w:r>
    </w:p>
    <w:p>
      <w:pPr>
        <w:pStyle w:val="ListBullet2"/>
      </w:pPr>
      <w:r>
        <w:t xml:space="preserve">Cacat Total Tetap = </w:t>
      </w:r>
      <w:r>
        <w:rPr>
          <w:b/>
        </w:rPr>
        <w:t>70%</w:t>
      </w:r>
      <w:r>
        <w:t xml:space="preserve"> × 80 × Upah Sebulan</w:t>
      </w:r>
    </w:p>
    <w:p>
      <w:pPr>
        <w:pStyle w:val="ListBullet2"/>
      </w:pPr>
      <w:r>
        <w:t xml:space="preserve">Konstanta </w:t>
      </w:r>
      <w:r>
        <w:rPr>
          <w:b/>
        </w:rPr>
        <w:t>80</w:t>
      </w:r>
      <w:r>
        <w:t xml:space="preserve"> = bulan upah baku yang merepresentasikan santunan setara 80 bulan upah untuk cacat 100%. </w:t>
      </w:r>
      <w:r>
        <w:rPr>
          <w:b/>
        </w:rPr>
        <w:t>Upah Sebulan</w:t>
      </w:r>
      <w:r>
        <w:t xml:space="preserve"> = upah tetap terakhir yang dilaporkan (Pasal 19 PP 44/2015) — rata-rata 12 bulan hanya berlaku untuk upah musiman/fluktuatif.</w:t>
      </w:r>
    </w:p>
    <w:p>
      <w:pPr>
        <w:pStyle w:val="ListBullet"/>
      </w:pPr>
      <w:r>
        <w:rPr>
          <w:b/>
        </w:rPr>
        <w:t>AMA Combined Values Chart</w:t>
      </w:r>
      <w:r>
        <w:t xml:space="preserve">: urutkan nilai besar→kecil, gabungkan 2 nilai terbesar dulu, hasilnya digabung lagi dengan nilai berikutnya, dst. </w:t>
      </w:r>
      <w:r>
        <w:rPr>
          <w:b/>
        </w:rPr>
        <w:t>Bukan penjumlahan aritmetik</w:t>
      </w:r>
      <w:r>
        <w:t xml:space="preserve"> — hasil selalu ≤ jumlah aritmetik individual. Contoh: 35% digabung 20% = </w:t>
      </w:r>
      <w:r>
        <w:rPr>
          <w:b/>
        </w:rPr>
        <w:t>48%</w:t>
      </w:r>
      <w:r>
        <w:t xml:space="preserve"> (bukan 55%), karena 20% dihitung dari sisa 65% yang belum cacat (65%×20%=13%; 35%+13%=48%).</w:t>
      </w:r>
    </w:p>
    <w:p>
      <w:pPr>
        <w:pStyle w:val="ListBullet"/>
      </w:pPr>
      <w:r>
        <w:rPr>
          <w:b/>
        </w:rPr>
        <w:t>DBI Net Adjustment Formula</w:t>
      </w:r>
      <w:r>
        <w:t>:</w:t>
      </w:r>
    </w:p>
    <w:p>
      <w:r>
        <w:t>`Net Adjustment = (GMFH − CDX) + (GMPE − CDX) + (GMCS − CDX)`</w:t>
      </w:r>
    </w:p>
    <w:p>
      <w:r>
        <w:t>di mana CDX = nomor kelas diagnosis. Faktor tidak reliabel dikeluarkan dari rumus (bukan diberi nilai 0).</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1F4E5F"/>
          </w:tcPr>
          <w:p>
            <w:r>
              <w:rPr>
                <w:b/>
                <w:color w:val="FFFFFF"/>
                <w:sz w:val="18"/>
              </w:rPr>
              <w:t>Net Adjustment</w:t>
            </w:r>
          </w:p>
        </w:tc>
        <w:tc>
          <w:tcPr>
            <w:tcW w:type="dxa" w:w="4320"/>
            <w:shd w:val="clear" w:color="auto" w:fill="1F4E5F"/>
          </w:tcPr>
          <w:p>
            <w:r>
              <w:rPr>
                <w:b/>
                <w:color w:val="FFFFFF"/>
                <w:sz w:val="18"/>
              </w:rPr>
              <w:t>Grade</w:t>
            </w:r>
          </w:p>
        </w:tc>
      </w:tr>
      <w:tr>
        <w:tc>
          <w:tcPr>
            <w:tcW w:type="dxa" w:w="4320"/>
          </w:tcPr>
          <w:p>
            <w:r>
              <w:rPr>
                <w:sz w:val="18"/>
              </w:rPr>
              <w:t>−2</w:t>
            </w:r>
          </w:p>
        </w:tc>
        <w:tc>
          <w:tcPr>
            <w:tcW w:type="dxa" w:w="4320"/>
          </w:tcPr>
          <w:p>
            <w:r>
              <w:rPr>
                <w:sz w:val="18"/>
              </w:rPr>
              <w:t>A (paling ringan)</w:t>
            </w:r>
          </w:p>
        </w:tc>
      </w:tr>
      <w:tr>
        <w:tc>
          <w:tcPr>
            <w:tcW w:type="dxa" w:w="4320"/>
          </w:tcPr>
          <w:p>
            <w:r>
              <w:rPr>
                <w:sz w:val="18"/>
              </w:rPr>
              <w:t>−1</w:t>
            </w:r>
          </w:p>
        </w:tc>
        <w:tc>
          <w:tcPr>
            <w:tcW w:type="dxa" w:w="4320"/>
          </w:tcPr>
          <w:p>
            <w:r>
              <w:rPr>
                <w:sz w:val="18"/>
              </w:rPr>
              <w:t>B</w:t>
            </w:r>
          </w:p>
        </w:tc>
      </w:tr>
      <w:tr>
        <w:tc>
          <w:tcPr>
            <w:tcW w:type="dxa" w:w="4320"/>
          </w:tcPr>
          <w:p>
            <w:r>
              <w:rPr>
                <w:sz w:val="18"/>
              </w:rPr>
              <w:t>0</w:t>
            </w:r>
          </w:p>
        </w:tc>
        <w:tc>
          <w:tcPr>
            <w:tcW w:type="dxa" w:w="4320"/>
          </w:tcPr>
          <w:p>
            <w:r>
              <w:rPr>
                <w:sz w:val="18"/>
              </w:rPr>
              <w:t>C (default)</w:t>
            </w:r>
          </w:p>
        </w:tc>
      </w:tr>
      <w:tr>
        <w:tc>
          <w:tcPr>
            <w:tcW w:type="dxa" w:w="4320"/>
          </w:tcPr>
          <w:p>
            <w:r>
              <w:rPr>
                <w:sz w:val="18"/>
              </w:rPr>
              <w:t>+1</w:t>
            </w:r>
          </w:p>
        </w:tc>
        <w:tc>
          <w:tcPr>
            <w:tcW w:type="dxa" w:w="4320"/>
          </w:tcPr>
          <w:p>
            <w:r>
              <w:rPr>
                <w:sz w:val="18"/>
              </w:rPr>
              <w:t>D</w:t>
            </w:r>
          </w:p>
        </w:tc>
      </w:tr>
      <w:tr>
        <w:tc>
          <w:tcPr>
            <w:tcW w:type="dxa" w:w="4320"/>
          </w:tcPr>
          <w:p>
            <w:r>
              <w:rPr>
                <w:sz w:val="18"/>
              </w:rPr>
              <w:t>+2</w:t>
            </w:r>
          </w:p>
        </w:tc>
        <w:tc>
          <w:tcPr>
            <w:tcW w:type="dxa" w:w="4320"/>
          </w:tcPr>
          <w:p>
            <w:r>
              <w:rPr>
                <w:sz w:val="18"/>
              </w:rPr>
              <w:t>E (paling berat)</w:t>
            </w:r>
          </w:p>
        </w:tc>
      </w:tr>
    </w:tbl>
    <w:p/>
    <w:p>
      <w:r>
        <w:t xml:space="preserve">Tidak pernah melompat kelas walau Net Adjustment melebihi ±2. </w:t>
      </w:r>
      <w:r>
        <w:rPr>
          <w:b/>
        </w:rPr>
        <w:t>Koreksi Kelas 4</w:t>
      </w:r>
      <w:r>
        <w:t>: jika kelas diagnosis sudah Kelas 4 (tertinggi) dan semua grade modifier juga Kelas 4, tambahkan +1 ke tiap grade modifier sebelum dihitung agar tetap bisa mencapai Grade E.</w:t>
      </w:r>
    </w:p>
    <w:p>
      <w:pPr>
        <w:pStyle w:val="ListBullet"/>
      </w:pPr>
      <w:r>
        <w:rPr>
          <w:b/>
        </w:rPr>
        <w:t>Contoh perhitungan DBI</w:t>
      </w:r>
      <w:r>
        <w:t xml:space="preserve"> (Bab 15, trigger finger): Kelas 1 (default 6% Digit), GMFH=2, GMPE=2, GMCS=n/a → Net Adjustment = (2−1)+(2−1) = +2 → Grade E → </w:t>
      </w:r>
      <w:r>
        <w:rPr>
          <w:b/>
        </w:rPr>
        <w:t>8% Digit</w:t>
      </w:r>
      <w:r>
        <w:t xml:space="preserve"> → dikonversi via Tabel 15-12: 8% Digit → 2% Hand → 1% UEI → </w:t>
      </w:r>
      <w:r>
        <w:rPr>
          <w:b/>
        </w:rPr>
        <w:t>1% WPI</w:t>
      </w:r>
      <w:r>
        <w:t>.</w:t>
      </w:r>
    </w:p>
    <w:p>
      <w:pPr>
        <w:pStyle w:val="ListBullet"/>
      </w:pPr>
      <w:r>
        <w:rPr>
          <w:b/>
        </w:rPr>
        <w:t>Capping</w:t>
      </w:r>
      <w:r>
        <w:t xml:space="preserve">: hasil AMA &gt;70% → dilaporkan dipatok </w:t>
      </w:r>
      <w:r>
        <w:rPr>
          <w:b/>
        </w:rPr>
        <w:t>70%</w:t>
      </w:r>
      <w:r>
        <w:t xml:space="preserve"> (Prinsip Harmonisasi, lihat Poin 2).</w:t>
      </w:r>
    </w:p>
    <w:p>
      <w:pPr>
        <w:pStyle w:val="Heading1"/>
      </w:pPr>
      <w:r>
        <w:t>7. Metode Penggabungan Kecacatan Majemuk</w:t>
      </w:r>
    </w:p>
    <w:p>
      <w:pPr>
        <w:pStyle w:val="ListBullet"/>
      </w:pPr>
      <w:r>
        <w:rPr>
          <w:b/>
        </w:rPr>
        <w:t>Indonesia</w:t>
      </w:r>
      <w:r>
        <w:t xml:space="preserve">: tidak boleh dijumlah aritmetik biasa (A+B ≠ Total). Memakai perhitungan klinis segmental sesuai aturan nasional — </w:t>
      </w:r>
      <w:r>
        <w:rPr>
          <w:b/>
        </w:rPr>
        <w:t>tidak ada rumus non-linear formal</w:t>
      </w:r>
      <w:r>
        <w:t xml:space="preserve"> seperti AMA; penggabungan bersifat pendekatan administratif per-segmen.</w:t>
      </w:r>
    </w:p>
    <w:p>
      <w:pPr>
        <w:pStyle w:val="ListBullet"/>
      </w:pPr>
      <w:r>
        <w:rPr>
          <w:b/>
        </w:rPr>
        <w:t>AMA</w:t>
      </w:r>
      <w:r>
        <w:t xml:space="preserve">: </w:t>
      </w:r>
      <w:r>
        <w:rPr>
          <w:b/>
        </w:rPr>
        <w:t>Combined Values Chart (CVC)</w:t>
      </w:r>
      <w:r>
        <w:t xml:space="preserve"> — berbasis logika "sisa kapasitas yang belum terpakai" (lihat Poin 6).</w:t>
      </w:r>
    </w:p>
    <w:p>
      <w:pPr>
        <w:pStyle w:val="ListBullet"/>
      </w:pPr>
      <w:r>
        <w:rPr>
          <w:b/>
        </w:rPr>
        <w:t>Kasus overlap segmental</w:t>
      </w:r>
      <w:r>
        <w:t xml:space="preserve">: dilarang menulis cacat anatomis DAN cacat fungsi terpisah untuk segmen yang sama (mis. amputasi di atas siku + gangguan ROM bahu sisi sama). Solusi: gabungkan seluruh defisit fungsional lewat AMA Guides menjadi satu nilai </w:t>
      </w:r>
      <w:r>
        <w:rPr>
          <w:i/>
        </w:rPr>
        <w:t>upper extremity impairment</w:t>
      </w:r>
      <w:r>
        <w:t xml:space="preserve"> utuh, baru dikonversi ke segmen nasional setara.</w:t>
      </w:r>
    </w:p>
    <w:p>
      <w:pPr>
        <w:pStyle w:val="Heading1"/>
      </w:pPr>
      <w:r>
        <w:t>8. Tatalaksana &amp; Rekomendasi</w:t>
      </w:r>
    </w:p>
    <w:p>
      <w:pPr>
        <w:pStyle w:val="ListBullet"/>
      </w:pPr>
      <w:r>
        <w:rPr>
          <w:b/>
        </w:rPr>
        <w:t>Hirarki Return to Work Mehrhoff (DGUV 2013)</w:t>
      </w:r>
      <w:r>
        <w:t>, 6 tingkat dari paling ideal ke alternatif terakhir:</w:t>
      </w:r>
    </w:p>
    <w:p>
      <w:pPr>
        <w:pStyle w:val="ListNumber"/>
      </w:pPr>
      <w:r>
        <w:t>Pekerjaan Sama – Perusahaan Sama</w:t>
      </w:r>
    </w:p>
    <w:p>
      <w:pPr>
        <w:pStyle w:val="ListNumber"/>
      </w:pPr>
      <w:r>
        <w:t>Pekerjaan Serupa – Perusahaan Sama</w:t>
      </w:r>
    </w:p>
    <w:p>
      <w:pPr>
        <w:pStyle w:val="ListNumber"/>
      </w:pPr>
      <w:r>
        <w:t>Pekerjaan Berbeda – Perusahaan Sama</w:t>
      </w:r>
    </w:p>
    <w:p>
      <w:pPr>
        <w:pStyle w:val="ListNumber"/>
      </w:pPr>
      <w:r>
        <w:t>Pekerjaan Sama – Perusahaan Berbeda</w:t>
      </w:r>
    </w:p>
    <w:p>
      <w:pPr>
        <w:pStyle w:val="ListNumber"/>
      </w:pPr>
      <w:r>
        <w:t>Pekerjaan Serupa – Perusahaan Berbeda</w:t>
      </w:r>
    </w:p>
    <w:p>
      <w:pPr>
        <w:pStyle w:val="ListNumber"/>
      </w:pPr>
      <w:r>
        <w:t>Pekerjaan Berbeda – Perusahaan Berbeda (alternatif terakhir)</w:t>
      </w:r>
    </w:p>
    <w:p>
      <w:pPr>
        <w:pStyle w:val="ListBullet"/>
      </w:pPr>
      <w:r>
        <w:rPr>
          <w:b/>
        </w:rPr>
        <w:t>Larangan PHK Absolut</w:t>
      </w:r>
      <w:r>
        <w:t xml:space="preserve"> (UU 13/2003 jo. PP 44/2015): pengusaha dilarang keras PHK pekerja dengan cacat total tetap, atau sakit akibat KK/hubungan kerja yang masa sembuhnya </w:t>
      </w:r>
      <w:r>
        <w:rPr>
          <w:b/>
        </w:rPr>
        <w:t>belum dapat dipastikan</w:t>
      </w:r>
      <w:r>
        <w:t>.</w:t>
      </w:r>
    </w:p>
    <w:p>
      <w:pPr>
        <w:pStyle w:val="ListBullet"/>
      </w:pPr>
      <w:r>
        <w:rPr>
          <w:b/>
        </w:rPr>
        <w:t>Kapan "Tutup Pengobatan" administratif</w:t>
      </w:r>
      <w:r>
        <w:t xml:space="preserve"> vs lanjut observasi: bila pasien membesar-besarkan gejala tanpa bukti objektif pendukung (mis. mengaku buta padahal slit lamp normal), dokter tidak perlu berdebat soal persentase — tutup kasus administratif sebagai "Tutup Pengobatan"; laporan medis tetap ditulis objektif (sembuh tanpa cacat).</w:t>
      </w:r>
    </w:p>
    <w:p>
      <w:pPr>
        <w:pStyle w:val="ListBullet"/>
      </w:pPr>
      <w:r>
        <w:rPr>
          <w:b/>
        </w:rPr>
        <w:t>Contoh nyata case manager</w:t>
      </w:r>
      <w:r>
        <w:t xml:space="preserve"> (Ny. E, PT U): cedera terjepit mesin press kerah baju (5 Mei 2014). Setelah pendampingan Case Manager JKK-RTW, berhasil dikembalikan bekerja di unit lain (unit lobang kancing, bukan unit lama) — sesuai tingkatan hirarki Mehrhoff.</w:t>
      </w:r>
    </w:p>
    <w:p>
      <w:pPr>
        <w:pStyle w:val="Heading1"/>
      </w:pPr>
      <w:r>
        <w:t>9. Perbandingan Longitudinal</w:t>
      </w:r>
    </w:p>
    <w:p>
      <w:pPr>
        <w:ind w:left="340"/>
      </w:pPr>
      <w:r>
        <w:rPr>
          <w:b/>
          <w:i/>
          <w:color w:val="8A2B06"/>
        </w:rPr>
        <w:t>[BARU — NotebookLM, notebook "Kecacatan"]</w:t>
      </w:r>
    </w:p>
    <w:p>
      <w:pPr>
        <w:pStyle w:val="Heading2"/>
      </w:pPr>
      <w:r>
        <w:t>a. Analisis Baseline (Pra-Kerja vs. Pasca-Cedera)</w:t>
      </w:r>
    </w:p>
    <w:p>
      <w:r>
        <w:t xml:space="preserve">Dokter pemeriksa </w:t>
      </w:r>
      <w:r>
        <w:rPr>
          <w:b/>
        </w:rPr>
        <w:t>dilarang keras mengasumsikan</w:t>
      </w:r>
      <w:r>
        <w:t xml:space="preserve"> kondisi pekerja sebelum cedera adalah 100% normal tanpa penelusuran rekam medis yang valid. Penilaian kecacatan tidak boleh dilakukan tergesa-gesa dalam satu kali pertemuan.</w:t>
      </w:r>
    </w:p>
    <w:p>
      <w:r>
        <w:rPr>
          <w:b/>
        </w:rPr>
        <w:t>Prinsip Apportionment (AMA)</w:t>
      </w:r>
      <w:r>
        <w:t xml:space="preserve"> — formula tiga langkah:</w:t>
      </w:r>
    </w:p>
    <w:p>
      <w:pPr>
        <w:pStyle w:val="ListBullet"/>
      </w:pPr>
      <w:r>
        <w:rPr>
          <w:b/>
        </w:rPr>
        <w:t>Rating Total (A)</w:t>
      </w:r>
      <w:r>
        <w:t>: nilai derajat kecacatan pasien saat ini (kondisi pasca-cedera baru + kondisi pra-ada).</w:t>
      </w:r>
    </w:p>
    <w:p>
      <w:pPr>
        <w:pStyle w:val="ListBullet"/>
      </w:pPr>
      <w:r>
        <w:rPr>
          <w:b/>
        </w:rPr>
        <w:t>Rating Baseline (B)</w:t>
      </w:r>
      <w:r>
        <w:t>: nilai estimasi derajat kecacatan yang murni bersumber dari kondisi pra-ada sebelum kecelakaan kerja.</w:t>
      </w:r>
    </w:p>
    <w:p>
      <w:pPr>
        <w:pStyle w:val="ListBullet"/>
      </w:pPr>
      <w:r>
        <w:rPr>
          <w:b/>
        </w:rPr>
        <w:t>Rating Final (C)</w:t>
      </w:r>
      <w:r>
        <w:t xml:space="preserve"> = A − B (murni dampak kecelakaan kerja baru).</w:t>
      </w:r>
    </w:p>
    <w:p>
      <w:r>
        <w:rPr>
          <w:b/>
        </w:rPr>
        <w:t>Penelusuran administratif-klinis di Indonesia</w:t>
      </w:r>
      <w:r>
        <w:t xml:space="preserve"> untuk menegakkan nilai Baseline (B) yang valid secara hukum:</w:t>
      </w:r>
    </w:p>
    <w:p>
      <w:pPr>
        <w:pStyle w:val="ListBullet"/>
      </w:pPr>
      <w:r>
        <w:t>Data pemeriksaan kesehatan sebelum bekerja (pre-employment medical check-up).</w:t>
      </w:r>
    </w:p>
    <w:p>
      <w:pPr>
        <w:pStyle w:val="ListBullet"/>
      </w:pPr>
      <w:r>
        <w:t>Data pemeriksaan kesehatan berkala/periodik selama bekerja.</w:t>
      </w:r>
    </w:p>
    <w:p>
      <w:pPr>
        <w:pStyle w:val="ListBullet"/>
      </w:pPr>
      <w:r>
        <w:t>Riwayat kesehatan (medical record) dan data pemeriksaan khusus terdahulu.</w:t>
      </w:r>
    </w:p>
    <w:p>
      <w:r>
        <w:rPr>
          <w:b/>
        </w:rPr>
        <w:t>Simulasi kasus</w:t>
      </w:r>
      <w:r>
        <w:t xml:space="preserve">: pekerja mengalami penurunan visus menjadi 6/30 akibat trauma kornea baru, namun rekam medis 6 bulan lalu menunjukkan ia sudah punya riwayat retinopati degeneratif bawaan dengan visus stabil 6/15 (setara impairment dasar 25%) → baseline = 25%. Dokter hanya boleh menghitung selisih penurunan fungsi dari baseline 6/15 ke 6/30, </w:t>
      </w:r>
      <w:r>
        <w:rPr>
          <w:b/>
        </w:rPr>
        <w:t>bukan</w:t>
      </w:r>
      <w:r>
        <w:t xml:space="preserve"> mengasumsikan baseline awalnya 6/6 (normal/0%). Jika tidak ada dokumentasi baseline memadai, lakukan anamnesis mendalam untuk melacak riwayat kecelakaan kerja terdahulu atau penyakit bawaan.</w:t>
      </w:r>
    </w:p>
    <w:p>
      <w:pPr>
        <w:pStyle w:val="Heading2"/>
      </w:pPr>
      <w:r>
        <w:t>b. MMI Sebagai Checkpoint Mutlak</w:t>
      </w:r>
    </w:p>
    <w:p>
      <w:r>
        <w:t>MMI adalah pintu gerbang legal (checkpoint) yang wajib dilewati sebelum dokter diizinkan mengeluarkan nilai akhir persentase kecacatan (</w:t>
      </w:r>
      <w:r>
        <w:rPr>
          <w:i/>
        </w:rPr>
        <w:t>final rating</w:t>
      </w:r>
      <w:r>
        <w:t>).</w:t>
      </w:r>
    </w:p>
    <w:p>
      <w:pPr>
        <w:pStyle w:val="ListBullet"/>
      </w:pPr>
      <w:r>
        <w:rPr>
          <w:b/>
        </w:rPr>
        <w:t>Definisi klinis (AMA)</w:t>
      </w:r>
      <w:r>
        <w:t>: MMI = fase di mana kondisi patologis pasien telah berada dalam kondisi terbaik yang dapat dicapai dari seluruh upaya perawatan medis/bedah yang optimal — stabil, menetap, tidak diantisipasi membaik/berubah signifikan (&gt;3% WPI) dalam 12 bulan ke depan.</w:t>
      </w:r>
    </w:p>
    <w:p>
      <w:pPr>
        <w:pStyle w:val="ListBullet"/>
      </w:pPr>
      <w:r>
        <w:t xml:space="preserve">MMI </w:t>
      </w:r>
      <w:r>
        <w:rPr>
          <w:b/>
        </w:rPr>
        <w:t>tidak mensyaratkan</w:t>
      </w:r>
      <w:r>
        <w:t xml:space="preserve"> hilangnya seluruh keluhan subjektif atau nyeri — pasien yang butuh terapi paliatif jangka panjang untuk mempertahankan kestabilan tetap dapat dinyatakan MMI.</w:t>
      </w:r>
    </w:p>
    <w:p>
      <w:pPr>
        <w:pStyle w:val="ListBullet"/>
      </w:pPr>
      <w:r>
        <w:rPr>
          <w:b/>
        </w:rPr>
        <w:t>Kriteria waktu administratif Indonesia</w:t>
      </w:r>
      <w:r>
        <w:t xml:space="preserve"> (Permenaker 25/2008): batas umum maksimal </w:t>
      </w:r>
      <w:r>
        <w:rPr>
          <w:b/>
        </w:rPr>
        <w:t>6 bulan</w:t>
      </w:r>
      <w:r>
        <w:t xml:space="preserve"> pengobatan. Kasus ortopedi/muskuloskeletal kompleks pasca-operasi rekonstruksi/implan: dapat ditunda </w:t>
      </w:r>
      <w:r>
        <w:rPr>
          <w:b/>
        </w:rPr>
        <w:t>6 bulan – 2 tahun</w:t>
      </w:r>
      <w:r>
        <w:t xml:space="preserve"> untuk memastikan konsolidasi tulang &amp; adaptasi jaringan lunak stabil.</w:t>
      </w:r>
    </w:p>
    <w:p>
      <w:pPr>
        <w:pStyle w:val="ListBullet"/>
      </w:pPr>
      <w:r>
        <w:rPr>
          <w:b/>
        </w:rPr>
        <w:t>Kasus penolakan tindakan medis</w:t>
      </w:r>
      <w:r>
        <w:t>: jika pasien menolak tindakan yang direkomendasikan (mis. menolak operasi HNP karena takut lumpuh), tetap dapat dinyatakan MMI dengan catatan khusus ("MMI without treatment") — dokter wajib mendokumentasikan alasan penolakan + estimasi nilai kecacatan seandainya pasien bersedia terapi.</w:t>
      </w:r>
    </w:p>
    <w:p>
      <w:pPr>
        <w:pStyle w:val="Heading2"/>
      </w:pPr>
      <w:r>
        <w:t>c. ROM (Goniometri) Sebelum vs. Sesudah Fisioterapi — Alasan Penundaan Kasus</w:t>
      </w:r>
    </w:p>
    <w:p>
      <w:r>
        <w:t>Keterbatasan ROM yang diukur pada fase nyeri hebat sering bias akibat hambatan protektif mandiri (</w:t>
      </w:r>
      <w:r>
        <w:rPr>
          <w:i/>
        </w:rPr>
        <w:t>self-inhibition secondary to pain or fear</w:t>
      </w:r>
      <w:r>
        <w:t xml:space="preserve">) — tidak mencerminkan kerusakan anatomis permanen. Penilaian kecacatan fungsi sendi </w:t>
      </w:r>
      <w:r>
        <w:rPr>
          <w:b/>
        </w:rPr>
        <w:t>wajib ditunda</w:t>
      </w:r>
      <w:r>
        <w:t xml:space="preserve"> bila pasien masih fase nyeri akut atau belum menjalani fisioterapi maksimal.</w:t>
      </w:r>
    </w:p>
    <w:p>
      <w:r>
        <w:rPr>
          <w:b/>
        </w:rPr>
        <w:t>Protokol neuroma stump</w:t>
      </w:r>
      <w:r>
        <w:t xml:space="preserve"> (komplikasi pasca-amputasi, nyeri seperti tersengat listrik): kasus tidak boleh ditutup; pasien dirujuk ke Sp.KFR untuk latihan/desensitisasi intensif; jika setelah observasi </w:t>
      </w:r>
      <w:r>
        <w:rPr>
          <w:b/>
        </w:rPr>
        <w:t>minimal 1 bulan terakhir</w:t>
      </w:r>
      <w:r>
        <w:t xml:space="preserve"> tanpa perbaikan klinis sama sekali (stasioner) → baru dinyatakan MMI. Nyeri kronis residual memberi kontribusi maksimal </w:t>
      </w:r>
      <w:r>
        <w:rPr>
          <w:b/>
        </w:rPr>
        <w:t>10%</w:t>
      </w:r>
      <w:r>
        <w:t>, digabung via Combined Values Chart (bukan dijumlah aritmetik).</w:t>
      </w:r>
    </w:p>
    <w:p>
      <w:r>
        <w:rPr>
          <w:b/>
        </w:rPr>
        <w:t>Akurasi goniometri</w:t>
      </w:r>
      <w:r>
        <w:t xml:space="preserve"> (lihat juga Poin 4): prioritaskan gerak aktif; Aturan 10° antara ROM aktif vs pasif; pengulangan minimal 3×, ambil nilai maksimal yang konsisten; pembulatan ke angka terdekat berakhiran 0.</w:t>
      </w:r>
    </w:p>
    <w:p>
      <w:pPr>
        <w:pStyle w:val="Heading1"/>
      </w:pPr>
      <w:r>
        <w:t>10. Kaitan ke Pajanan Kerja (Penegakan PAK/KK)</w:t>
      </w:r>
    </w:p>
    <w:p>
      <w:pPr>
        <w:pStyle w:val="ListBullet"/>
      </w:pPr>
      <w:r>
        <w:rPr>
          <w:b/>
        </w:rPr>
        <w:t>AMA</w:t>
      </w:r>
      <w:r>
        <w:t>: 4 syarat causality (lihat Poin 1).</w:t>
      </w:r>
    </w:p>
    <w:p>
      <w:pPr>
        <w:pStyle w:val="ListBullet"/>
      </w:pPr>
      <w:r>
        <w:rPr>
          <w:b/>
        </w:rPr>
        <w:t>Permenaker 1/2025 Pasal 7 — perluasan kriteria KK</w:t>
      </w:r>
      <w:r>
        <w:t>: kekerasan fisik/pemerkosaan di tempat kerja resmi (butuh laporan polisi + Visum et Repertum dari dokter forensik); "meninggal mendadak" diperjelas — meninggal seketika saat bekerja TANPA melihat komorbid, ATAU serangan penyakit di tempat kerja + meninggal ≤</w:t>
      </w:r>
      <w:r>
        <w:rPr>
          <w:b/>
        </w:rPr>
        <w:t>24 jam</w:t>
      </w:r>
      <w:r>
        <w:t xml:space="preserve"> sejak serangan.</w:t>
      </w:r>
    </w:p>
    <w:p>
      <w:pPr>
        <w:pStyle w:val="ListBullet"/>
      </w:pPr>
      <w:r>
        <w:rPr>
          <w:b/>
        </w:rPr>
        <w:t>Kriteria BPU tambahan</w:t>
      </w:r>
      <w:r>
        <w:t xml:space="preserve"> (Pasal 85): peserta BPU wajib telah membayar iuran minimal </w:t>
      </w:r>
      <w:r>
        <w:rPr>
          <w:b/>
        </w:rPr>
        <w:t>12 bulan</w:t>
      </w:r>
      <w:r>
        <w:t xml:space="preserve"> untuk klaim "meninggal mendadak" — syarat ini </w:t>
      </w:r>
      <w:r>
        <w:rPr>
          <w:b/>
        </w:rPr>
        <w:t>tidak berlaku</w:t>
      </w:r>
      <w:r>
        <w:t xml:space="preserve"> untuk pekerja Penerima Upah.</w:t>
      </w:r>
    </w:p>
    <w:p>
      <w:pPr>
        <w:pStyle w:val="ListBullet"/>
      </w:pPr>
      <w:r>
        <w:rPr>
          <w:b/>
        </w:rPr>
        <w:t>Stroke akibat kerja</w:t>
      </w:r>
      <w:r>
        <w:t xml:space="preserve">: diakui sebagai KK jika terjadi saat bekerja </w:t>
      </w:r>
      <w:r>
        <w:rPr>
          <w:b/>
        </w:rPr>
        <w:t>dan</w:t>
      </w:r>
      <w:r>
        <w:t xml:space="preserve"> meninggal ≤24 jam sejak kejadian.</w:t>
      </w:r>
    </w:p>
    <w:p>
      <w:pPr>
        <w:pStyle w:val="ListBullet"/>
      </w:pPr>
      <w:r>
        <w:rPr>
          <w:b/>
        </w:rPr>
        <w:t>Sengketa komorbiditas vs. komplikasi</w:t>
      </w:r>
      <w:r>
        <w:t xml:space="preserve">: BPJS-TK menanggung komplikasi medis yang terbukti klinis sebagai dampak sekunder kecelakaan (mis. osteomielitis kronis akibat fraktur terbuka, neuroma stump pasca-amputasi), namun </w:t>
      </w:r>
      <w:r>
        <w:rPr>
          <w:b/>
        </w:rPr>
        <w:t>tidak menanggung</w:t>
      </w:r>
      <w:r>
        <w:t xml:space="preserve"> penyakit penyerta/komorbid (mis. stroke saat dirawat, retinopati bawaan). Dokter Sp.Ok harus jeli mendokumentasikan batas sebab-akibat trauma sejak awal.</w:t>
      </w:r>
    </w:p>
    <w:p>
      <w:pPr>
        <w:pStyle w:val="Heading1"/>
      </w:pPr>
      <w:r>
        <w:t>11. Aspek Medikolegal + Alur Prosedural-Administratif</w:t>
      </w:r>
    </w:p>
    <w:p>
      <w:pPr>
        <w:pStyle w:val="Heading2"/>
      </w:pPr>
      <w:r>
        <w:t>5 Fase Alur BPJS-TK</w:t>
      </w:r>
    </w:p>
    <w:p>
      <w:pPr>
        <w:pStyle w:val="ListNumber"/>
      </w:pPr>
      <w:r>
        <w:rPr>
          <w:b/>
        </w:rPr>
        <w:t>Fase 1 — Kejadian &amp; Penanganan Darurat</w:t>
      </w:r>
      <w:r>
        <w:t xml:space="preserve">: Prinsip </w:t>
      </w:r>
      <w:r>
        <w:rPr>
          <w:b/>
        </w:rPr>
        <w:t>First Payer</w:t>
      </w:r>
      <w:r>
        <w:t xml:space="preserve"> (Pasal 8E Permenaker 1/2025) — sebelum ada kesimpulan resmi KK/PAK, BPJS-TK wajib menjamin dahulu biaya perawatan di faskes kerja sama (tarif setara JKN); pengobatan tidak boleh ditunda menunggu administrasi.</w:t>
      </w:r>
    </w:p>
    <w:p>
      <w:pPr>
        <w:pStyle w:val="ListNumber"/>
      </w:pPr>
      <w:r>
        <w:rPr>
          <w:b/>
        </w:rPr>
        <w:t>Fase 2 — Pelaporan Tahap I (Dugaan Kasus)</w:t>
      </w:r>
      <w:r>
        <w:t xml:space="preserve">: Pemberi Kerja wajib lapor </w:t>
      </w:r>
      <w:r>
        <w:rPr>
          <w:b/>
        </w:rPr>
        <w:t>maksimal 2×24 jam</w:t>
      </w:r>
      <w:r>
        <w:t xml:space="preserve"> sejak kejadian/diagnosis, pakai </w:t>
      </w:r>
      <w:r>
        <w:rPr>
          <w:b/>
        </w:rPr>
        <w:t>Formulir 3 KK1</w:t>
      </w:r>
      <w:r>
        <w:t xml:space="preserve"> (KK) atau </w:t>
      </w:r>
      <w:r>
        <w:rPr>
          <w:b/>
        </w:rPr>
        <w:t>3 PAK1</w:t>
      </w:r>
      <w:r>
        <w:t xml:space="preserve"> (PAK). Jika lalai lapor, seluruh biaya jadi kewajiban pemberi kerja dulu (baru reimbursement setelah lunas).</w:t>
      </w:r>
    </w:p>
    <w:p>
      <w:pPr>
        <w:pStyle w:val="ListNumber"/>
      </w:pPr>
      <w:r>
        <w:rPr>
          <w:b/>
        </w:rPr>
        <w:t>Fase 3 — Pemeriksaan &amp; Penyimpulan Status</w:t>
      </w:r>
      <w:r>
        <w:t xml:space="preserve">: BPJS-TK wajib menyimpulkan status </w:t>
      </w:r>
      <w:r>
        <w:rPr>
          <w:b/>
        </w:rPr>
        <w:t>maksimal 30 hari</w:t>
      </w:r>
      <w:r>
        <w:t xml:space="preserve"> sejak laporan Tahap I. Jika benar KK/PAK → ditanggung penuh unlimited. Jika bukan → dialihkan ke BPJS Kesehatan (JKN) maksimal 2 hari kerja sejak keputusan.</w:t>
      </w:r>
    </w:p>
    <w:p>
      <w:pPr>
        <w:pStyle w:val="ListNumber"/>
      </w:pPr>
      <w:r>
        <w:rPr>
          <w:b/>
        </w:rPr>
        <w:t>Fase 4 — Perawatan, Rehabilitasi, RTW</w:t>
      </w:r>
      <w:r>
        <w:t xml:space="preserve">: Pemberi Kerja wajib bayar upah penuh selama pekerja belum mampu bekerja; BPJS-TK reimburse via </w:t>
      </w:r>
      <w:r>
        <w:rPr>
          <w:b/>
        </w:rPr>
        <w:t>STMB</w:t>
      </w:r>
      <w:r>
        <w:t xml:space="preserve"> (Santunan Tidak Mampu Bekerja) setelah Tahap II — 6 bulan pertama &amp; kedua = 100% upah, bulan ke-13 dst. = 50% upah.</w:t>
      </w:r>
    </w:p>
    <w:p>
      <w:pPr>
        <w:pStyle w:val="ListNumber"/>
      </w:pPr>
      <w:r>
        <w:rPr>
          <w:b/>
        </w:rPr>
        <w:t>Fase 5 — Penutupan Kasus &amp; Pelaporan Tahap II</w:t>
      </w:r>
      <w:r>
        <w:t xml:space="preserve">: Setelah MMI, Pemberi Kerja wajib lapor </w:t>
      </w:r>
      <w:r>
        <w:rPr>
          <w:b/>
        </w:rPr>
        <w:t>maksimal 2×24 jam</w:t>
      </w:r>
      <w:r>
        <w:t xml:space="preserve"> pakai </w:t>
      </w:r>
      <w:r>
        <w:rPr>
          <w:b/>
        </w:rPr>
        <w:t>Formulir 3b KK3 (KK3B)</w:t>
      </w:r>
      <w:r>
        <w:t xml:space="preserve"> atau </w:t>
      </w:r>
      <w:r>
        <w:rPr>
          <w:b/>
        </w:rPr>
        <w:t>3b PAK3</w:t>
      </w:r>
      <w:r>
        <w:t>, ditandatangani Dokter Pemeriksa/Sp.Ok.</w:t>
      </w:r>
    </w:p>
    <w:p>
      <w:pPr>
        <w:pStyle w:val="Heading2"/>
      </w:pPr>
      <w:r>
        <w:t>Kesalahan Fatal &amp; Titik Rawan Sengketa</w:t>
      </w:r>
    </w:p>
    <w:p>
      <w:pPr>
        <w:pStyle w:val="ListBullet"/>
      </w:pPr>
      <w:r>
        <w:rPr>
          <w:b/>
        </w:rPr>
        <w:t>Kesalahan KK3B #1</w:t>
      </w:r>
      <w:r>
        <w:t xml:space="preserve">: mencentang kolom Cacat Anatomis </w:t>
      </w:r>
      <w:r>
        <w:rPr>
          <w:b/>
        </w:rPr>
        <w:t>dan</w:t>
      </w:r>
      <w:r>
        <w:t xml:space="preserve"> Cacat Fungsi sekaligus untuk segmen sama — kesalahan logika medikolegal (</w:t>
      </w:r>
      <w:r>
        <w:rPr>
          <w:i/>
        </w:rPr>
        <w:t>segmental overlap</w:t>
      </w:r>
      <w:r>
        <w:t>).</w:t>
      </w:r>
    </w:p>
    <w:p>
      <w:pPr>
        <w:pStyle w:val="ListBullet"/>
      </w:pPr>
      <w:r>
        <w:rPr>
          <w:b/>
        </w:rPr>
        <w:t>Kesalahan KK3B #2</w:t>
      </w:r>
      <w:r>
        <w:t xml:space="preserve">: dokter menuliskan persentase santunan di kolom Cacat Anatomis. Dokter </w:t>
      </w:r>
      <w:r>
        <w:rPr>
          <w:b/>
        </w:rPr>
        <w:t>hanya boleh</w:t>
      </w:r>
      <w:r>
        <w:t xml:space="preserve"> mendiagnosis anatomi spesifik yang hilang (mis. "kehilangan ruas pertama jari II tangan kanan") tanpa angka persentase — BPJS-TK yang mencocokkan ke tabel PP 44/2015.</w:t>
      </w:r>
    </w:p>
    <w:p>
      <w:pPr>
        <w:pStyle w:val="ListBullet"/>
      </w:pPr>
      <w:r>
        <w:rPr>
          <w:b/>
        </w:rPr>
        <w:t>Larangan konsultasi lisan</w:t>
      </w:r>
      <w:r>
        <w:t xml:space="preserve">: BPJS-TK dilarang keras berkonsultasi medis langsung/lisan ke Dokter Penasehat. Sengketa persentase cacat wajib disalurkan tertulis ke Pegawai Pengawas Ketenagakerjaan Disnaker (meneruskan maksimal 3 hari kerja) → Dokter Penasehat merekomendasikan tertulis dalam 7 hari kerja → surat penetapan Pengawas bersifat </w:t>
      </w:r>
      <w:r>
        <w:rPr>
          <w:b/>
        </w:rPr>
        <w:t>mutlak dan mengikat</w:t>
      </w:r>
      <w:r>
        <w:t>.</w:t>
      </w:r>
    </w:p>
    <w:p>
      <w:pPr>
        <w:pStyle w:val="ListBullet"/>
      </w:pPr>
      <w:r>
        <w:rPr>
          <w:b/>
        </w:rPr>
        <w:t>Kompetensi Sp.Ok untuk Penilaian Kecacatan = nilai 1 (mandiri)</w:t>
      </w:r>
      <w:r>
        <w:t>, bukan nilai 2 (mampu dengan supervisi) — kesalahan administratif yang sering ditemukan di lapangan.</w:t>
      </w:r>
    </w:p>
    <w:p>
      <w:pPr>
        <w:pStyle w:val="ListBullet"/>
      </w:pPr>
      <w:r>
        <w:rPr>
          <w:b/>
        </w:rPr>
        <w:t>Kelalaian stempel basah perusahaan</w:t>
      </w:r>
      <w:r>
        <w:t xml:space="preserve"> pada formulir Tahap I sering menunda verifikasi eligibilitas.</w:t>
      </w:r>
    </w:p>
    <w:p>
      <w:pPr>
        <w:pStyle w:val="Heading1"/>
      </w:pPr>
      <w:r>
        <w:t>12. Lafaz</w:t>
      </w:r>
    </w:p>
    <w:p>
      <w:pPr>
        <w:ind w:left="340"/>
      </w:pPr>
      <w:r>
        <w:rPr>
          <w:b/>
          <w:i/>
          <w:color w:val="8A2B06"/>
        </w:rPr>
        <w:t>[BARU — NotebookLM, notebook "Kecacatan"]</w:t>
      </w:r>
      <w:r>
        <w:rPr>
          <w:i/>
          <w:color w:val="8A2B06"/>
        </w:rPr>
        <w:t xml:space="preserve"> — Script pembuka wawancara evaluasi MMI/kelaikan kerja, dengan kontrak komunikasi defensif.</w:t>
      </w:r>
    </w:p>
    <w:p>
      <w:r>
        <w:rPr>
          <w:i/>
        </w:rPr>
        <w:t>(Gunakan nada suara tenang, tegas, berwibawa, tanpa keraguan, namun tetap menjaga kontak mata yang empati dengan pasien dan pendampingnya.)</w:t>
      </w:r>
    </w:p>
    <w:p>
      <w:r>
        <w:rPr>
          <w:b/>
        </w:rPr>
        <w:t>Fase 1 — Pembukaan, Perkenalan, dan Klarifikasi Peran:</w:t>
      </w:r>
    </w:p>
    <w:p>
      <w:pPr>
        <w:ind w:left="340"/>
      </w:pPr>
      <w:r>
        <w:rPr>
          <w:i/>
          <w:color w:val="8A2B06"/>
        </w:rPr>
        <w:t>"Selamat pagi/siang, Bapak/Ibu [Nama Pasien]. Perkenalkan, saya dr. [Nama Anda], Spesialis Kedokteran Okupasi yang ditunjuk untuk melakukan pemeriksaan evaluasi medis terhadap kondisi kesehatan Bapak/Ibu hari ini."</w:t>
      </w:r>
    </w:p>
    <w:p>
      <w:pPr>
        <w:ind w:left="340"/>
      </w:pPr>
    </w:p>
    <w:p>
      <w:pPr>
        <w:ind w:left="340"/>
      </w:pPr>
      <w:r>
        <w:rPr>
          <w:i/>
          <w:color w:val="8A2B06"/>
        </w:rPr>
        <w:t>"Sebelum kita mulai, saya ingin menjelaskan peran saya di sini secara tegas agar tidak ada kesalahpahaman. Tugas saya sebagai dokter Sp.Ok di ruangan ini adalah sebagai pemeriksa medis independen — menilai kondisi fisik dan fungsi tubuh Bapak/Ibu secara objektif berdasarkan ilmu kedokteran yang sah."</w:t>
      </w:r>
    </w:p>
    <w:p>
      <w:pPr>
        <w:ind w:left="340"/>
      </w:pPr>
    </w:p>
    <w:p>
      <w:pPr>
        <w:ind w:left="340"/>
      </w:pPr>
      <w:r>
        <w:rPr>
          <w:i/>
          <w:color w:val="8A2B06"/>
        </w:rPr>
        <w:t>"Saya bukanlah pihak yang menentukan atau mencairkan jumlah uang santunan Bapak/Ibu. Pihak yang menentukan nominal uang tersebut adalah badan penjamin, seperti BPJS Ketenagakerjaan atau PT Taspen, berdasarkan rumus undang-undang yang berlaku. Peran saya murni memotret kondisi biologis Bapak/Ibu saat ini."</w:t>
      </w:r>
    </w:p>
    <w:p>
      <w:r>
        <w:rPr>
          <w:b/>
        </w:rPr>
        <w:t>Fase 2 — Kontrak Komunikasi Defensif</w:t>
      </w:r>
      <w:r>
        <w:t xml:space="preserve"> </w:t>
      </w:r>
      <w:r>
        <w:rPr>
          <w:i/>
        </w:rPr>
        <w:t>(jangkar medikolegal untuk meredam tekanan keluarga/serikat pekerja):</w:t>
      </w:r>
    </w:p>
    <w:p>
      <w:pPr>
        <w:ind w:left="340"/>
      </w:pPr>
      <w:r>
        <w:rPr>
          <w:i/>
          <w:color w:val="8A2B06"/>
        </w:rPr>
        <w:t>"Bapak, Ibu, dan pihak keluarga yang mendampingi, saya sangat memahami bahwa kejadian ini adalah masa-masa yang sulit. Namun, di ruang periksa ini, kita harus tunduk pada hukum kedokteran okupasi dan etika hukum nasional yang berlaku."</w:t>
      </w:r>
    </w:p>
    <w:p>
      <w:pPr>
        <w:ind w:left="340"/>
      </w:pPr>
    </w:p>
    <w:p>
      <w:pPr>
        <w:ind w:left="340"/>
      </w:pPr>
      <w:r>
        <w:rPr>
          <w:i/>
          <w:color w:val="8A2B06"/>
        </w:rPr>
        <w:t>"Apabila Bapak/Ibu datang ke ruangan ini dengan tujuan utama atau harapan agar saya menuliskan persentase kecacatan sebesar-besarnya demi mendapatkan santunan uang sebanyak mungkin, maka saya sarankan kita batalkan saja pemeriksaan ini sejak awal."</w:t>
      </w:r>
    </w:p>
    <w:p>
      <w:pPr>
        <w:ind w:left="340"/>
      </w:pPr>
    </w:p>
    <w:p>
      <w:pPr>
        <w:ind w:left="340"/>
      </w:pPr>
      <w:r>
        <w:rPr>
          <w:i/>
          <w:color w:val="8A2B06"/>
        </w:rPr>
        <w:t>"Saya tidak akan bisa memenuhi harapan tersebut. Segala bentuk rekayasa, membesar-besarkan gejala (</w:t>
      </w:r>
      <w:r>
        <w:rPr>
          <w:i/>
          <w:color w:val="8A2B06"/>
        </w:rPr>
        <w:t>symptom magnification</w:t>
      </w:r>
      <w:r>
        <w:rPr>
          <w:i/>
          <w:color w:val="8A2B06"/>
        </w:rPr>
        <w:t>), atau kebohongan dalam ruang periksa ini tidak hanya melanggar hukum pidana terkait penipuan klaim, tetapi juga akan langsung gugur saat saya uji menggunakan alat ukur objektif medis, seperti goniometer, spirometri, atau pemeriksaan penunjang lainnya."</w:t>
      </w:r>
    </w:p>
    <w:p>
      <w:pPr>
        <w:ind w:left="340"/>
      </w:pPr>
    </w:p>
    <w:p>
      <w:pPr>
        <w:ind w:left="340"/>
      </w:pPr>
      <w:r>
        <w:rPr>
          <w:i/>
          <w:color w:val="8A2B06"/>
        </w:rPr>
        <w:t>"Jika Bapak/Ibu setuju untuk kita periksa secara jujur, objektif, apa adanya, demi pemulihan fungsi tubuh dan hak kelaikan kerja Bapak/Ibu untuk bisa kembali bekerja dengan aman, maka pemeriksaan ini bisa kita lanjutkan. Bagaimana, apakah Bapak/Ibu setuju dengan kesepakatan ini?"</w:t>
      </w:r>
    </w:p>
    <w:p>
      <w:r>
        <w:rPr>
          <w:b/>
        </w:rPr>
        <w:t>Fase 3 — Edukasi Konsep MMI</w:t>
      </w:r>
      <w:r>
        <w:t xml:space="preserve"> </w:t>
      </w:r>
      <w:r>
        <w:rPr>
          <w:i/>
        </w:rPr>
        <w:t>(mengelola ekspektasi bahwa penilaian tak boleh terburu-buru):</w:t>
      </w:r>
    </w:p>
    <w:p>
      <w:pPr>
        <w:ind w:left="340"/>
      </w:pPr>
      <w:r>
        <w:rPr>
          <w:i/>
          <w:color w:val="8A2B06"/>
        </w:rPr>
        <w:t>"Baik, terima kasih atas kesepakatannya. Langkah selanjutnya, saya ingin Bapak/Ibu memahami konsep Maximum Medical Improvement (MMI) atau Tingkat Penyembuhan Maksimal. Penilaian cacat tetap di Indonesia hanya boleh dilakukan apabila kondisi medis Bapak/Ibu sudah stabil, menetap, dan seluruh pengobatan serta fisioterapi optimal telah selesai."</w:t>
      </w:r>
    </w:p>
    <w:p>
      <w:pPr>
        <w:ind w:left="340"/>
      </w:pPr>
    </w:p>
    <w:p>
      <w:pPr>
        <w:ind w:left="340"/>
      </w:pPr>
      <w:r>
        <w:rPr>
          <w:i/>
          <w:color w:val="8A2B06"/>
        </w:rPr>
        <w:t>"Jika hari ini ternyata sendi Bapak/Ibu masih bengkak, masih nyeri hebat di fase akut, atau belum menjalani terapi pemulihan maksimal, maka demi hukum dan hak biologis Bapak/Ibu sendiri, penilaian kecacatan hari ini akan saya tunda terlebih dahulu. Kita hanya akan menetapkan persentase cacat permanen setelah kondisi Bapak/Ibu benar-benar stabil (stasioner) selama minimal satu bulan terakhir."</w:t>
      </w:r>
    </w:p>
    <w:p>
      <w:r>
        <w:rPr>
          <w:b/>
        </w:rPr>
        <w:t>Fase 4 — Edukasi Alat Ukur Objektif</w:t>
      </w:r>
      <w:r>
        <w:t xml:space="preserve"> </w:t>
      </w:r>
      <w:r>
        <w:rPr>
          <w:i/>
        </w:rPr>
        <w:t>(mendisensitisasi niat malingering):</w:t>
      </w:r>
    </w:p>
    <w:p>
      <w:pPr>
        <w:ind w:left="340"/>
      </w:pPr>
      <w:r>
        <w:rPr>
          <w:i/>
          <w:color w:val="8A2B06"/>
        </w:rPr>
        <w:t>"Nanti, saat pemeriksaan fisik, saya akan menggunakan Goniometer untuk mengukur sisa gerakan sendi Bapak/Ibu secara presisi, berulang kali (minimal tiga kali), dibandingkan langsung dengan sisi tubuh yang sehat."</w:t>
      </w:r>
    </w:p>
    <w:p>
      <w:pPr>
        <w:ind w:left="340"/>
      </w:pPr>
    </w:p>
    <w:p>
      <w:pPr>
        <w:ind w:left="340"/>
      </w:pPr>
      <w:r>
        <w:rPr>
          <w:i/>
          <w:color w:val="8A2B06"/>
        </w:rPr>
        <w:t>"Jika saya mendeteksi ketidakkonsistenan gerakan atau upaya menahan gerakan yang tidak sesuai anatomi kerusakan sendi Bapak/Ibu, pemeriksaan ini akan dianggap tidak sah dan harus dijadwalkan ulang. Mari kita mulai wawancara klinisnya — silakan ceritakan kronologi medis pasca-kejadian..."</w:t>
      </w:r>
    </w:p>
    <w:p>
      <w:r>
        <w:rPr>
          <w:b/>
        </w:rPr>
        <w:t>Rasional medikolegal skrip ini</w:t>
      </w:r>
      <w:r>
        <w:t xml:space="preserve">: (1) memisahkan tegas peran dokter (menilai </w:t>
      </w:r>
      <w:r>
        <w:rPr>
          <w:i/>
        </w:rPr>
        <w:t>impairment</w:t>
      </w:r>
      <w:r>
        <w:t xml:space="preserve">) dari peran badan penjamin (menentukan </w:t>
      </w:r>
      <w:r>
        <w:rPr>
          <w:i/>
        </w:rPr>
        <w:t>disability</w:t>
      </w:r>
      <w:r>
        <w:t xml:space="preserve">/kompensasi finansial); (2) kalimat kontrak komunikasi adalah filter kejujuran yang memotong niat buruk pasien/serikat pekerja mendikte pemeriksaan; (3) edukasi MMI di awal melindungi dokter dari tuntutan "cepat-cepat tutup kasus"; (4) edukasi goniometer sebagai </w:t>
      </w:r>
      <w:r>
        <w:rPr>
          <w:i/>
        </w:rPr>
        <w:t>deterrent</w:t>
      </w:r>
      <w:r>
        <w:t xml:space="preserve"> terhadap malingering (lihat aturan 10° di Poin 4/9).</w:t>
      </w:r>
    </w:p>
    <w:p>
      <w:pPr>
        <w:pStyle w:val="Heading1"/>
      </w:pPr>
      <w:r>
        <w:t>13. Poin Sering Keluar Ujian / Jebakan</w:t>
      </w:r>
    </w:p>
    <w:p>
      <w:pPr>
        <w:pStyle w:val="ListBullet"/>
      </w:pPr>
      <w:r>
        <w:rPr>
          <w:b/>
        </w:rPr>
        <w:t>PP 102/2015 Tingkat II — arah definisi (jebakan klasik)</w:t>
      </w:r>
      <w:r>
        <w:t xml:space="preserve">: Cacat Tingkat II = "masih dapat berkarya </w:t>
      </w:r>
      <w:r>
        <w:rPr>
          <w:b/>
        </w:rPr>
        <w:t>di lingkungan</w:t>
      </w:r>
      <w:r>
        <w:t xml:space="preserve"> TNI/Polri/PNS Kemhan-Polri" (redaksi PP 54/2020, sebelumnya "jajaran" di PP 102/2015 asli) — </w:t>
      </w:r>
      <w:r>
        <w:rPr>
          <w:b/>
        </w:rPr>
        <w:t>bukan</w:t>
      </w:r>
      <w:r>
        <w:t xml:space="preserve"> "di luar jajaran" seperti yang kadang salah dikutip. Pekerja Tingkat II tetap berkarya </w:t>
      </w:r>
      <w:r>
        <w:rPr>
          <w:b/>
        </w:rPr>
        <w:t>di dalam</w:t>
      </w:r>
      <w:r>
        <w:t xml:space="preserve"> institusi, hanya sudah tak mampu menjalankan tugas dengan baik seperti semula. (Tingkat I = paling ringan, tidak terganggu; Tingkat III = paling berat, tak mampu sama sekali.)</w:t>
      </w:r>
    </w:p>
    <w:p>
      <w:pPr>
        <w:pStyle w:val="ListBullet"/>
      </w:pPr>
      <w:r>
        <w:rPr>
          <w:b/>
        </w:rPr>
        <w:t>Ekstremitas bawah tidak dibedakan kanan/kiri</w:t>
      </w:r>
      <w:r>
        <w:t xml:space="preserve"> dalam tabel santunan Indonesia (mis. ibu jari kaki hilang = 5% dari upah untuk kaki manapun); ekstremitas atas </w:t>
      </w:r>
      <w:r>
        <w:rPr>
          <w:b/>
        </w:rPr>
        <w:t>dibedakan</w:t>
      </w:r>
      <w:r>
        <w:t xml:space="preserve"> dominan/non-dominan (mis. ruas jari manis kanan dominan = 2%, kiri non-dominan = 1,5%). Jika pekerja kidal, persentase tangan kanan-kiri tertukar.</w:t>
      </w:r>
    </w:p>
    <w:p>
      <w:pPr>
        <w:pStyle w:val="ListBullet"/>
      </w:pPr>
      <w:r>
        <w:rPr>
          <w:b/>
        </w:rPr>
        <w:t>Combined Values Chart ≠ penjumlahan aritmetik</w:t>
      </w:r>
      <w:r>
        <w:t xml:space="preserve"> — selalu dihitung dari sisa kapasitas yang belum terpakai (lihat Poin 6).</w:t>
      </w:r>
    </w:p>
    <w:p>
      <w:pPr>
        <w:pStyle w:val="ListBullet"/>
      </w:pPr>
      <w:r>
        <w:rPr>
          <w:b/>
        </w:rPr>
        <w:t>WPI (AMA) ≠ % cacat upah (Indonesia)</w:t>
      </w:r>
      <w:r>
        <w:t xml:space="preserve"> — skala dan basis perhitungan berbeda (lihat Poin 2).</w:t>
      </w:r>
    </w:p>
    <w:p>
      <w:pPr>
        <w:pStyle w:val="ListBullet"/>
      </w:pPr>
      <w:r>
        <w:rPr>
          <w:b/>
        </w:rPr>
        <w:t>Radikulopati (AMA Bab 17) bukan nilai tambahan terpisah</w:t>
      </w:r>
      <w:r>
        <w:t xml:space="preserve"> — sudah "melebur" ke dalam grade lewat adjustment grid, bukan ditambahkan sebagai nilai ekstra.</w:t>
      </w:r>
    </w:p>
    <w:p>
      <w:pPr>
        <w:pStyle w:val="ListBullet"/>
      </w:pPr>
      <w:r>
        <w:rPr>
          <w:b/>
        </w:rPr>
        <w:t>Operasi tidak otomatis menambah nilai impairment</w:t>
      </w:r>
      <w:r>
        <w:t xml:space="preserve"> — hanya relevan jika mengubah status fungsional saat MMI.</w:t>
      </w:r>
    </w:p>
    <w:p>
      <w:pPr>
        <w:pStyle w:val="Heading1"/>
      </w:pPr>
      <w:r>
        <w:t>14. Clinical Pearls</w:t>
      </w:r>
    </w:p>
    <w:p>
      <w:pPr>
        <w:pStyle w:val="ListBullet"/>
      </w:pPr>
      <w:r>
        <w:rPr>
          <w:b/>
        </w:rPr>
        <w:t>Larangan menaikkan % impairment</w:t>
      </w:r>
      <w:r>
        <w:t xml:space="preserve"> karena pekerja </w:t>
      </w:r>
      <w:r>
        <w:rPr>
          <w:i/>
        </w:rPr>
        <w:t>unfit</w:t>
      </w:r>
      <w:r>
        <w:t xml:space="preserve"> untuk jabatan lama — banding lewat Dokter Penasehat, bukan dokter menaikkan angka sendiri.</w:t>
      </w:r>
    </w:p>
    <w:p>
      <w:pPr>
        <w:pStyle w:val="ListBullet"/>
      </w:pPr>
      <w:r>
        <w:rPr>
          <w:b/>
        </w:rPr>
        <w:t>Assistive device</w:t>
      </w:r>
      <w:r>
        <w:t>: laporkan dengan DAN tanpa alat jika removable (kacamata, alat bantu dengar); dengan alat saja jika tidak removable (lensa tanam).</w:t>
      </w:r>
    </w:p>
    <w:p>
      <w:pPr>
        <w:pStyle w:val="ListBullet"/>
      </w:pPr>
      <w:r>
        <w:rPr>
          <w:b/>
        </w:rPr>
        <w:t>Neuroma</w:t>
      </w:r>
      <w:r>
        <w:t>: jangan tutup kasus saat masih nyeri hebat tanpa observasi minimal 1 bulan fisioterapi maksimal.</w:t>
      </w:r>
    </w:p>
    <w:p>
      <w:pPr>
        <w:pStyle w:val="ListBullet"/>
      </w:pPr>
      <w:r>
        <w:rPr>
          <w:b/>
        </w:rPr>
        <w:t>"Sembuh Tanpa Cacat" dengan nyeri subjektif ringan (VAS 1-2)</w:t>
      </w:r>
      <w:r>
        <w:t>: dokter berhak menetapkan status ini jika laporan capaian kinerja (QI) pasca-RTW dari supervisor menunjukkan tidak ada gangguan produktivitas fungsional.</w:t>
      </w:r>
    </w:p>
    <w:p>
      <w:pPr>
        <w:pStyle w:val="ListBullet"/>
      </w:pPr>
      <w:r>
        <w:rPr>
          <w:b/>
        </w:rPr>
        <w:t>Implan/pen ortopedi yang tidak dilepas</w:t>
      </w:r>
      <w:r>
        <w:t>: tuliskan catatan risiko jangka panjang pada kolom tambahan laporan (bukan sebagai penambah nilai kecacatan) sebagai jaminan hukum bila ada komplikasi lanjutan di masa depan.</w:t>
      </w:r>
    </w:p>
    <w:p>
      <w:pPr>
        <w:pStyle w:val="ListBullet"/>
      </w:pPr>
      <w:r>
        <w:rPr>
          <w:b/>
        </w:rPr>
        <w:t>Strategi "Informed Consent" defensif</w:t>
      </w:r>
      <w:r>
        <w:t>: hadapi pasien agresif yang menuntut persentase kecacatan sebesar-besarnya dengan kontrak komunikasi tegas di awal pemeriksaan (lihat Poin 12/Lafaz).</w:t>
      </w:r>
    </w:p>
    <w:p>
      <w:pPr>
        <w:pStyle w:val="Heading1"/>
      </w:pPr>
      <w:r>
        <w:t>15. Contoh Soal Vignette</w:t>
      </w:r>
    </w:p>
    <w:p>
      <w:pPr>
        <w:pStyle w:val="Heading2"/>
      </w:pPr>
      <w:r>
        <w:t>Kasus 1 — Amputasi Jari Manis (Cacat Sebagian Anatomis)</w:t>
      </w:r>
    </w:p>
    <w:p>
      <w:r>
        <w:rPr>
          <w:b/>
        </w:rPr>
        <w:t>Stem soal</w:t>
      </w:r>
      <w:r>
        <w:t xml:space="preserve">: Tn. Budi (34 tahun), operator mesin press di PT Garmindo Jaya, kecelakaan kerja Rabu 5 Maret 2026 pukul 10.15 WIB — tangan kanan (dominan) terjepit mesin press tanpa APD sarung tangan. Upah tetap Rp7.500.000/bulan. Debridement + amputasi darurat ruas distal jari manis (IV) kanan. Rawat inap 4 hari + fisioterapi stump. </w:t>
      </w:r>
      <w:r>
        <w:rPr>
          <w:b/>
        </w:rPr>
        <w:t>20 April 2026</w:t>
      </w:r>
      <w:r>
        <w:t>: MMI tercapai (stump menutup sempurna, tanpa nyeri neuropatik/neuroma).</w:t>
      </w:r>
    </w:p>
    <w:p>
      <w:r>
        <w:rPr>
          <w:b/>
        </w:rPr>
        <w:t>Jawaban model — alur end-to-end:</w:t>
      </w:r>
    </w:p>
    <w:p>
      <w:pPr>
        <w:pStyle w:val="ListNumber"/>
      </w:pPr>
      <w:r>
        <w:rPr>
          <w:b/>
        </w:rPr>
        <w:t>Pelaporan Tahap I</w:t>
      </w:r>
      <w:r>
        <w:t xml:space="preserve">: PT Garmindo Jaya wajib lapor pakai </w:t>
      </w:r>
      <w:r>
        <w:rPr>
          <w:b/>
        </w:rPr>
        <w:t>Formulir 3 KK1</w:t>
      </w:r>
      <w:r>
        <w:t>, maksimal 2×24 jam (paling lambat 7 Maret 2026). Prinsip First Payer: BPJS-TK jamin dulu biaya debridement &amp; rawat inap darurat tanpa menunggu kepastian administratif. BPJS-TK punya maksimal 30 hari untuk menyimpulkan status — karena mekanisme jelas KK, disimpulkan benar KK → biaya pengobatan ditanggung penuh unlimited.</w:t>
      </w:r>
    </w:p>
    <w:p>
      <w:pPr>
        <w:pStyle w:val="ListNumber"/>
      </w:pPr>
      <w:r>
        <w:rPr>
          <w:b/>
        </w:rPr>
        <w:t>Skema STMB</w:t>
      </w:r>
      <w:r>
        <w:t xml:space="preserve">: Selama 5 Maret – 20 April 2026 (±1,5 bulan), PT Garmindo Jaya wajib bayar upah penuh dulu; BPJS-TK reimburse via STMB 100% upah (masih periode 6 bulan pertama) = 100% × Rp7.500.000 × 1,5 bulan = </w:t>
      </w:r>
      <w:r>
        <w:rPr>
          <w:b/>
        </w:rPr>
        <w:t>Rp11.250.000</w:t>
      </w:r>
      <w:r>
        <w:t>.</w:t>
      </w:r>
    </w:p>
    <w:p>
      <w:pPr>
        <w:pStyle w:val="ListNumber"/>
      </w:pPr>
      <w:r>
        <w:rPr>
          <w:b/>
        </w:rPr>
        <w:t>Pelaporan Tahap II pasca-MMI</w:t>
      </w:r>
      <w:r>
        <w:t xml:space="preserve">: Maksimal 2×24 jam sejak MMI (paling lambat 22 April 2026), pakai </w:t>
      </w:r>
      <w:r>
        <w:rPr>
          <w:b/>
        </w:rPr>
        <w:t>Formulir 3b KK3 (KK3B)</w:t>
      </w:r>
      <w:r>
        <w:t xml:space="preserve">. Dokter hanya mencentang </w:t>
      </w:r>
      <w:r>
        <w:rPr>
          <w:b/>
        </w:rPr>
        <w:t>satu</w:t>
      </w:r>
      <w:r>
        <w:t xml:space="preserve"> kategori (Cacat Sebagian Anatomis), mengisi kolom Cacat Anatomis tanpa angka persentase: </w:t>
      </w:r>
      <w:r>
        <w:rPr>
          <w:i/>
        </w:rPr>
        <w:t>"Cacat anatomis akibat kehilangan anggota badan: ruas pertama (distal phalanx) jari IV (manis) tangan kanan."</w:t>
      </w:r>
      <w:r>
        <w:t xml:space="preserve"> Kolom Cacat Fungsi </w:t>
      </w:r>
      <w:r>
        <w:rPr>
          <w:b/>
        </w:rPr>
        <w:t>tidak</w:t>
      </w:r>
      <w:r>
        <w:t xml:space="preserve"> dicentang untuk segmen sama.</w:t>
      </w:r>
    </w:p>
    <w:p>
      <w:pPr>
        <w:pStyle w:val="ListNumber"/>
      </w:pPr>
      <w:r>
        <w:rPr>
          <w:b/>
        </w:rPr>
        <w:t>Perhitungan santunan</w:t>
      </w:r>
      <w:r>
        <w:t xml:space="preserve">: Lampiran III PP 44/2015 — ruas pertama jari manis tangan </w:t>
      </w:r>
      <w:r>
        <w:rPr>
          <w:b/>
        </w:rPr>
        <w:t>kanan (dominan)</w:t>
      </w:r>
      <w:r>
        <w:t xml:space="preserve"> = </w:t>
      </w:r>
      <w:r>
        <w:rPr>
          <w:b/>
        </w:rPr>
        <w:t>2% dari upah</w:t>
      </w:r>
      <w:r>
        <w:t xml:space="preserve"> (pembanding: kiri/non-dominan = 1,5%; seluruh jari manis kanan = 4%). Nilai Rupiah = 0,02 × 80 × Rp7.500.000 = </w:t>
      </w:r>
      <w:r>
        <w:rPr>
          <w:b/>
        </w:rPr>
        <w:t>Rp12.000.000</w:t>
      </w:r>
      <w:r>
        <w:t>.</w:t>
      </w:r>
    </w:p>
    <w:p>
      <w:r>
        <w:rPr>
          <w:b/>
        </w:rPr>
        <w:t>Ringkasan total</w:t>
      </w:r>
      <w:r>
        <w:t>: Biaya pengobatan (unlimited) + STMB Rp11.250.000 + Santunan Cacat Anatomis Rp12.000.000.</w:t>
      </w:r>
    </w:p>
    <w:p>
      <w:r>
        <w:rPr>
          <w:i/>
        </w:rPr>
        <w:t>Kandidat yang baik menyebut nomor formulir spesifik tiap tahap (3 KK1 → 3b KK3), batas waktu tiap fase (2×24 jam, 30 hari, 2×24 jam), sumber tabel yang tepat (Lampiran III PP 44/2015 untuk rupiah, bukan Permenaker 25/2008 yang hanya pedoman diagnosis), serta konsisten tidak mencampur kewenangan klinis dengan administratif.</w:t>
      </w:r>
    </w:p>
    <w:p>
      <w:pPr>
        <w:pStyle w:val="Heading2"/>
      </w:pPr>
      <w:r>
        <w:t>Kasus 2 — Kaki dengan Komplikasi Neuroma (Ilustrasi Penundaan MMI)</w:t>
      </w:r>
    </w:p>
    <w:p>
      <w:r>
        <w:rPr>
          <w:b/>
        </w:rPr>
        <w:t>Stem soal</w:t>
      </w:r>
      <w:r>
        <w:t xml:space="preserve">: Tn. Slamet (41 tahun), buruh angkut gudang PT Cargo Perkasa, kecelakaan Senin 12 Januari 2026 — kaki kanan tertimpa palet kayu bermuatan berat. Upah tetap Rp4.200.000/bulan. Debridement + amputasi traumatik ibu jari kaki kanan. Rawat inap 3 hari. </w:t>
      </w:r>
      <w:r>
        <w:rPr>
          <w:b/>
        </w:rPr>
        <w:t>10 Februari 2026</w:t>
      </w:r>
      <w:r>
        <w:t xml:space="preserve"> (±4 minggu pasca-operasi): nyeri hebat seperti tersengat listrik di ujung stump — dicurigai </w:t>
      </w:r>
      <w:r>
        <w:rPr>
          <w:b/>
        </w:rPr>
        <w:t>neuroma stump</w:t>
      </w:r>
      <w:r>
        <w:t xml:space="preserve">. Dirujuk rehab medik, fisioterapi intensif. </w:t>
      </w:r>
      <w:r>
        <w:rPr>
          <w:b/>
        </w:rPr>
        <w:t>15 Maret 2026</w:t>
      </w:r>
      <w:r>
        <w:t>: nyeri terkontrol tuntas, status stasioner tercapai.</w:t>
      </w:r>
    </w:p>
    <w:p>
      <w:r>
        <w:rPr>
          <w:b/>
        </w:rPr>
        <w:t>Jawaban model — poin kunci:</w:t>
      </w:r>
    </w:p>
    <w:p>
      <w:pPr>
        <w:pStyle w:val="ListBullet"/>
      </w:pPr>
      <w:r>
        <w:rPr>
          <w:b/>
        </w:rPr>
        <w:t>Fase 1-3</w:t>
      </w:r>
      <w:r>
        <w:t>: First Payer berlaku sejak awal; pelaporan Tahap I (Formulir 3 KK1) maksimal 2×24 jam; BPJS-TK simpulkan benar KK dalam 30 hari → biaya pengobatan + rehab neuroma ditanggung unlimited.</w:t>
      </w:r>
    </w:p>
    <w:p>
      <w:pPr>
        <w:pStyle w:val="ListBullet"/>
      </w:pPr>
      <w:r>
        <w:rPr>
          <w:b/>
        </w:rPr>
        <w:t>Fase 4 — titik kunci neuroma</w:t>
      </w:r>
      <w:r>
        <w:t xml:space="preserve">: saat muncul tanda neuroma (10 Februari 2026), </w:t>
      </w:r>
      <w:r>
        <w:rPr>
          <w:b/>
        </w:rPr>
        <w:t>kasus tidak boleh ditutup</w:t>
      </w:r>
      <w:r>
        <w:t xml:space="preserve"> — dokter dilarang keras menutup kasus/menilai kecacatan selagi pasien masih nyeri hebat. Syarat objektif status stasioner: </w:t>
      </w:r>
      <w:r>
        <w:rPr>
          <w:b/>
        </w:rPr>
        <w:t>observasi minimal 1 bulan</w:t>
      </w:r>
      <w:r>
        <w:t xml:space="preserve"> tanpa perbaikan klinis (kolaborasi Dokter Bedah + Sp.KFR). Total masa pemulihan 12 Januari – 15 Maret 2026 (±2 bulan) → STMB = 100% × Rp4.200.000 × 2 bulan = </w:t>
      </w:r>
      <w:r>
        <w:rPr>
          <w:b/>
        </w:rPr>
        <w:t>Rp8.400.000</w:t>
      </w:r>
      <w:r>
        <w:t>.</w:t>
      </w:r>
    </w:p>
    <w:p>
      <w:pPr>
        <w:pStyle w:val="ListBullet"/>
      </w:pPr>
      <w:r>
        <w:rPr>
          <w:b/>
        </w:rPr>
        <w:t>Fase 5</w:t>
      </w:r>
      <w:r>
        <w:t xml:space="preserve">: Pelaporan Tahap II maksimal 2×24 jam sejak MMI (17 Maret 2026), Formulir 3b KK3 (KK3B), kolom Cacat Anatomis: </w:t>
      </w:r>
      <w:r>
        <w:rPr>
          <w:i/>
        </w:rPr>
        <w:t>"kehilangan anggota badan: ibu jari kaki (jempol) kanan."</w:t>
      </w:r>
      <w:r>
        <w:t xml:space="preserve"> — kolom Cacat Fungsi tidak dicentang.</w:t>
      </w:r>
    </w:p>
    <w:p>
      <w:pPr>
        <w:pStyle w:val="ListBullet"/>
      </w:pPr>
      <w:r>
        <w:rPr>
          <w:b/>
        </w:rPr>
        <w:t>Perhitungan</w:t>
      </w:r>
      <w:r>
        <w:t xml:space="preserve">: kehilangan ibu jari kaki (regulasi ekstremitas bawah </w:t>
      </w:r>
      <w:r>
        <w:rPr>
          <w:b/>
        </w:rPr>
        <w:t>tidak</w:t>
      </w:r>
      <w:r>
        <w:t xml:space="preserve"> membedakan kanan/kiri) = </w:t>
      </w:r>
      <w:r>
        <w:rPr>
          <w:b/>
        </w:rPr>
        <w:t>5% dari upah</w:t>
      </w:r>
      <w:r>
        <w:t xml:space="preserve">. Nilai Rupiah = 0,05 × 80 × Rp4.200.000 = </w:t>
      </w:r>
      <w:r>
        <w:rPr>
          <w:b/>
        </w:rPr>
        <w:t>Rp16.800.000</w:t>
      </w:r>
      <w:r>
        <w:t>.</w:t>
      </w:r>
    </w:p>
    <w:p>
      <w:r>
        <w:rPr>
          <w:b/>
        </w:rPr>
        <w:t>Ringkasan total</w:t>
      </w:r>
      <w:r>
        <w:t xml:space="preserve">: Biaya pengobatan+fisioterapi neuroma (unlimited) + STMB Rp8.400.000 + Santunan Cacat Anatomis Rp16.800.000 = </w:t>
      </w:r>
      <w:r>
        <w:rPr>
          <w:b/>
        </w:rPr>
        <w:t>Rp25.200.000 tunai</w:t>
      </w:r>
      <w:r>
        <w:t>.</w:t>
      </w:r>
    </w:p>
    <w:p>
      <w:r>
        <w:rPr>
          <w:i/>
        </w:rPr>
        <w:t>(Kedua vignette ini dapat dikembangkan lebih lanjut saat sesi drill dengan variasi soal baru.)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