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CATATAN TAMBAHAN BOARD: GAP DARI KOMPILASI SOAL 2016 SAMPAI 2026</w:t>
      </w:r>
    </w:p>
    <w:p>
      <w:r>
        <w:rPr>
          <w:sz w:val="26"/>
        </w:rPr>
        <w:t>Bagian A (pilot): Ergonomi kantor dan antropometri</w:t>
      </w:r>
    </w:p>
    <w:p>
      <w:r>
        <w:rPr>
          <w:i/>
          <w:sz w:val="19"/>
        </w:rPr>
        <w:t>Catatan persiapan ujian board Kedokteran Okupasi (Sp.Ok). Disusun mengikuti 'Outline Catatan Tambahan - Gap Kompilasi' dari jawaban NotebookLM (notebook Board Notes - Gap), ditambah teks resmi Permenaker No. 5 Tahun 2018 beserta Lampiran 2 (pencahayaan) dan Lampiran 6 (standar ergonomi) yang dibaca langsung dari salinan teks karena salinan di notebook adalah hasil pindai. Standar Indonesia diutamakan; sumber internasional (Bodyspace, LaDou &amp; Harrison, OSHA) dipakai sebagai pelengkap dan ditandai. Yang sudah ada di catatan lama (misalnya ROSA, RULA, REBA di catatan JSA) tidak diulang dan hanya ditunjuk. Kotak kuning = clinical pearl; kotak merah muda = catatan sumber yang perlu diverifikasi. STATUS: bagian A selesai; bagian B sampai G dan tambahan H menyusul setelah format ini disetujui.</w:t>
      </w:r>
    </w:p>
    <w:p>
      <w:r>
        <w:rPr>
          <w:b/>
        </w:rPr>
        <w:t>Daftar isi</w:t>
      </w:r>
    </w:p>
    <w:p>
      <w:pPr>
        <w:pStyle w:val="ListBullet"/>
        <w:spacing w:after="0"/>
      </w:pPr>
      <w:r>
        <w:t>A.1 Pengertian dan keluhan khas pekerja komputer</w:t>
      </w:r>
    </w:p>
    <w:p>
      <w:pPr>
        <w:pStyle w:val="ListBullet"/>
        <w:spacing w:after="0"/>
      </w:pPr>
      <w:r>
        <w:t>A.2 Monitor</w:t>
      </w:r>
    </w:p>
    <w:p>
      <w:pPr>
        <w:pStyle w:val="ListBullet"/>
        <w:spacing w:after="0"/>
      </w:pPr>
      <w:r>
        <w:t>A.3 Keyboard dan mouse</w:t>
      </w:r>
    </w:p>
    <w:p>
      <w:pPr>
        <w:pStyle w:val="ListBullet"/>
        <w:spacing w:after="0"/>
      </w:pPr>
      <w:r>
        <w:t>A.4 Kursi dan meja</w:t>
      </w:r>
    </w:p>
    <w:p>
      <w:pPr>
        <w:pStyle w:val="ListBullet"/>
        <w:spacing w:after="0"/>
      </w:pPr>
      <w:r>
        <w:t>A.5 Pencahayaan ruang kerja</w:t>
      </w:r>
    </w:p>
    <w:p>
      <w:pPr>
        <w:pStyle w:val="ListBullet"/>
        <w:spacing w:after="0"/>
      </w:pPr>
      <w:r>
        <w:t>A.6 Istirahat mikro dan rotasi</w:t>
      </w:r>
    </w:p>
    <w:p>
      <w:pPr>
        <w:pStyle w:val="ListBullet"/>
        <w:spacing w:after="0"/>
      </w:pPr>
      <w:r>
        <w:t>A.7 Antropometri</w:t>
      </w:r>
    </w:p>
    <w:p>
      <w:pPr>
        <w:pStyle w:val="ListBullet"/>
        <w:spacing w:after="0"/>
      </w:pPr>
      <w:r>
        <w:t>A.8 Alat penilaian</w:t>
      </w:r>
    </w:p>
    <w:p>
      <w:pPr>
        <w:pStyle w:val="ListBullet"/>
        <w:spacing w:after="0"/>
      </w:pPr>
      <w:r>
        <w:t>A.9 Rangkuman: soal yang pernah keluar, latihan hitung, soal vignette</w:t>
      </w:r>
    </w:p>
    <w:p>
      <w:pPr>
        <w:pStyle w:val="ListBullet"/>
        <w:spacing w:after="0"/>
      </w:pPr>
      <w:r>
        <w:t>A.10 Catatan kualitas dan sumber</w:t>
      </w:r>
    </w:p>
    <w:p>
      <w:r>
        <w:br w:type="page"/>
      </w:r>
    </w:p>
    <w:p>
      <w:pPr>
        <w:pStyle w:val="Heading1"/>
      </w:pPr>
      <w:r>
        <w:t>A. ERGONOMI KANTOR DAN ANTROPOMETRI</w:t>
      </w:r>
    </w:p>
    <w:p>
      <w:pPr>
        <w:pStyle w:val="Heading2"/>
      </w:pPr>
      <w:r>
        <w:t>A.1 Pengertian dan keluhan khas pekerja komputer</w:t>
      </w:r>
    </w:p>
    <w:p>
      <w:pPr>
        <w:pStyle w:val="Heading3"/>
      </w:pPr>
      <w:r>
        <w:t>Pengertian</w:t>
      </w:r>
    </w:p>
    <w:p>
      <w:pPr>
        <w:pStyle w:val="ListBullet"/>
        <w:spacing w:after="20"/>
      </w:pPr>
      <w:r>
        <w:rPr>
          <w:b/>
        </w:rPr>
        <w:t>Ergonomi</w:t>
      </w:r>
      <w:r>
        <w:rPr/>
        <w:t xml:space="preserve"> (human factors engineering): ilmu yang mempelajari kemampuan dan keterbatasan fisik serta kognitif manusia dalam berinteraksi dengan sistem kerja. Prinsip dasar: </w:t>
      </w:r>
      <w:r>
        <w:rPr>
          <w:i/>
        </w:rPr>
        <w:t>fitting the job to the worker</w:t>
      </w:r>
      <w:r>
        <w:rPr/>
        <w:t xml:space="preserve"> dan </w:t>
      </w:r>
      <w:r>
        <w:rPr>
          <w:i/>
        </w:rPr>
        <w:t>fitting the product to the user</w:t>
      </w:r>
      <w:r>
        <w:rPr/>
        <w:t>.</w:t>
      </w:r>
    </w:p>
    <w:p>
      <w:pPr>
        <w:pStyle w:val="ListBullet"/>
        <w:spacing w:after="20"/>
      </w:pPr>
      <w:r>
        <w:rPr>
          <w:b/>
        </w:rPr>
        <w:t>Ergonomi kantor</w:t>
      </w:r>
      <w:r>
        <w:rPr/>
        <w:t>: desain dan penataan stasiun kerja (meja, kursi, layar/VDT, keyboard, mouse) beserta lingkungan fisiknya (pencahayaan, tata ruang) untuk mencegah kecelakaan dan PAK serta menjaga produktivitas.</w:t>
      </w:r>
    </w:p>
    <w:p>
      <w:pPr>
        <w:pStyle w:val="ListBullet"/>
        <w:spacing w:after="20"/>
      </w:pPr>
      <w:r>
        <w:rPr>
          <w:b/>
        </w:rPr>
        <w:t>Definisi hukum</w:t>
      </w:r>
      <w:r>
        <w:rPr/>
        <w:t xml:space="preserve">: Permenaker No. 5 Tahun 2018 Pasal 1 angka 14, </w:t>
      </w:r>
      <w:r>
        <w:rPr>
          <w:b/>
        </w:rPr>
        <w:t>Faktor Ergonomi</w:t>
      </w:r>
      <w:r>
        <w:rPr/>
        <w:t xml:space="preserve"> = faktor yang dapat mempengaruhi aktivitas tenaga kerja akibat </w:t>
      </w:r>
      <w:r>
        <w:rPr>
          <w:b/>
        </w:rPr>
        <w:t>ketidaksesuaian antara fasilitas kerja (cara kerja, posisi kerja, alat kerja, beban angkat) dengan tenaga kerja</w:t>
      </w:r>
      <w:r>
        <w:rPr/>
        <w:t>.</w:t>
      </w:r>
    </w:p>
    <w:p>
      <w:pPr>
        <w:pStyle w:val="ListBullet"/>
        <w:spacing w:after="20"/>
      </w:pPr>
      <w:r>
        <w:rPr>
          <w:b/>
        </w:rPr>
        <w:t>Kewajiban</w:t>
      </w:r>
      <w:r>
        <w:rPr/>
        <w:t xml:space="preserve"> (Pasal 23 ayat 1 dan 2): pengukuran dan pengendalian faktor ergonomi pada tempat kerja yang berpotensi bahaya ergonomi. Tiga potensi bahaya: (a) cara kerja, posisi kerja, postur tubuh yang tidak sesuai; (b) desain alat kerja dan tempat kerja yang </w:t>
      </w:r>
      <w:r>
        <w:rPr>
          <w:b/>
        </w:rPr>
        <w:t>tidak sesuai antropometri</w:t>
      </w:r>
      <w:r>
        <w:rPr/>
        <w:t xml:space="preserve"> tenaga kerja; (c) pengangkatan beban melebihi kapasitas kerja.</w:t>
      </w:r>
    </w:p>
    <w:p>
      <w:pPr>
        <w:pStyle w:val="Heading3"/>
      </w:pPr>
      <w:r>
        <w:t>Tiga kelompok keluhan pekerja komputer</w:t>
      </w:r>
    </w:p>
    <w:p>
      <w:pPr>
        <w:spacing w:after="80"/>
      </w:pPr>
      <w:r>
        <w:rPr/>
        <w:t>Pemakaian komputer intensif (sumber menyebut di atas 4 jam per hari) menimbulkan keluhan pada tiga area.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Area</w:t>
            </w:r>
          </w:p>
        </w:tc>
        <w:tc>
          <w:tcPr>
            <w:tcW w:type="dxa" w:w="3251"/>
            <w:shd w:val="clear" w:color="auto" w:fill="DCE6F1"/>
          </w:tcPr>
          <w:p>
            <w:pPr>
              <w:spacing w:after="0"/>
            </w:pPr>
            <w:r/>
            <w:r>
              <w:rPr>
                <w:b/>
                <w:sz w:val="18"/>
              </w:rPr>
              <w:t>Gejala dan klasifikasi</w:t>
            </w:r>
          </w:p>
        </w:tc>
        <w:tc>
          <w:tcPr>
            <w:tcW w:type="dxa" w:w="3251"/>
            <w:shd w:val="clear" w:color="auto" w:fill="DCE6F1"/>
          </w:tcPr>
          <w:p>
            <w:pPr>
              <w:spacing w:after="0"/>
            </w:pPr>
            <w:r/>
            <w:r>
              <w:rPr>
                <w:b/>
                <w:sz w:val="18"/>
              </w:rPr>
              <w:t>Faktor risiko utama</w:t>
            </w:r>
          </w:p>
        </w:tc>
      </w:tr>
      <w:tr>
        <w:tc>
          <w:tcPr>
            <w:tcW w:type="dxa" w:w="3251"/>
          </w:tcPr>
          <w:p>
            <w:pPr>
              <w:spacing w:after="0"/>
            </w:pPr>
            <w:r/>
            <w:r>
              <w:rPr>
                <w:b/>
                <w:sz w:val="18"/>
              </w:rPr>
              <w:t>MSK leher, bahu, pergelangan (WRULD/RSI)</w:t>
            </w:r>
          </w:p>
        </w:tc>
        <w:tc>
          <w:tcPr>
            <w:tcW w:type="dxa" w:w="3251"/>
          </w:tcPr>
          <w:p>
            <w:pPr>
              <w:spacing w:after="0"/>
            </w:pPr>
            <w:r/>
            <w:r>
              <w:rPr>
                <w:b/>
                <w:sz w:val="18"/>
              </w:rPr>
              <w:t>Tipe I (spesifik)</w:t>
            </w:r>
            <w:r>
              <w:rPr>
                <w:sz w:val="18"/>
              </w:rPr>
              <w:t xml:space="preserve">: carpal tunnel syndrome, tenosinovitis, de Quervain, epikondilitis, cubital tunnel. </w:t>
            </w:r>
            <w:r>
              <w:rPr>
                <w:b/>
                <w:sz w:val="18"/>
              </w:rPr>
              <w:t>Tipe II (nonspesifik/diseminata)</w:t>
            </w:r>
            <w:r>
              <w:rPr>
                <w:sz w:val="18"/>
              </w:rPr>
              <w:t xml:space="preserve">: </w:t>
            </w:r>
            <w:r>
              <w:rPr>
                <w:i/>
                <w:sz w:val="18"/>
              </w:rPr>
              <w:t>diffuse RSI</w:t>
            </w:r>
            <w:r>
              <w:rPr>
                <w:sz w:val="18"/>
              </w:rPr>
              <w:t>/</w:t>
            </w:r>
            <w:r>
              <w:rPr>
                <w:i/>
                <w:sz w:val="18"/>
              </w:rPr>
              <w:t>disseminated overuse syndrome</w:t>
            </w:r>
            <w:r>
              <w:rPr>
                <w:sz w:val="18"/>
              </w:rPr>
              <w:t>, khas pekerja keyboard; nyeri difus, lemah, rasa gangguan saraf tanpa tanda fisik tunggal. Gejala: pegal dan kaku leher-trapezius, rasa terbakar, baal, kesemutan, lemah menggenggam, nyeri memburuk di akhir jam kerja</w:t>
            </w:r>
          </w:p>
        </w:tc>
        <w:tc>
          <w:tcPr>
            <w:tcW w:type="dxa" w:w="3251"/>
          </w:tcPr>
          <w:p>
            <w:pPr>
              <w:spacing w:after="0"/>
            </w:pPr>
            <w:r/>
            <w:r>
              <w:rPr>
                <w:sz w:val="18"/>
              </w:rPr>
              <w:t xml:space="preserve">Durasi: prevalensi RSI naik tajam pada keyboard </w:t>
            </w:r>
            <w:r>
              <w:rPr>
                <w:b/>
                <w:sz w:val="18"/>
              </w:rPr>
              <w:t>lebih dari 6 jam per hari</w:t>
            </w:r>
            <w:r>
              <w:rPr>
                <w:sz w:val="18"/>
              </w:rPr>
              <w:t xml:space="preserve"> (Oxenburgh 1984, dikutip Bodyspace: prevalensi 70%, RR 2,6). Postur janggal: ekstensi/fleksi pergelangan, </w:t>
            </w:r>
            <w:r>
              <w:rPr>
                <w:b/>
                <w:sz w:val="18"/>
              </w:rPr>
              <w:t>deviasi ulnar</w:t>
            </w:r>
            <w:r>
              <w:rPr>
                <w:sz w:val="18"/>
              </w:rPr>
              <w:t xml:space="preserve">, pronasi penuh, abduksi dan elevasi bahu. Mouse terlalu jauh ke samping (keyboard dengan numpad). Beban statis tanpa penopang lengan bawah. </w:t>
            </w:r>
            <w:r>
              <w:rPr>
                <w:b/>
                <w:sz w:val="18"/>
              </w:rPr>
              <w:t>Laptop</w:t>
            </w:r>
            <w:r>
              <w:rPr>
                <w:sz w:val="18"/>
              </w:rPr>
              <w:t>: fleksi leher dan kemiringan kepala lebih ekstrem</w:t>
            </w:r>
          </w:p>
        </w:tc>
      </w:tr>
      <w:tr>
        <w:tc>
          <w:tcPr>
            <w:tcW w:type="dxa" w:w="3251"/>
          </w:tcPr>
          <w:p>
            <w:pPr>
              <w:spacing w:after="0"/>
            </w:pPr>
            <w:r/>
            <w:r>
              <w:rPr>
                <w:b/>
                <w:sz w:val="18"/>
              </w:rPr>
              <w:t>Computer vision syndrome (asthenopia)</w:t>
            </w:r>
          </w:p>
        </w:tc>
        <w:tc>
          <w:tcPr>
            <w:tcW w:type="dxa" w:w="3251"/>
          </w:tcPr>
          <w:p>
            <w:pPr>
              <w:spacing w:after="0"/>
            </w:pPr>
            <w:r/>
            <w:r>
              <w:rPr>
                <w:sz w:val="18"/>
              </w:rPr>
              <w:t xml:space="preserve">Okular: penglihatan kabur, mata panas, kering, rasa berpasir. Ekstraokular: </w:t>
            </w:r>
            <w:r>
              <w:rPr>
                <w:b/>
                <w:sz w:val="18"/>
              </w:rPr>
              <w:t>nyeri kepala mekanis</w:t>
            </w:r>
            <w:r>
              <w:rPr>
                <w:sz w:val="18"/>
              </w:rPr>
              <w:t xml:space="preserve"> akibat spasme otot leher (trapezius, SCM, splenius capitis) karena kepala maju (</w:t>
            </w:r>
            <w:r>
              <w:rPr>
                <w:i/>
                <w:sz w:val="18"/>
              </w:rPr>
              <w:t>poked chin</w:t>
            </w:r>
            <w:r>
              <w:rPr>
                <w:sz w:val="18"/>
              </w:rPr>
              <w:t>)</w:t>
            </w:r>
          </w:p>
        </w:tc>
        <w:tc>
          <w:tcPr>
            <w:tcW w:type="dxa" w:w="3251"/>
          </w:tcPr>
          <w:p>
            <w:pPr>
              <w:spacing w:after="0"/>
            </w:pPr>
            <w:r/>
            <w:r>
              <w:rPr>
                <w:sz w:val="18"/>
              </w:rPr>
              <w:t xml:space="preserve">Jarak layar kurang dari 50 cm atau terlalu jauh; silau dan pantulan (jendela, lampu atas); kecerahan dan kontras layar tidak seimbang dengan ruangan; </w:t>
            </w:r>
            <w:r>
              <w:rPr>
                <w:b/>
                <w:sz w:val="18"/>
              </w:rPr>
              <w:t>kacamata bifokal/multifokal</w:t>
            </w:r>
            <w:r>
              <w:rPr>
                <w:sz w:val="18"/>
              </w:rPr>
              <w:t xml:space="preserve"> yang memaksa kepala mendongak</w:t>
            </w:r>
          </w:p>
        </w:tc>
      </w:tr>
      <w:tr>
        <w:tc>
          <w:tcPr>
            <w:tcW w:type="dxa" w:w="3251"/>
          </w:tcPr>
          <w:p>
            <w:pPr>
              <w:spacing w:after="0"/>
            </w:pPr>
            <w:r/>
            <w:r>
              <w:rPr>
                <w:b/>
                <w:sz w:val="18"/>
              </w:rPr>
              <w:t>Nyeri punggung bawah (LBP)</w:t>
            </w:r>
          </w:p>
        </w:tc>
        <w:tc>
          <w:tcPr>
            <w:tcW w:type="dxa" w:w="3251"/>
          </w:tcPr>
          <w:p>
            <w:pPr>
              <w:spacing w:after="0"/>
            </w:pPr>
            <w:r/>
            <w:r>
              <w:rPr>
                <w:sz w:val="18"/>
              </w:rPr>
              <w:t>Nyeri dan kaku lumbal akibat beban mekanis statis pada diskus dan ligamen. Duduk statis lama juga menimbulkan edema tungkai bawah dan meningkatkan risiko trombosis vena dalam</w:t>
            </w:r>
          </w:p>
        </w:tc>
        <w:tc>
          <w:tcPr>
            <w:tcW w:type="dxa" w:w="3251"/>
          </w:tcPr>
          <w:p>
            <w:pPr>
              <w:spacing w:after="0"/>
            </w:pPr>
            <w:r/>
            <w:r>
              <w:rPr>
                <w:sz w:val="18"/>
              </w:rPr>
              <w:t>Duduk statis lama; hilangnya sandaran lumbal (membungkuk atau duduk di tepi kursi); posisi tubuh memutir (telepon atau dokumen di samping/belakang)</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Tipe II (diffuse RSI) adalah pola khas pekerja keyboard: gejala nyata, tanda fisik lokalis tidak ada. Jangan paksa masuk diagnosis spesifik seperti CTS bila uji provokasi (Phalen, Tinel) negatif dan distribusi gejala tidak mengikuti saraf medianus.</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"lebih dari 4 jam per hari" untuk risiko komputer dan "lebih dari 6 jam per hari" (Oxenburgh 1984: prevalensi 70%, RR 2,6) berasal dari jawaban NotebookLM atas Bodyspace (Pheasant &amp; Haslegrave) dan LaDou &amp; Harrison. Angka 70% dan RR 2,6 sebaiknya dicek ke halaman Bodyspace sebelum dihafal sebagai angka pasti.</w:t>
            </w:r>
          </w:p>
        </w:tc>
      </w:tr>
    </w:tbl>
    <w:p>
      <w:pPr>
        <w:spacing w:after="40"/>
      </w:pPr>
    </w:p>
    <w:p>
      <w:pPr>
        <w:pStyle w:val="Heading2"/>
      </w:pPr>
      <w:r>
        <w:t>A.2 Monitor</w:t>
      </w:r>
    </w:p>
    <w:p>
      <w:pPr>
        <w:pStyle w:val="Heading3"/>
      </w:pPr>
      <w:r>
        <w:t>Standar Indonesia: Lampiran 6 Permenaker No. 5 Tahun 2018 (Ergonomi Komputer, monitor)</w:t>
      </w:r>
    </w:p>
    <w:p>
      <w:pPr>
        <w:pStyle w:val="ListBullet"/>
        <w:spacing w:after="20"/>
      </w:pPr>
      <w:r>
        <w:rPr>
          <w:b/>
        </w:rPr>
        <w:t>Jarak operator ke monitor 45 sampai 60 cm</w:t>
      </w:r>
      <w:r>
        <w:rPr/>
        <w:t>; terlalu dekat menyebabkan mata tegang, cepat lelah, dan potensi gangguan penglihatan.</w:t>
      </w:r>
    </w:p>
    <w:p>
      <w:pPr>
        <w:pStyle w:val="ListBullet"/>
        <w:spacing w:after="20"/>
      </w:pPr>
      <w:r>
        <w:rPr>
          <w:b/>
        </w:rPr>
        <w:t>Mata setinggi tepi atas layar</w:t>
      </w:r>
      <w:r>
        <w:rPr/>
        <w:t xml:space="preserve"> (sekitar 5 sampai 6 cm di bawah tepi atas casing monitor). Monitor terlalu rendah menyebabkan nyeri leher dan bahu.</w:t>
      </w:r>
    </w:p>
    <w:p>
      <w:pPr>
        <w:pStyle w:val="ListBullet"/>
        <w:spacing w:after="20"/>
      </w:pPr>
      <w:r>
        <w:rPr/>
        <w:t xml:space="preserve">Monitor </w:t>
      </w:r>
      <w:r>
        <w:rPr>
          <w:b/>
        </w:rPr>
        <w:t>tepat lurus di depan</w:t>
      </w:r>
      <w:r>
        <w:rPr/>
        <w:t>, jangan memaksa kepala menoleh; posisi layar meminimalkan pantulan lampu atau jendela; filter layar boleh dipakai.</w:t>
      </w:r>
    </w:p>
    <w:p>
      <w:pPr>
        <w:pStyle w:val="ListBullet"/>
        <w:spacing w:after="20"/>
      </w:pPr>
      <w:r>
        <w:rPr>
          <w:b/>
        </w:rPr>
        <w:t>Kacamata baca (bifokal, progresif): turunkan monitor lebih rendah.</w:t>
      </w:r>
    </w:p>
    <w:p>
      <w:pPr>
        <w:pStyle w:val="ListBullet"/>
        <w:spacing w:after="20"/>
      </w:pPr>
      <w:r>
        <w:rPr/>
        <w:t xml:space="preserve">Dokumen sumber diletakkan </w:t>
      </w:r>
      <w:r>
        <w:rPr>
          <w:b/>
        </w:rPr>
        <w:t>dekat monitor</w:t>
      </w:r>
      <w:r>
        <w:rPr/>
        <w:t xml:space="preserve"> (di bawah atau di samping) untuk mengurangi nyeri leher akibat menoleh. Kecerahan dan warna layar disetel nyaman (tidak terlalu redup atau terang); layar dibersihkan.</w:t>
      </w:r>
    </w:p>
    <w:p>
      <w:pPr>
        <w:pStyle w:val="Heading3"/>
      </w:pPr>
      <w:r>
        <w:t>Jarak pandang (perbandingan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Sumber</w:t>
            </w:r>
          </w:p>
        </w:tc>
        <w:tc>
          <w:tcPr>
            <w:tcW w:type="dxa" w:w="8050"/>
            <w:shd w:val="clear" w:color="auto" w:fill="DCE6F1"/>
          </w:tcPr>
          <w:p>
            <w:pPr>
              <w:spacing w:after="0"/>
            </w:pPr>
            <w:r/>
            <w:r>
              <w:rPr>
                <w:b/>
                <w:sz w:val="18"/>
              </w:rPr>
              <w:t>Nilai</w:t>
            </w:r>
          </w:p>
        </w:tc>
      </w:tr>
      <w:tr>
        <w:tc>
          <w:tcPr>
            <w:tcW w:type="dxa" w:w="1701"/>
          </w:tcPr>
          <w:p>
            <w:pPr>
              <w:spacing w:after="0"/>
            </w:pPr>
            <w:r/>
            <w:r>
              <w:rPr>
                <w:b/>
                <w:sz w:val="18"/>
              </w:rPr>
              <w:t>Permenaker 5/2018 Lampiran 6 (Indonesia)</w:t>
            </w:r>
          </w:p>
        </w:tc>
        <w:tc>
          <w:tcPr>
            <w:tcW w:type="dxa" w:w="8050"/>
          </w:tcPr>
          <w:p>
            <w:pPr>
              <w:spacing w:after="0"/>
            </w:pPr>
            <w:r/>
            <w:r>
              <w:rPr>
                <w:b/>
                <w:sz w:val="18"/>
              </w:rPr>
              <w:t>45 sampai 60 cm</w:t>
            </w:r>
          </w:p>
        </w:tc>
      </w:tr>
      <w:tr>
        <w:tc>
          <w:tcPr>
            <w:tcW w:type="dxa" w:w="1701"/>
          </w:tcPr>
          <w:p>
            <w:pPr>
              <w:spacing w:after="0"/>
            </w:pPr>
            <w:r/>
            <w:r>
              <w:rPr>
                <w:sz w:val="18"/>
              </w:rPr>
              <w:t>Batas minimum mutlak (Bodyspace)</w:t>
            </w:r>
          </w:p>
        </w:tc>
        <w:tc>
          <w:tcPr>
            <w:tcW w:type="dxa" w:w="8050"/>
          </w:tcPr>
          <w:p>
            <w:pPr>
              <w:spacing w:after="0"/>
            </w:pPr>
            <w:r/>
            <w:r>
              <w:rPr>
                <w:b/>
                <w:sz w:val="18"/>
              </w:rPr>
              <w:t>50 cm</w:t>
            </w:r>
            <w:r>
              <w:rPr>
                <w:sz w:val="18"/>
              </w:rPr>
              <w:t xml:space="preserve"> (otot siliaris dan rektus medialis bekerja berlebih, memicu eyestrain)</w:t>
            </w:r>
          </w:p>
        </w:tc>
      </w:tr>
      <w:tr>
        <w:tc>
          <w:tcPr>
            <w:tcW w:type="dxa" w:w="1701"/>
          </w:tcPr>
          <w:p>
            <w:pPr>
              <w:spacing w:after="0"/>
            </w:pPr>
            <w:r/>
            <w:r>
              <w:rPr>
                <w:sz w:val="18"/>
              </w:rPr>
              <w:t>Rentang preferensi (LaDou &amp; Harrison)</w:t>
            </w:r>
          </w:p>
        </w:tc>
        <w:tc>
          <w:tcPr>
            <w:tcW w:type="dxa" w:w="8050"/>
          </w:tcPr>
          <w:p>
            <w:pPr>
              <w:spacing w:after="0"/>
            </w:pPr>
            <w:r/>
            <w:r>
              <w:rPr>
                <w:b/>
                <w:sz w:val="18"/>
              </w:rPr>
              <w:t>48 sampai 72 cm</w:t>
            </w:r>
          </w:p>
        </w:tc>
      </w:tr>
      <w:tr>
        <w:tc>
          <w:tcPr>
            <w:tcW w:type="dxa" w:w="1701"/>
          </w:tcPr>
          <w:p>
            <w:pPr>
              <w:spacing w:after="0"/>
            </w:pPr>
            <w:r/>
            <w:r>
              <w:rPr>
                <w:sz w:val="18"/>
              </w:rPr>
              <w:t>Jarak paling nyaman (Bodyspace)</w:t>
            </w:r>
          </w:p>
        </w:tc>
        <w:tc>
          <w:tcPr>
            <w:tcW w:type="dxa" w:w="8050"/>
          </w:tcPr>
          <w:p>
            <w:pPr>
              <w:spacing w:after="0"/>
            </w:pPr>
            <w:r/>
            <w:r>
              <w:rPr>
                <w:b/>
                <w:sz w:val="18"/>
              </w:rPr>
              <w:t>75 sampai 80 cm</w:t>
            </w:r>
            <w:r>
              <w:rPr>
                <w:sz w:val="18"/>
              </w:rPr>
              <w:t>; boleh sampai 100 cm bila ukuran karakter dan resolusi memadai</w:t>
            </w:r>
          </w:p>
        </w:tc>
      </w:tr>
      <w:tr>
        <w:tc>
          <w:tcPr>
            <w:tcW w:type="dxa" w:w="1701"/>
          </w:tcPr>
          <w:p>
            <w:pPr>
              <w:spacing w:after="0"/>
            </w:pPr>
            <w:r/>
            <w:r>
              <w:rPr>
                <w:sz w:val="18"/>
              </w:rPr>
              <w:t>Pilihan operator VDU (studi empiris)</w:t>
            </w:r>
          </w:p>
        </w:tc>
        <w:tc>
          <w:tcPr>
            <w:tcW w:type="dxa" w:w="8050"/>
          </w:tcPr>
          <w:p>
            <w:pPr>
              <w:spacing w:after="0"/>
            </w:pPr>
            <w:r/>
            <w:r>
              <w:rPr>
                <w:sz w:val="18"/>
              </w:rPr>
              <w:t>rerata 76 cm (rentang 61 sampai 93 cm); 80 cm (rentang 60 sampai 90 cm)</w:t>
            </w:r>
          </w:p>
        </w:tc>
      </w:tr>
      <w:tr>
        <w:tc>
          <w:tcPr>
            <w:tcW w:type="dxa" w:w="1701"/>
          </w:tcPr>
          <w:p>
            <w:pPr>
              <w:spacing w:after="0"/>
            </w:pPr>
            <w:r/>
            <w:r>
              <w:rPr>
                <w:sz w:val="18"/>
              </w:rPr>
              <w:t>OSHA eTool computer workstation (rujukan outline)</w:t>
            </w:r>
          </w:p>
        </w:tc>
        <w:tc>
          <w:tcPr>
            <w:tcW w:type="dxa" w:w="8050"/>
          </w:tcPr>
          <w:p>
            <w:pPr>
              <w:spacing w:after="0"/>
            </w:pPr>
            <w:r/>
            <w:r>
              <w:rPr>
                <w:b/>
                <w:sz w:val="18"/>
              </w:rPr>
              <w:t>50 sampai 100 cm (20 sampai 40 inci)</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NotebookLM menulis rentang LaDou sebagai "48 sampai 72 cm (20 sampai 30 inci)". Konversinya tidak cocok (20 sampai 30 inci = 51 sampai 76 cm). Rentang OSHA 20 sampai 40 inci ada di outline [W1] tetapi tidak muncul dalam jawaban NotebookLM; cek halaman OSHA. Untuk menjawab ujian: bila soal berbasis regulasi Indonesia, jawab 45 sampai 60 cm (Lampiran 6). Bila soal berbasis literatur internasional, jawab minimal 50 cm, kisaran 50 sampai 100 cm (OSHA), paling nyaman 75 sampai 80 cm. Sebut sumbernya, karena angkanya berbeda.</w:t>
            </w:r>
          </w:p>
        </w:tc>
      </w:tr>
    </w:tbl>
    <w:p>
      <w:pPr>
        <w:spacing w:after="40"/>
      </w:pPr>
    </w:p>
    <w:p>
      <w:pPr>
        <w:pStyle w:val="Heading3"/>
      </w:pPr>
      <w:r>
        <w:t>Tinggi monitor</w:t>
      </w:r>
    </w:p>
    <w:p>
      <w:pPr>
        <w:pStyle w:val="ListBullet"/>
        <w:spacing w:after="20"/>
      </w:pPr>
      <w:r>
        <w:rPr>
          <w:b/>
        </w:rPr>
        <w:t>Tepi atas layar setinggi atau sedikit di bawah mata</w:t>
      </w:r>
      <w:r>
        <w:rPr/>
        <w:t xml:space="preserve"> (OSHA, LaDou). Semua sumber sepakat pada poin ini.</w:t>
      </w:r>
    </w:p>
    <w:p>
      <w:pPr>
        <w:pStyle w:val="ListBullet"/>
        <w:spacing w:after="20"/>
      </w:pPr>
      <w:r>
        <w:rPr>
          <w:b/>
        </w:rPr>
        <w:t>Pusat layar</w:t>
      </w:r>
      <w:r>
        <w:rPr/>
        <w:t xml:space="preserve"> berada </w:t>
      </w:r>
      <w:r>
        <w:rPr>
          <w:b/>
        </w:rPr>
        <w:t>di bawah garis horizontal mata</w:t>
      </w:r>
      <w:r>
        <w:rPr/>
        <w:t>: ISO 9241-5 dan Bodyspace menyebut 0 sampai 15 derajat; LaDou menyebut zona preferensi 0 sampai 30 derajat (sampai 45 derajat masih dapat diterima). Arah pandang istirahat alami 10 sampai 15 derajat di bawah horizontal.</w:t>
      </w:r>
    </w:p>
    <w:p>
      <w:pPr>
        <w:pStyle w:val="ListBullet"/>
        <w:spacing w:after="20"/>
      </w:pPr>
      <w:r>
        <w:rPr>
          <w:b/>
        </w:rPr>
        <w:t>Terlalu tinggi</w:t>
      </w:r>
      <w:r>
        <w:rPr/>
        <w:t xml:space="preserve">: mata mendongak, celah palpebra melebar, mata kering. </w:t>
      </w:r>
      <w:r>
        <w:rPr>
          <w:b/>
        </w:rPr>
        <w:t>Terlalu rendah</w:t>
      </w:r>
      <w:r>
        <w:rPr/>
        <w:t>: kepala maju (</w:t>
      </w:r>
      <w:r>
        <w:rPr>
          <w:i/>
        </w:rPr>
        <w:t>poked chin</w:t>
      </w:r>
      <w:r>
        <w:rPr/>
        <w:t>), fleksi leher, beban statis trapezius dan segmen servikal bawah.</w:t>
      </w:r>
    </w:p>
    <w:p>
      <w:pPr>
        <w:pStyle w:val="Heading3"/>
      </w:pPr>
      <w:r>
        <w:t>Posisi terhadap jendela dan sumber cahaya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Posisi</w:t>
            </w:r>
          </w:p>
        </w:tc>
        <w:tc>
          <w:tcPr>
            <w:tcW w:type="dxa" w:w="3251"/>
            <w:shd w:val="clear" w:color="auto" w:fill="DCE6F1"/>
          </w:tcPr>
          <w:p>
            <w:pPr>
              <w:spacing w:after="0"/>
            </w:pPr>
            <w:r/>
            <w:r>
              <w:rPr>
                <w:b/>
                <w:sz w:val="18"/>
              </w:rPr>
              <w:t>Masalah</w:t>
            </w:r>
          </w:p>
        </w:tc>
        <w:tc>
          <w:tcPr>
            <w:tcW w:type="dxa" w:w="3251"/>
            <w:shd w:val="clear" w:color="auto" w:fill="DCE6F1"/>
          </w:tcPr>
          <w:p>
            <w:pPr>
              <w:spacing w:after="0"/>
            </w:pPr>
            <w:r/>
            <w:r>
              <w:rPr>
                <w:b/>
                <w:sz w:val="18"/>
              </w:rPr>
              <w:t>Akibat</w:t>
            </w:r>
          </w:p>
        </w:tc>
      </w:tr>
      <w:tr>
        <w:tc>
          <w:tcPr>
            <w:tcW w:type="dxa" w:w="3251"/>
          </w:tcPr>
          <w:p>
            <w:pPr>
              <w:spacing w:after="0"/>
            </w:pPr>
            <w:r/>
            <w:r>
              <w:rPr>
                <w:b/>
                <w:sz w:val="18"/>
              </w:rPr>
              <w:t>Pekerja menghadap jendela</w:t>
            </w:r>
            <w:r>
              <w:rPr>
                <w:sz w:val="18"/>
              </w:rPr>
              <w:t xml:space="preserve"> (jendela di belakang layar)</w:t>
            </w:r>
          </w:p>
        </w:tc>
        <w:tc>
          <w:tcPr>
            <w:tcW w:type="dxa" w:w="3251"/>
          </w:tcPr>
          <w:p>
            <w:pPr>
              <w:spacing w:after="0"/>
            </w:pPr>
            <w:r/>
            <w:r>
              <w:rPr>
                <w:b/>
                <w:sz w:val="18"/>
              </w:rPr>
              <w:t>Silau langsung</w:t>
            </w:r>
            <w:r>
              <w:rPr>
                <w:sz w:val="18"/>
              </w:rPr>
              <w:t xml:space="preserve"> (</w:t>
            </w:r>
            <w:r>
              <w:rPr>
                <w:i/>
                <w:sz w:val="18"/>
              </w:rPr>
              <w:t>direct glare</w:t>
            </w:r>
            <w:r>
              <w:rPr>
                <w:sz w:val="18"/>
              </w:rPr>
              <w:t>), rasio kontras ekstrem antara layar dan latar terang</w:t>
            </w:r>
          </w:p>
        </w:tc>
        <w:tc>
          <w:tcPr>
            <w:tcW w:type="dxa" w:w="3251"/>
          </w:tcPr>
          <w:p>
            <w:pPr>
              <w:spacing w:after="0"/>
            </w:pPr>
            <w:r/>
            <w:r>
              <w:rPr>
                <w:sz w:val="18"/>
              </w:rPr>
              <w:t>Pupil terus mengecil, kelelahan visual adaptif</w:t>
            </w:r>
          </w:p>
        </w:tc>
      </w:tr>
      <w:tr>
        <w:tc>
          <w:tcPr>
            <w:tcW w:type="dxa" w:w="3251"/>
          </w:tcPr>
          <w:p>
            <w:pPr>
              <w:spacing w:after="0"/>
            </w:pPr>
            <w:r/>
            <w:r>
              <w:rPr>
                <w:b/>
                <w:sz w:val="18"/>
              </w:rPr>
              <w:t>Pekerja membelakangi jendela</w:t>
            </w:r>
            <w:r>
              <w:rPr>
                <w:sz w:val="18"/>
              </w:rPr>
              <w:t xml:space="preserve"> (cahaya jatuh ke layar)</w:t>
            </w:r>
          </w:p>
        </w:tc>
        <w:tc>
          <w:tcPr>
            <w:tcW w:type="dxa" w:w="3251"/>
          </w:tcPr>
          <w:p>
            <w:pPr>
              <w:spacing w:after="0"/>
            </w:pPr>
            <w:r/>
            <w:r>
              <w:rPr>
                <w:b/>
                <w:sz w:val="18"/>
              </w:rPr>
              <w:t>Silau pantulan</w:t>
            </w:r>
            <w:r>
              <w:rPr>
                <w:sz w:val="18"/>
              </w:rPr>
              <w:t xml:space="preserve"> (</w:t>
            </w:r>
            <w:r>
              <w:rPr>
                <w:i/>
                <w:sz w:val="18"/>
              </w:rPr>
              <w:t>reflected glare</w:t>
            </w:r>
            <w:r>
              <w:rPr>
                <w:sz w:val="18"/>
              </w:rPr>
              <w:t>) pada layar</w:t>
            </w:r>
          </w:p>
        </w:tc>
        <w:tc>
          <w:tcPr>
            <w:tcW w:type="dxa" w:w="3251"/>
          </w:tcPr>
          <w:p>
            <w:pPr>
              <w:spacing w:after="0"/>
            </w:pPr>
            <w:r/>
            <w:r>
              <w:rPr>
                <w:sz w:val="18"/>
              </w:rPr>
              <w:t>Bayangan dan teks sulit dibaca, pekerja membungkuk menghindari pantulan</w:t>
            </w:r>
          </w:p>
        </w:tc>
      </w:tr>
      <w:tr>
        <w:tc>
          <w:tcPr>
            <w:tcW w:type="dxa" w:w="3251"/>
          </w:tcPr>
          <w:p>
            <w:pPr>
              <w:spacing w:after="0"/>
            </w:pPr>
            <w:r/>
            <w:r>
              <w:rPr>
                <w:b/>
                <w:sz w:val="18"/>
              </w:rPr>
              <w:t>Layar tegak lurus (90 derajat) jendela</w:t>
            </w:r>
            <w:r>
              <w:rPr>
                <w:sz w:val="18"/>
              </w:rPr>
              <w:t xml:space="preserve"> dan sejajar baris lampu atas</w:t>
            </w:r>
          </w:p>
        </w:tc>
        <w:tc>
          <w:tcPr>
            <w:tcW w:type="dxa" w:w="3251"/>
          </w:tcPr>
          <w:p>
            <w:pPr>
              <w:spacing w:after="0"/>
            </w:pPr>
            <w:r/>
            <w:r>
              <w:rPr>
                <w:sz w:val="18"/>
              </w:rPr>
              <w:t>Posisi yang dianjurkan</w:t>
            </w:r>
          </w:p>
        </w:tc>
        <w:tc>
          <w:tcPr>
            <w:tcW w:type="dxa" w:w="3251"/>
          </w:tcPr>
          <w:p>
            <w:pPr>
              <w:spacing w:after="0"/>
            </w:pPr>
            <w:r/>
            <w:r>
              <w:rPr>
                <w:sz w:val="18"/>
              </w:rPr>
              <w:t>Cahaya jendela jatuh dari samping</w:t>
            </w:r>
          </w:p>
        </w:tc>
      </w:tr>
    </w:tbl>
    <w:p>
      <w:pPr>
        <w:spacing w:after="40"/>
      </w:pPr>
    </w:p>
    <w:p>
      <w:pPr>
        <w:pStyle w:val="ListBullet"/>
        <w:spacing w:after="20"/>
      </w:pPr>
      <w:r>
        <w:rPr/>
        <w:t xml:space="preserve">Jarak layar dari jendela sebaiknya </w:t>
      </w:r>
      <w:r>
        <w:rPr>
          <w:b/>
        </w:rPr>
        <w:t>lebih dari 2 m</w:t>
      </w:r>
      <w:r>
        <w:rPr/>
        <w:t xml:space="preserve"> (LaDou).</w:t>
      </w:r>
    </w:p>
    <w:p>
      <w:pPr>
        <w:pStyle w:val="ListBullet"/>
        <w:spacing w:after="20"/>
      </w:pPr>
      <w:r>
        <w:rPr>
          <w:b/>
        </w:rPr>
        <w:t>Kontras</w:t>
      </w:r>
      <w:r>
        <w:rPr/>
        <w:t xml:space="preserve">: rasio kecerahan layar terhadap sekitarnya </w:t>
      </w:r>
      <w:r>
        <w:rPr>
          <w:b/>
        </w:rPr>
        <w:t>maksimal 1:3</w:t>
      </w:r>
      <w:r>
        <w:rPr/>
        <w:t xml:space="preserve">; iluminasi umum ruang komputer dikurangi hingga sekitar </w:t>
      </w:r>
      <w:r>
        <w:rPr>
          <w:b/>
        </w:rPr>
        <w:t>500 lux</w:t>
      </w:r>
      <w:r>
        <w:rPr/>
        <w:t xml:space="preserve"> (LaDou).</w:t>
      </w:r>
    </w:p>
    <w:p>
      <w:pPr>
        <w:pStyle w:val="ListBullet"/>
        <w:spacing w:after="20"/>
      </w:pPr>
      <w:r>
        <w:rPr/>
        <w:t>Filter antisilau terpolarisasi dipakai sebagai langkah sekunder setelah penataan layar, tirai, dan lampu.</w:t>
      </w:r>
    </w:p>
    <w:p>
      <w:pPr>
        <w:pStyle w:val="Heading3"/>
      </w:pPr>
      <w:r>
        <w:t>Pengguna kacamata bifokal/progresif</w:t>
      </w:r>
    </w:p>
    <w:p>
      <w:pPr>
        <w:pStyle w:val="ListBullet"/>
        <w:spacing w:after="20"/>
      </w:pPr>
      <w:r>
        <w:rPr/>
        <w:t xml:space="preserve">Masalah: memakai segmen bawah lensa untuk jarak dekat. Dengan monitor setinggi biasa, kepala harus </w:t>
      </w:r>
      <w:r>
        <w:rPr>
          <w:b/>
        </w:rPr>
        <w:t>mendongak (ekstensi leher)</w:t>
      </w:r>
      <w:r>
        <w:rPr/>
        <w:t xml:space="preserve"> terus-menerus sehingga otot leher posterior tegang.</w:t>
      </w:r>
    </w:p>
    <w:p>
      <w:pPr>
        <w:pStyle w:val="ListBullet"/>
        <w:spacing w:after="20"/>
      </w:pPr>
      <w:r>
        <w:rPr/>
        <w:t xml:space="preserve">Solusi: layar </w:t>
      </w:r>
      <w:r>
        <w:rPr>
          <w:b/>
        </w:rPr>
        <w:t>diturunkan, 30 sampai 45 derajat di bawah garis mata</w:t>
      </w:r>
      <w:r>
        <w:rPr/>
        <w:t xml:space="preserve">; atau kacamata </w:t>
      </w:r>
      <w:r>
        <w:rPr>
          <w:b/>
        </w:rPr>
        <w:t>monofokal khusus komputer</w:t>
      </w:r>
      <w:r>
        <w:rPr/>
        <w:t xml:space="preserve"> yang disesuaikan jarak layar (sekitar 48 sampai 72 cm), atau bifokal okupasi.</w:t>
      </w:r>
    </w:p>
    <w:p>
      <w:pPr>
        <w:pStyle w:val="ListBullet"/>
        <w:spacing w:after="20"/>
      </w:pPr>
      <w:r>
        <w:rPr>
          <w:b/>
        </w:rPr>
        <w:t>Document holder</w:t>
      </w:r>
      <w:r>
        <w:rPr/>
        <w:t xml:space="preserve"> di samping layar atau antara layar dan keyboard pada tinggi yang sama untuk mengurangi putaran leher.</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Hafalan cepat untuk soal: tepi atas layar setinggi mata atau sedikit di bawahnya; layar tegak lurus jendela; jarak 45 sampai 60 cm (Lampiran 6) atau minimal 50 cm (literatur); bifokal = layar lebih rendah (30 sampai 45 derajat). Silau langsung = pekerja menghadap jendela, silau pantulan = pekerja membelakangi jendela.</w:t>
            </w:r>
          </w:p>
        </w:tc>
      </w:tr>
    </w:tbl>
    <w:p>
      <w:pPr>
        <w:spacing w:after="40"/>
      </w:pPr>
    </w:p>
    <w:p>
      <w:pPr>
        <w:pStyle w:val="Heading2"/>
      </w:pPr>
      <w:r>
        <w:t>A.3 Keyboard dan mouse</w:t>
      </w:r>
    </w:p>
    <w:p>
      <w:pPr>
        <w:pStyle w:val="Heading3"/>
      </w:pPr>
      <w:r>
        <w:t>Standar Indonesia: Lampiran 6 Permenaker No. 5 Tahun 2018 (Ergonomi Komputer)</w:t>
      </w:r>
    </w:p>
    <w:p>
      <w:pPr>
        <w:pStyle w:val="ListBullet"/>
        <w:spacing w:after="20"/>
      </w:pPr>
      <w:r>
        <w:rPr>
          <w:b/>
        </w:rPr>
        <w:t>Keyboard</w:t>
      </w:r>
      <w:r>
        <w:rPr/>
        <w:t xml:space="preserve">: sejajar arah layar; lengan </w:t>
      </w:r>
      <w:r>
        <w:rPr>
          <w:b/>
        </w:rPr>
        <w:t>relaks, lengan bawah horizontal</w:t>
      </w:r>
      <w:r>
        <w:rPr/>
        <w:t xml:space="preserve">; </w:t>
      </w:r>
      <w:r>
        <w:rPr>
          <w:b/>
        </w:rPr>
        <w:t>pundak relaks, tidak terangkat</w:t>
      </w:r>
      <w:r>
        <w:rPr/>
        <w:t xml:space="preserve">; </w:t>
      </w:r>
      <w:r>
        <w:rPr>
          <w:b/>
        </w:rPr>
        <w:t>pergelangan lurus, tidak menekuk ke atas atau bawah</w:t>
      </w:r>
      <w:r>
        <w:rPr/>
        <w:t xml:space="preserve">; tangan ikut bergeser kiri-kanan supaya jari tidak dipaksa meraih tombol; tombol ditekan halus, tidak dipukul; keyboard ergonomik bila perlu; manfaatkan </w:t>
      </w:r>
      <w:r>
        <w:rPr>
          <w:i/>
        </w:rPr>
        <w:t>shortcut</w:t>
      </w:r>
      <w:r>
        <w:rPr/>
        <w:t xml:space="preserve"> dan </w:t>
      </w:r>
      <w:r>
        <w:rPr>
          <w:i/>
        </w:rPr>
        <w:t>macro</w:t>
      </w:r>
      <w:r>
        <w:rPr/>
        <w:t xml:space="preserve"> untuk mengurangi penekanan tombol.</w:t>
      </w:r>
    </w:p>
    <w:p>
      <w:pPr>
        <w:pStyle w:val="ListBullet"/>
        <w:spacing w:after="20"/>
      </w:pPr>
      <w:r>
        <w:rPr>
          <w:b/>
        </w:rPr>
        <w:t>Mouse</w:t>
      </w:r>
      <w:r>
        <w:rPr/>
        <w:t xml:space="preserve">: ukuran sesuai tangan; </w:t>
      </w:r>
      <w:r>
        <w:rPr>
          <w:b/>
        </w:rPr>
        <w:t>dekat dan di permukaan yang sama dengan keyboard</w:t>
      </w:r>
      <w:r>
        <w:rPr/>
        <w:t xml:space="preserve"> supaya tidak meregang; pegang ringan, klik tegas; </w:t>
      </w:r>
      <w:r>
        <w:rPr>
          <w:b/>
        </w:rPr>
        <w:t>gerakkan dengan lengan, jangan hanya pergelangan</w:t>
      </w:r>
      <w:r>
        <w:rPr/>
        <w:t>; jangan menumpukan pergelangan atau lengan bawah di meja saat menggerakkan mouse; kabel jangan terlalu panjang atau pakai nirkabel; pada laptop kurangi touchpad (pakai mouse).</w:t>
      </w:r>
    </w:p>
    <w:p>
      <w:pPr>
        <w:pStyle w:val="ListBullet"/>
        <w:spacing w:after="20"/>
      </w:pPr>
      <w:r>
        <w:rPr>
          <w:b/>
        </w:rPr>
        <w:t>Duduk</w:t>
      </w:r>
      <w:r>
        <w:rPr/>
        <w:t>: paha horizontal, punggung bawah tersandar; hindari duduk di ujung kursi (beri bantal lumbal bila kursi kurang dapat diatur); telapak kaki rata di lantai (bila tidak, kursi terlalu tinggi, solusinya penyangga kaki); ubah posisi duduk selama bekerja.</w:t>
      </w:r>
    </w:p>
    <w:p>
      <w:pPr>
        <w:pStyle w:val="ListBullet"/>
        <w:spacing w:after="20"/>
      </w:pPr>
      <w:r>
        <w:rPr>
          <w:b/>
        </w:rPr>
        <w:t>Meja</w:t>
      </w:r>
      <w:r>
        <w:rPr/>
        <w:t xml:space="preserve">: cukup luas untuk CPU, monitor, keyboard, mouse, printer, penyangga dokumen; alat yang sering dipakai (mouse, telepon) di posisi paling mudah dijangkau; </w:t>
      </w:r>
      <w:r>
        <w:rPr>
          <w:b/>
        </w:rPr>
        <w:t>laptop jangan dipaksa di bawah atau di lantai</w:t>
      </w:r>
      <w:r>
        <w:rPr/>
        <w:t xml:space="preserve"> sehingga badan membungkuk.</w:t>
      </w:r>
    </w:p>
    <w:p>
      <w:pPr>
        <w:pStyle w:val="Heading3"/>
      </w:pPr>
      <w:r>
        <w:t>Pergelangan tangan dan wrist rest (literatur)</w:t>
      </w:r>
    </w:p>
    <w:p>
      <w:pPr>
        <w:pStyle w:val="ListBullet"/>
        <w:spacing w:after="20"/>
      </w:pPr>
      <w:r>
        <w:rPr/>
        <w:t xml:space="preserve">Postur </w:t>
      </w:r>
      <w:r>
        <w:rPr>
          <w:b/>
        </w:rPr>
        <w:t>netral</w:t>
      </w:r>
      <w:r>
        <w:rPr/>
        <w:t xml:space="preserve">: pergelangan </w:t>
      </w:r>
      <w:r>
        <w:rPr>
          <w:b/>
        </w:rPr>
        <w:t>lurus, satu garis dengan lengan bawah</w:t>
      </w:r>
      <w:r>
        <w:rPr/>
        <w:t xml:space="preserve"> (in-line) saat mengetik dan memakai mouse.</w:t>
      </w:r>
    </w:p>
    <w:p>
      <w:pPr>
        <w:pStyle w:val="ListBullet"/>
        <w:spacing w:after="20"/>
      </w:pPr>
      <w:r>
        <w:rPr/>
        <w:t xml:space="preserve">Hindari: </w:t>
      </w:r>
      <w:r>
        <w:rPr>
          <w:b/>
        </w:rPr>
        <w:t>ekstensi</w:t>
      </w:r>
      <w:r>
        <w:rPr/>
        <w:t xml:space="preserve"> (menekuk ke atas), </w:t>
      </w:r>
      <w:r>
        <w:rPr>
          <w:b/>
        </w:rPr>
        <w:t>fleksi</w:t>
      </w:r>
      <w:r>
        <w:rPr/>
        <w:t xml:space="preserve"> (ke bawah), </w:t>
      </w:r>
      <w:r>
        <w:rPr>
          <w:b/>
        </w:rPr>
        <w:t>deviasi ulnar</w:t>
      </w:r>
      <w:r>
        <w:rPr/>
        <w:t xml:space="preserve"> (ke arah kelingking; paling sering pada keyboard datar standar) dan </w:t>
      </w:r>
      <w:r>
        <w:rPr>
          <w:b/>
        </w:rPr>
        <w:t>deviasi radial</w:t>
      </w:r>
      <w:r>
        <w:rPr/>
        <w:t xml:space="preserve"> (ke arah ibu jari).</w:t>
      </w:r>
    </w:p>
    <w:p>
      <w:pPr>
        <w:pStyle w:val="ListBullet"/>
        <w:spacing w:after="20"/>
      </w:pPr>
      <w:r>
        <w:rPr>
          <w:b/>
        </w:rPr>
        <w:t>Wrist rest/penyangga</w:t>
      </w:r>
      <w:r>
        <w:rPr/>
        <w:t xml:space="preserve">: permukaan penyangga di depan keyboard </w:t>
      </w:r>
      <w:r>
        <w:rPr>
          <w:b/>
        </w:rPr>
        <w:t>minimal 100 mm</w:t>
      </w:r>
      <w:r>
        <w:rPr/>
        <w:t xml:space="preserve"> dengan tepi membulat (ISO 9241-5, dikutip Bodyspace). Fungsi: menopang saat </w:t>
      </w:r>
      <w:r>
        <w:rPr>
          <w:b/>
        </w:rPr>
        <w:t>jeda</w:t>
      </w:r>
      <w:r>
        <w:rPr/>
        <w:t xml:space="preserve"> mengetik, </w:t>
      </w:r>
      <w:r>
        <w:rPr>
          <w:b/>
        </w:rPr>
        <w:t>bukan</w:t>
      </w:r>
      <w:r>
        <w:rPr/>
        <w:t xml:space="preserve"> ditekan terus saat mengetik.</w:t>
      </w:r>
    </w:p>
    <w:p>
      <w:pPr>
        <w:pStyle w:val="ListBullet"/>
        <w:spacing w:after="20"/>
      </w:pPr>
      <w:r>
        <w:rPr>
          <w:b/>
        </w:rPr>
        <w:t>Contact stress</w:t>
      </w:r>
      <w:r>
        <w:rPr/>
        <w:t>: menumpu pergelangan pada tepi meja yang tajam menekan saraf medianus dan ulnaris.</w:t>
      </w:r>
    </w:p>
    <w:p>
      <w:pPr>
        <w:pStyle w:val="Heading3"/>
      </w:pPr>
      <w:r>
        <w:t>Siku, bahu, dan lengan atas</w:t>
      </w:r>
    </w:p>
    <w:p>
      <w:pPr>
        <w:pStyle w:val="ListBullet"/>
        <w:spacing w:after="20"/>
      </w:pPr>
      <w:r>
        <w:rPr>
          <w:b/>
        </w:rPr>
        <w:t>Siku sekitar 90 derajat</w:t>
      </w:r>
      <w:r>
        <w:rPr/>
        <w:t xml:space="preserve">, rentang nyaman </w:t>
      </w:r>
      <w:r>
        <w:rPr>
          <w:b/>
        </w:rPr>
        <w:t>80 sampai 120 derajat</w:t>
      </w:r>
      <w:r>
        <w:rPr/>
        <w:t xml:space="preserve"> (Pheasant &amp; Haslegrave), lengan bawah horizontal, siku dekat badan.</w:t>
      </w:r>
    </w:p>
    <w:p>
      <w:pPr>
        <w:pStyle w:val="ListBullet"/>
        <w:spacing w:after="20"/>
      </w:pPr>
      <w:r>
        <w:rPr>
          <w:b/>
        </w:rPr>
        <w:t>Bahu rileks</w:t>
      </w:r>
      <w:r>
        <w:rPr/>
        <w:t xml:space="preserve">, lengan atas menggantung bebas. Meja atau keyboard terlalu tinggi menyebabkan bahu terangkat atau abduksi; abduksi memaksa pergelangan </w:t>
      </w:r>
      <w:r>
        <w:rPr>
          <w:b/>
        </w:rPr>
        <w:t>deviasi ulnar</w:t>
      </w:r>
      <w:r>
        <w:rPr/>
        <w:t xml:space="preserve"> kompensatorik dan menambah beban statis trapezius dan deltoid.</w:t>
      </w:r>
    </w:p>
    <w:p>
      <w:pPr>
        <w:pStyle w:val="Heading3"/>
      </w:pPr>
      <w:r>
        <w:t>Keyboard</w:t>
      </w:r>
    </w:p>
    <w:p>
      <w:pPr>
        <w:pStyle w:val="ListBullet"/>
        <w:spacing w:after="20"/>
      </w:pPr>
      <w:r>
        <w:rPr>
          <w:b/>
        </w:rPr>
        <w:t>Baris tengah (home row, ASDFG) setinggi siku duduk</w:t>
      </w:r>
      <w:r>
        <w:rPr/>
        <w:t>. Keyboard setebal 30 sampai 50 mm, jadi permukaan meja perlu cukup rendah.</w:t>
      </w:r>
    </w:p>
    <w:p>
      <w:pPr>
        <w:pStyle w:val="ListBullet"/>
        <w:spacing w:after="20"/>
      </w:pPr>
      <w:r>
        <w:rPr/>
        <w:t>Letak di area kerja normal, jangkauan lengan bawah tanpa mengulur lengan atas.</w:t>
      </w:r>
    </w:p>
    <w:p>
      <w:pPr>
        <w:pStyle w:val="ListBullet"/>
        <w:spacing w:after="20"/>
      </w:pPr>
      <w:r>
        <w:rPr>
          <w:b/>
        </w:rPr>
        <w:t>Kemiringan</w:t>
      </w:r>
      <w:r>
        <w:rPr/>
        <w:t xml:space="preserve">: datar atau landai; </w:t>
      </w:r>
      <w:r>
        <w:rPr>
          <w:b/>
        </w:rPr>
        <w:t>kemiringan negatif</w:t>
      </w:r>
      <w:r>
        <w:rPr/>
        <w:t xml:space="preserve"> (belakang lebih rendah) mengurangi ekstensi pergelangan dan deviasi ulnar (Hedge 1999; Simoneau &amp; Marklin 2001).</w:t>
      </w:r>
    </w:p>
    <w:p>
      <w:pPr>
        <w:pStyle w:val="ListBullet"/>
        <w:spacing w:after="20"/>
      </w:pPr>
      <w:r>
        <w:rPr/>
        <w:t xml:space="preserve">Gaya tekan tombol: maksimum </w:t>
      </w:r>
      <w:r>
        <w:rPr>
          <w:b/>
        </w:rPr>
        <w:t>1,5 N</w:t>
      </w:r>
      <w:r>
        <w:rPr/>
        <w:t xml:space="preserve">, preferensi </w:t>
      </w:r>
      <w:r>
        <w:rPr>
          <w:b/>
        </w:rPr>
        <w:t>0,5 sampai 0,8 N</w:t>
      </w:r>
      <w:r>
        <w:rPr/>
        <w:t xml:space="preserve">, jarak tekan </w:t>
      </w:r>
      <w:r>
        <w:rPr>
          <w:b/>
        </w:rPr>
        <w:t>2 sampai 4 mm</w:t>
      </w:r>
      <w:r>
        <w:rPr/>
        <w:t xml:space="preserve"> (ISO 9241-4; ANSI/HFS 100).</w:t>
      </w:r>
    </w:p>
    <w:p>
      <w:pPr>
        <w:pStyle w:val="ListBullet"/>
        <w:spacing w:after="20"/>
      </w:pPr>
      <w:r>
        <w:rPr>
          <w:b/>
        </w:rPr>
        <w:t>Keyboard terbagi tetap (fixed-split)</w:t>
      </w:r>
      <w:r>
        <w:rPr/>
        <w:t xml:space="preserve"> mengurangi deviasi ulnar dan pronasi.</w:t>
      </w:r>
    </w:p>
    <w:p>
      <w:pPr>
        <w:pStyle w:val="Heading3"/>
      </w:pPr>
      <w:r>
        <w:t>Mouse</w:t>
      </w:r>
    </w:p>
    <w:p>
      <w:pPr>
        <w:pStyle w:val="ListBullet"/>
        <w:spacing w:after="20"/>
      </w:pPr>
      <w:r>
        <w:rPr/>
        <w:t>Sejajar ketinggian keyboard, dalam zona jangkauan lengan bawah, dekat garis tengah tubuh.</w:t>
      </w:r>
    </w:p>
    <w:p>
      <w:pPr>
        <w:pStyle w:val="ListBullet"/>
        <w:spacing w:after="20"/>
      </w:pPr>
      <w:r>
        <w:rPr>
          <w:b/>
        </w:rPr>
        <w:t>Numpad</w:t>
      </w:r>
      <w:r>
        <w:rPr/>
        <w:t xml:space="preserve"> memaksa mouse bergeser ke kanan: abduksi bahu lebih dari 30 derajat dan deviasi ulnar lebih dari 15 derajat sepanjang kerja (Cook &amp; Kothiyal 1998; Karlqvist 1994). Solusi: </w:t>
      </w:r>
      <w:r>
        <w:rPr>
          <w:b/>
        </w:rPr>
        <w:t>keyboard pendek tanpa numpad</w:t>
      </w:r>
      <w:r>
        <w:rPr/>
        <w:t xml:space="preserve">, meja berbentuk L, </w:t>
      </w:r>
      <w:r>
        <w:rPr>
          <w:b/>
        </w:rPr>
        <w:t>penopang lengan bawah</w:t>
      </w:r>
      <w:r>
        <w:rPr/>
        <w:t>.</w:t>
      </w:r>
    </w:p>
    <w:p>
      <w:pPr>
        <w:pStyle w:val="Heading3"/>
      </w:pPr>
      <w:r>
        <w:t>Mekanisme ke CTS dan WRULD</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Tahap</w:t>
            </w:r>
          </w:p>
        </w:tc>
        <w:tc>
          <w:tcPr>
            <w:tcW w:type="dxa" w:w="8050"/>
            <w:shd w:val="clear" w:color="auto" w:fill="DCE6F1"/>
          </w:tcPr>
          <w:p>
            <w:pPr>
              <w:spacing w:after="0"/>
            </w:pPr>
            <w:r/>
            <w:r>
              <w:rPr>
                <w:b/>
                <w:sz w:val="18"/>
              </w:rPr>
              <w:t>Isi</w:t>
            </w:r>
          </w:p>
        </w:tc>
      </w:tr>
      <w:tr>
        <w:tc>
          <w:tcPr>
            <w:tcW w:type="dxa" w:w="1701"/>
          </w:tcPr>
          <w:p>
            <w:pPr>
              <w:spacing w:after="0"/>
            </w:pPr>
            <w:r/>
            <w:r>
              <w:rPr>
                <w:sz w:val="18"/>
              </w:rPr>
              <w:t>Pajanan</w:t>
            </w:r>
          </w:p>
        </w:tc>
        <w:tc>
          <w:tcPr>
            <w:tcW w:type="dxa" w:w="8050"/>
          </w:tcPr>
          <w:p>
            <w:pPr>
              <w:spacing w:after="0"/>
            </w:pPr>
            <w:r/>
            <w:r>
              <w:rPr>
                <w:sz w:val="18"/>
              </w:rPr>
              <w:t>Postur janggal (ekstensi/fleksi/deviasi ulnar) + beban statis lengan bawah + repetisi</w:t>
            </w:r>
          </w:p>
        </w:tc>
      </w:tr>
      <w:tr>
        <w:tc>
          <w:tcPr>
            <w:tcW w:type="dxa" w:w="1701"/>
          </w:tcPr>
          <w:p>
            <w:pPr>
              <w:spacing w:after="0"/>
            </w:pPr>
            <w:r/>
            <w:r>
              <w:rPr>
                <w:sz w:val="18"/>
              </w:rPr>
              <w:t>Mekanisme</w:t>
            </w:r>
          </w:p>
        </w:tc>
        <w:tc>
          <w:tcPr>
            <w:tcW w:type="dxa" w:w="8050"/>
          </w:tcPr>
          <w:p>
            <w:pPr>
              <w:spacing w:after="0"/>
            </w:pPr>
            <w:r/>
            <w:r>
              <w:rPr>
                <w:sz w:val="18"/>
              </w:rPr>
              <w:t>Tekanan intrakarpal naik; terowongan karpal dibatasi tulang karpal (dorsal) dan ligamen karpal transversum (volar), dilalui 9 tendon fleksor dan saraf medianus</w:t>
            </w:r>
          </w:p>
        </w:tc>
      </w:tr>
      <w:tr>
        <w:tc>
          <w:tcPr>
            <w:tcW w:type="dxa" w:w="1701"/>
          </w:tcPr>
          <w:p>
            <w:pPr>
              <w:spacing w:after="0"/>
            </w:pPr>
            <w:r/>
            <w:r>
              <w:rPr>
                <w:sz w:val="18"/>
              </w:rPr>
              <w:t>Akibat</w:t>
            </w:r>
          </w:p>
        </w:tc>
        <w:tc>
          <w:tcPr>
            <w:tcW w:type="dxa" w:w="8050"/>
          </w:tcPr>
          <w:p>
            <w:pPr>
              <w:spacing w:after="0"/>
            </w:pPr>
            <w:r/>
            <w:r>
              <w:rPr>
                <w:sz w:val="18"/>
              </w:rPr>
              <w:t>Iskemia dan gangguan transpor aksonal saraf medianus: parestesia jari I, II, III dan separuh radial jari IV</w:t>
            </w:r>
          </w:p>
        </w:tc>
      </w:tr>
      <w:tr>
        <w:tc>
          <w:tcPr>
            <w:tcW w:type="dxa" w:w="1701"/>
          </w:tcPr>
          <w:p>
            <w:pPr>
              <w:spacing w:after="0"/>
            </w:pPr>
            <w:r/>
            <w:r>
              <w:rPr>
                <w:sz w:val="18"/>
              </w:rPr>
              <w:t>Beban otot</w:t>
            </w:r>
          </w:p>
        </w:tc>
        <w:tc>
          <w:tcPr>
            <w:tcW w:type="dxa" w:w="8050"/>
          </w:tcPr>
          <w:p>
            <w:pPr>
              <w:spacing w:after="0"/>
            </w:pPr>
            <w:r/>
            <w:r>
              <w:rPr>
                <w:sz w:val="18"/>
              </w:rPr>
              <w:t>Postur keyboard buruk menimbulkan beban otot statis hingga sekitar 30% kapasitas maksimum (Onishi 1982, dikutip Bodyspace)</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Tiga kata kunci tangan: pergelangan lurus, siku sekitar 90 derajat, bahu rileks. Keyboard bernumpad membuat mouse jauh dan memicu abduksi bahu.</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Angka 30% MVC dan nilai gaya tombol berasal dari jawaban NotebookLM atas Bodyspace; angka detail ISO 9241 sebaiknya diverifikasi bila akan dikutip dalam jawaban tertulis.</w:t>
            </w:r>
          </w:p>
        </w:tc>
      </w:tr>
    </w:tbl>
    <w:p>
      <w:pPr>
        <w:spacing w:after="40"/>
      </w:pPr>
    </w:p>
    <w:p>
      <w:pPr>
        <w:pStyle w:val="Heading2"/>
      </w:pPr>
      <w:r>
        <w:t>A.4 Kursi dan meja</w:t>
      </w:r>
    </w:p>
    <w:p>
      <w:pPr>
        <w:pStyle w:val="Heading3"/>
      </w:pPr>
      <w:r>
        <w:t>Prinsip dari Lampiran 6 Permenaker No. 5 Tahun 2018 (standar ergonomi Indonesia)</w:t>
      </w:r>
    </w:p>
    <w:p>
      <w:pPr>
        <w:pStyle w:val="ListBullet"/>
        <w:spacing w:after="20"/>
      </w:pPr>
      <w:r>
        <w:rPr/>
        <w:t xml:space="preserve">Kerja duduk: </w:t>
      </w:r>
      <w:r>
        <w:rPr>
          <w:b/>
        </w:rPr>
        <w:t>fleksi lutut 90 derajat</w:t>
      </w:r>
      <w:r>
        <w:rPr/>
        <w:t xml:space="preserve">, telapak kaki bertumpu di lantai atau injakan kaki. Landasan kerja terlalu rendah membuat tulang belakang membungkuk; terlalu tinggi membuat </w:t>
      </w:r>
      <w:r>
        <w:rPr>
          <w:b/>
        </w:rPr>
        <w:t>bahu terangkat</w:t>
      </w:r>
      <w:r>
        <w:rPr/>
        <w:t xml:space="preserve"> dan leher tidak nyaman.</w:t>
      </w:r>
    </w:p>
    <w:p>
      <w:pPr>
        <w:pStyle w:val="ListBullet"/>
        <w:spacing w:after="20"/>
      </w:pPr>
      <w:r>
        <w:rPr/>
        <w:t xml:space="preserve">Landasan kerja memungkinkan </w:t>
      </w:r>
      <w:r>
        <w:rPr>
          <w:b/>
        </w:rPr>
        <w:t>lengan menggantung rileks dari bahu, lengan bawah mendekati horizontal atau sedikit menurun</w:t>
      </w:r>
      <w:r>
        <w:rPr/>
        <w:t xml:space="preserve">; tinggi landasan kerja = </w:t>
      </w:r>
      <w:r>
        <w:rPr>
          <w:b/>
        </w:rPr>
        <w:t>tinggi siku duduk</w:t>
      </w:r>
      <w:r>
        <w:rPr/>
        <w:t xml:space="preserve">; tinggi visual pekerjaan = </w:t>
      </w:r>
      <w:r>
        <w:rPr>
          <w:b/>
        </w:rPr>
        <w:t>tinggi mata duduk</w:t>
      </w:r>
      <w:r>
        <w:rPr/>
        <w:t>.</w:t>
      </w:r>
    </w:p>
    <w:p>
      <w:pPr>
        <w:pStyle w:val="ListBullet"/>
        <w:spacing w:after="20"/>
      </w:pPr>
      <w:r>
        <w:rPr/>
        <w:t xml:space="preserve">Sediakan </w:t>
      </w:r>
      <w:r>
        <w:rPr>
          <w:b/>
        </w:rPr>
        <w:t>meja yang dapat diatur</w:t>
      </w:r>
      <w:r>
        <w:rPr/>
        <w:t xml:space="preserve"> bila memungkinkan, akses kaki dan injakan kaki, sudut pandang netral yang tidak membuat leher mendongak, dan posisi tangan netral.</w:t>
      </w:r>
    </w:p>
    <w:p>
      <w:pPr>
        <w:pStyle w:val="ListBullet"/>
        <w:spacing w:after="20"/>
      </w:pPr>
      <w:r>
        <w:rPr/>
        <w:t xml:space="preserve">Kerja duduk memberi stabilitas tubuh tinggi dan </w:t>
      </w:r>
      <w:r>
        <w:rPr>
          <w:b/>
        </w:rPr>
        <w:t>mengurangi kelelahan serta keluhan subjektif bila bekerja lebih dari 2 jam</w:t>
      </w:r>
      <w:r>
        <w:rPr/>
        <w:t>; kerja duduk terlalu lama melembekkan otot perut dan melengkungkan tulang belakang.</w:t>
      </w:r>
    </w:p>
    <w:p>
      <w:pPr>
        <w:pStyle w:val="ListBullet"/>
        <w:spacing w:after="20"/>
      </w:pPr>
      <w:r>
        <w:rPr/>
        <w:t xml:space="preserve">Tempat duduk harus memungkinkan </w:t>
      </w:r>
      <w:r>
        <w:rPr>
          <w:b/>
        </w:rPr>
        <w:t>variasi posisi</w:t>
      </w:r>
      <w:r>
        <w:rPr/>
        <w:t xml:space="preserve"> dan ukurannya disesuaikan antropometri pemakai.</w:t>
      </w:r>
    </w:p>
    <w:p>
      <w:pPr>
        <w:pStyle w:val="ListBullet"/>
        <w:spacing w:after="20"/>
      </w:pPr>
      <w:r>
        <w:rPr/>
        <w:t xml:space="preserve">Bangku untuk pekerjaan sambil duduk (contoh hitungan lampiran): </w:t>
      </w:r>
      <w:r>
        <w:rPr>
          <w:b/>
        </w:rPr>
        <w:t>pria</w:t>
      </w:r>
      <w:r>
        <w:rPr/>
        <w:t xml:space="preserve"> 550 (tinggi lutut) + 25 (sepatu) + 25 (kelonggaran) = </w:t>
      </w:r>
      <w:r>
        <w:rPr>
          <w:b/>
        </w:rPr>
        <w:t>600 mm</w:t>
      </w:r>
      <w:r>
        <w:rPr/>
        <w:t xml:space="preserve">; </w:t>
      </w:r>
      <w:r>
        <w:rPr>
          <w:b/>
        </w:rPr>
        <w:t>wanita</w:t>
      </w:r>
      <w:r>
        <w:rPr/>
        <w:t xml:space="preserve"> 540 + 40 + 25 = </w:t>
      </w:r>
      <w:r>
        <w:rPr>
          <w:b/>
        </w:rPr>
        <w:t>645 mm</w:t>
      </w:r>
      <w:r>
        <w:rPr/>
        <w:t>.</w:t>
      </w:r>
    </w:p>
    <w:p>
      <w:pPr>
        <w:keepNext/>
        <w:jc w:val="center"/>
      </w:pPr>
      <w:r>
        <w:drawing>
          <wp:inline xmlns:a="http://schemas.openxmlformats.org/drawingml/2006/main" xmlns:pic="http://schemas.openxmlformats.org/drawingml/2006/picture">
            <wp:extent cx="4680000" cy="2983978"/>
            <wp:docPr id="1" name="Picture 1"/>
            <wp:cNvGraphicFramePr>
              <a:graphicFrameLocks noChangeAspect="1"/>
            </wp:cNvGraphicFramePr>
            <a:graphic>
              <a:graphicData uri="http://schemas.openxmlformats.org/drawingml/2006/picture">
                <pic:pic>
                  <pic:nvPicPr>
                    <pic:cNvPr id="0" name="A_gambar-B3_desain-stasiun-kerja-duduk.png"/>
                    <pic:cNvPicPr/>
                  </pic:nvPicPr>
                  <pic:blipFill>
                    <a:blip r:embed="rId10"/>
                    <a:stretch>
                      <a:fillRect/>
                    </a:stretch>
                  </pic:blipFill>
                  <pic:spPr>
                    <a:xfrm>
                      <a:off x="0" y="0"/>
                      <a:ext cx="4680000" cy="2983978"/>
                    </a:xfrm>
                    <a:prstGeom prst="rect"/>
                  </pic:spPr>
                </pic:pic>
              </a:graphicData>
            </a:graphic>
          </wp:inline>
        </w:drawing>
      </w:r>
    </w:p>
    <w:p>
      <w:pPr>
        <w:jc w:val="center"/>
      </w:pPr>
      <w:r>
        <w:rPr>
          <w:i/>
          <w:sz w:val="17"/>
        </w:rPr>
        <w:t>Gambar B3 Lampiran 6 Permenaker 5/2018: desain stasiun kerja duduk. A tinggi meja; B tinggi visual (mata duduk); C tebal meja; D dan H kedalaman ruang kaki; E lebar ruang bebas di bawah meja; F jarak dudukan ke bawah meja (tebal paha); G letak peralatan yang sering dipakai (panjang tangan); I panjang ruang kaki; J tinggi ruang bebas bawah meja.</w:t>
      </w:r>
    </w:p>
    <w:p>
      <w:pPr>
        <w:pStyle w:val="Heading3"/>
      </w:pPr>
      <w:r>
        <w:t>Desain kursi kantor menurut Lampiran 6 (Tabel B6.1)</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Komponen</w:t>
            </w:r>
          </w:p>
        </w:tc>
        <w:tc>
          <w:tcPr>
            <w:tcW w:type="dxa" w:w="8050"/>
            <w:shd w:val="clear" w:color="auto" w:fill="DCE6F1"/>
          </w:tcPr>
          <w:p>
            <w:pPr>
              <w:spacing w:after="0"/>
            </w:pPr>
            <w:r/>
            <w:r>
              <w:rPr>
                <w:b/>
                <w:sz w:val="18"/>
              </w:rPr>
              <w:t>Dimensi dan persentil acuan</w:t>
            </w:r>
          </w:p>
        </w:tc>
      </w:tr>
      <w:tr>
        <w:tc>
          <w:tcPr>
            <w:tcW w:type="dxa" w:w="1701"/>
          </w:tcPr>
          <w:p>
            <w:pPr>
              <w:spacing w:after="0"/>
            </w:pPr>
            <w:r/>
            <w:r>
              <w:rPr>
                <w:b/>
                <w:sz w:val="18"/>
              </w:rPr>
              <w:t>Tinggi kursi</w:t>
            </w:r>
          </w:p>
        </w:tc>
        <w:tc>
          <w:tcPr>
            <w:tcW w:type="dxa" w:w="8050"/>
          </w:tcPr>
          <w:p>
            <w:pPr>
              <w:spacing w:after="0"/>
            </w:pPr>
            <w:r/>
            <w:r>
              <w:rPr>
                <w:b/>
                <w:sz w:val="18"/>
              </w:rPr>
              <w:t>Tinggi tungkai bawah (popliteal) P5</w:t>
            </w:r>
            <w:r>
              <w:rPr>
                <w:sz w:val="18"/>
              </w:rPr>
              <w:t xml:space="preserve"> bila tanpa injakan kaki; </w:t>
            </w:r>
            <w:r>
              <w:rPr>
                <w:b/>
                <w:sz w:val="18"/>
              </w:rPr>
              <w:t>P95</w:t>
            </w:r>
            <w:r>
              <w:rPr>
                <w:sz w:val="18"/>
              </w:rPr>
              <w:t xml:space="preserve"> bila memakai injakan kaki. Kursi yang dapat disetel: rentang </w:t>
            </w:r>
            <w:r>
              <w:rPr>
                <w:b/>
                <w:sz w:val="18"/>
              </w:rPr>
              <w:t>P5 sampai P95</w:t>
            </w:r>
          </w:p>
        </w:tc>
      </w:tr>
      <w:tr>
        <w:tc>
          <w:tcPr>
            <w:tcW w:type="dxa" w:w="1701"/>
          </w:tcPr>
          <w:p>
            <w:pPr>
              <w:spacing w:after="0"/>
            </w:pPr>
            <w:r/>
            <w:r>
              <w:rPr>
                <w:b/>
                <w:sz w:val="18"/>
              </w:rPr>
              <w:t>Panjang dudukan</w:t>
            </w:r>
          </w:p>
        </w:tc>
        <w:tc>
          <w:tcPr>
            <w:tcW w:type="dxa" w:w="8050"/>
          </w:tcPr>
          <w:p>
            <w:pPr>
              <w:spacing w:after="0"/>
            </w:pPr>
            <w:r/>
            <w:r>
              <w:rPr>
                <w:b/>
                <w:sz w:val="18"/>
              </w:rPr>
              <w:t>Panjang tungkai atas P5</w:t>
            </w:r>
            <w:r>
              <w:rPr>
                <w:sz w:val="18"/>
              </w:rPr>
              <w:t xml:space="preserve"> (bokong sampai lipat lutut)</w:t>
            </w:r>
          </w:p>
        </w:tc>
      </w:tr>
      <w:tr>
        <w:tc>
          <w:tcPr>
            <w:tcW w:type="dxa" w:w="1701"/>
          </w:tcPr>
          <w:p>
            <w:pPr>
              <w:spacing w:after="0"/>
            </w:pPr>
            <w:r/>
            <w:r>
              <w:rPr>
                <w:b/>
                <w:sz w:val="18"/>
              </w:rPr>
              <w:t>Lebar dudukan</w:t>
            </w:r>
          </w:p>
        </w:tc>
        <w:tc>
          <w:tcPr>
            <w:tcW w:type="dxa" w:w="8050"/>
          </w:tcPr>
          <w:p>
            <w:pPr>
              <w:spacing w:after="0"/>
            </w:pPr>
            <w:r/>
            <w:r>
              <w:rPr>
                <w:b/>
                <w:sz w:val="18"/>
              </w:rPr>
              <w:t>Lebar pinggul P95</w:t>
            </w:r>
            <w:r>
              <w:rPr>
                <w:sz w:val="18"/>
              </w:rPr>
              <w:t xml:space="preserve"> bila tanpa sandaran tangan; </w:t>
            </w:r>
            <w:r>
              <w:rPr>
                <w:b/>
                <w:sz w:val="18"/>
              </w:rPr>
              <w:t>lebar bahu P95</w:t>
            </w:r>
            <w:r>
              <w:rPr>
                <w:sz w:val="18"/>
              </w:rPr>
              <w:t xml:space="preserve"> bila memakai sandaran tangan</w:t>
            </w:r>
          </w:p>
        </w:tc>
      </w:tr>
      <w:tr>
        <w:tc>
          <w:tcPr>
            <w:tcW w:type="dxa" w:w="1701"/>
          </w:tcPr>
          <w:p>
            <w:pPr>
              <w:spacing w:after="0"/>
            </w:pPr>
            <w:r/>
            <w:r>
              <w:rPr>
                <w:b/>
                <w:sz w:val="18"/>
              </w:rPr>
              <w:t>Sandaran punggung</w:t>
            </w:r>
          </w:p>
        </w:tc>
        <w:tc>
          <w:tcPr>
            <w:tcW w:type="dxa" w:w="8050"/>
          </w:tcPr>
          <w:p>
            <w:pPr>
              <w:spacing w:after="0"/>
            </w:pPr>
            <w:r/>
            <w:r>
              <w:rPr>
                <w:b/>
                <w:sz w:val="18"/>
              </w:rPr>
              <w:t>Tinggi bahu duduk P5</w:t>
            </w:r>
            <w:r>
              <w:rPr>
                <w:sz w:val="18"/>
              </w:rPr>
              <w:t>; bentuk mengikuti struktur tulang belakang</w:t>
            </w:r>
          </w:p>
        </w:tc>
      </w:tr>
      <w:tr>
        <w:tc>
          <w:tcPr>
            <w:tcW w:type="dxa" w:w="1701"/>
          </w:tcPr>
          <w:p>
            <w:pPr>
              <w:spacing w:after="0"/>
            </w:pPr>
            <w:r/>
            <w:r>
              <w:rPr>
                <w:b/>
                <w:sz w:val="18"/>
              </w:rPr>
              <w:t>Sandaran tangan</w:t>
            </w:r>
          </w:p>
        </w:tc>
        <w:tc>
          <w:tcPr>
            <w:tcW w:type="dxa" w:w="8050"/>
          </w:tcPr>
          <w:p>
            <w:pPr>
              <w:spacing w:after="0"/>
            </w:pPr>
            <w:r/>
            <w:r>
              <w:rPr>
                <w:sz w:val="18"/>
              </w:rPr>
              <w:t xml:space="preserve">Jarak antar tepi dalam </w:t>
            </w:r>
            <w:r>
              <w:rPr>
                <w:b/>
                <w:sz w:val="18"/>
              </w:rPr>
              <w:t>lebih besar dari lebar pinggul dan tidak melebihi lebar bahu</w:t>
            </w:r>
            <w:r>
              <w:rPr>
                <w:sz w:val="18"/>
              </w:rPr>
              <w:t xml:space="preserve">; tinggi = </w:t>
            </w:r>
            <w:r>
              <w:rPr>
                <w:b/>
                <w:sz w:val="18"/>
              </w:rPr>
              <w:t>tinggi siku P95</w:t>
            </w:r>
            <w:r>
              <w:rPr>
                <w:sz w:val="18"/>
              </w:rPr>
              <w:t xml:space="preserve">; panjang = </w:t>
            </w:r>
            <w:r>
              <w:rPr>
                <w:b/>
                <w:sz w:val="18"/>
              </w:rPr>
              <w:t>panjang lengan bawah P95</w:t>
            </w:r>
            <w:r>
              <w:rPr>
                <w:sz w:val="18"/>
              </w:rPr>
              <w:t xml:space="preserve">; jarak antar tepi dalam = </w:t>
            </w:r>
            <w:r>
              <w:rPr>
                <w:b/>
                <w:sz w:val="18"/>
              </w:rPr>
              <w:t>lebar bahu P95</w:t>
            </w:r>
          </w:p>
        </w:tc>
      </w:tr>
      <w:tr>
        <w:tc>
          <w:tcPr>
            <w:tcW w:type="dxa" w:w="1701"/>
          </w:tcPr>
          <w:p>
            <w:pPr>
              <w:spacing w:after="0"/>
            </w:pPr>
            <w:r/>
            <w:r>
              <w:rPr>
                <w:b/>
                <w:sz w:val="18"/>
              </w:rPr>
              <w:t>Alas duduk</w:t>
            </w:r>
          </w:p>
        </w:tc>
        <w:tc>
          <w:tcPr>
            <w:tcW w:type="dxa" w:w="8050"/>
          </w:tcPr>
          <w:p>
            <w:pPr>
              <w:spacing w:after="0"/>
            </w:pPr>
            <w:r/>
            <w:r>
              <w:rPr>
                <w:sz w:val="18"/>
              </w:rPr>
              <w:t>Horizontal; pada pekerjaan yang tidak perlu membungkuk, boleh miring ke belakang</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Teks Lampiran 6 tidak konsisten dalam satu halaman: daftar pengantar menyebut tinggi bahu duduk P95 dan tinggi siku duduk P50, sedangkan Tabel B6.1 menyebut tinggi bahu duduk P5 untuk sandaran punggung dan tinggi siku P95 untuk sandaran tangan. Untuk ujian, hafal isi tabel B6.1 dan sebut bahwa data persentil ditentukan oleh dimensi yang membatasi (ekstrem).</w:t>
            </w:r>
          </w:p>
        </w:tc>
      </w:tr>
    </w:tbl>
    <w:p>
      <w:pPr>
        <w:spacing w:after="40"/>
      </w:pPr>
    </w:p>
    <w:p>
      <w:pPr>
        <w:pStyle w:val="Heading3"/>
      </w:pPr>
      <w:r>
        <w:t>Desain meja kerja menurut Lampiran 6 (Tabel B6.2)</w:t>
      </w:r>
    </w:p>
    <w:p>
      <w:pPr>
        <w:pStyle w:val="ListBullet"/>
        <w:spacing w:after="20"/>
      </w:pPr>
      <w:r>
        <w:rPr/>
        <w:t xml:space="preserve">Tinggi permukaan atas meja berdasarkan </w:t>
      </w:r>
      <w:r>
        <w:rPr>
          <w:b/>
        </w:rPr>
        <w:t>tinggi siku</w:t>
      </w:r>
      <w:r>
        <w:rPr/>
        <w:t xml:space="preserve">, disesuaikan sikap tubuh; acuan persentil </w:t>
      </w:r>
      <w:r>
        <w:rPr>
          <w:b/>
        </w:rPr>
        <w:t>P50</w:t>
      </w:r>
      <w:r>
        <w:rPr/>
        <w:t>.</w:t>
      </w:r>
    </w:p>
    <w:p>
      <w:pPr>
        <w:pStyle w:val="ListBullet"/>
        <w:spacing w:after="20"/>
      </w:pPr>
      <w:r>
        <w:rPr>
          <w:b/>
        </w:rPr>
        <w:t>Sikap berdiri</w:t>
      </w:r>
      <w:r>
        <w:rPr/>
        <w:t xml:space="preserve"> (Tabel B6.2): pekerjaan teliti 10 sampai 20 cm </w:t>
      </w:r>
      <w:r>
        <w:rPr>
          <w:b/>
        </w:rPr>
        <w:t>di atas</w:t>
      </w:r>
      <w:r>
        <w:rPr/>
        <w:t xml:space="preserve"> tinggi siku; pekerjaan yang memerlukan penekanan tangan 10 sampai 20 cm </w:t>
      </w:r>
      <w:r>
        <w:rPr>
          <w:b/>
        </w:rPr>
        <w:t>di bawah</w:t>
      </w:r>
      <w:r>
        <w:rPr/>
        <w:t xml:space="preserve"> tinggi siku. (Bagian B4 lampiran yang sama menyebut 5 sampai 10 cm di atas untuk teliti, 5 sampai 10 cm di bawah untuk kerja manual, dan 10 sampai 15 cm di bawah untuk penekanan kuat; sebut kedua bila ditanya.)</w:t>
      </w:r>
    </w:p>
    <w:p>
      <w:pPr>
        <w:pStyle w:val="ListBullet"/>
        <w:spacing w:after="20"/>
      </w:pPr>
      <w:r>
        <w:rPr>
          <w:b/>
        </w:rPr>
        <w:t>Sikap duduk</w:t>
      </w:r>
      <w:r>
        <w:rPr/>
        <w:t xml:space="preserve">: tinggi berdasarkan tinggi siku duduk dan jenis pekerjaan. </w:t>
      </w:r>
      <w:r>
        <w:rPr>
          <w:b/>
        </w:rPr>
        <w:t>Tebal daun meja</w:t>
      </w:r>
      <w:r>
        <w:rPr/>
        <w:t xml:space="preserve"> harus memberi kebebasan gerak kaki; permukaan </w:t>
      </w:r>
      <w:r>
        <w:rPr>
          <w:b/>
        </w:rPr>
        <w:t>rata dan tidak menyilaukan</w:t>
      </w:r>
      <w:r>
        <w:rPr/>
        <w:t xml:space="preserve">; </w:t>
      </w:r>
      <w:r>
        <w:rPr>
          <w:b/>
        </w:rPr>
        <w:t>lebar meja tidak melebihi jangkauan tangan ke depan (P5)</w:t>
      </w:r>
      <w:r>
        <w:rPr/>
        <w:t>.</w:t>
      </w:r>
    </w:p>
    <w:p>
      <w:pPr>
        <w:pStyle w:val="Heading3"/>
      </w:pPr>
      <w:r>
        <w:t>Spesifikasi kursi (Bodyspace, LaDou, EN 1335-1)</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Komponen</w:t>
            </w:r>
          </w:p>
        </w:tc>
        <w:tc>
          <w:tcPr>
            <w:tcW w:type="dxa" w:w="3251"/>
            <w:shd w:val="clear" w:color="auto" w:fill="DCE6F1"/>
          </w:tcPr>
          <w:p>
            <w:pPr>
              <w:spacing w:after="0"/>
            </w:pPr>
            <w:r/>
            <w:r>
              <w:rPr>
                <w:b/>
                <w:sz w:val="18"/>
              </w:rPr>
              <w:t>Parameter</w:t>
            </w:r>
          </w:p>
        </w:tc>
        <w:tc>
          <w:tcPr>
            <w:tcW w:type="dxa" w:w="3251"/>
            <w:shd w:val="clear" w:color="auto" w:fill="DCE6F1"/>
          </w:tcPr>
          <w:p>
            <w:pPr>
              <w:spacing w:after="0"/>
            </w:pPr>
            <w:r/>
            <w:r>
              <w:rPr>
                <w:b/>
                <w:sz w:val="18"/>
              </w:rPr>
              <w:t>Alasan</w:t>
            </w:r>
          </w:p>
        </w:tc>
      </w:tr>
      <w:tr>
        <w:tc>
          <w:tcPr>
            <w:tcW w:type="dxa" w:w="3251"/>
          </w:tcPr>
          <w:p>
            <w:pPr>
              <w:spacing w:after="0"/>
            </w:pPr>
            <w:r/>
            <w:r>
              <w:rPr>
                <w:b/>
                <w:sz w:val="18"/>
              </w:rPr>
              <w:t>Tinggi dudukan</w:t>
            </w:r>
          </w:p>
        </w:tc>
        <w:tc>
          <w:tcPr>
            <w:tcW w:type="dxa" w:w="3251"/>
          </w:tcPr>
          <w:p>
            <w:pPr>
              <w:spacing w:after="0"/>
            </w:pPr>
            <w:r/>
            <w:r>
              <w:rPr>
                <w:sz w:val="18"/>
              </w:rPr>
              <w:t xml:space="preserve">Setinggi atau sedikit di bawah </w:t>
            </w:r>
            <w:r>
              <w:rPr>
                <w:b/>
                <w:sz w:val="18"/>
              </w:rPr>
              <w:t>tinggi popliteal</w:t>
            </w:r>
            <w:r>
              <w:rPr>
                <w:sz w:val="18"/>
              </w:rPr>
              <w:t xml:space="preserve">, telapak kaki rata di lantai. Rentang yang dapat disetel </w:t>
            </w:r>
            <w:r>
              <w:rPr>
                <w:b/>
                <w:sz w:val="18"/>
              </w:rPr>
              <w:t>380 sampai 535 mm</w:t>
            </w:r>
            <w:r>
              <w:rPr>
                <w:sz w:val="18"/>
              </w:rPr>
              <w:t xml:space="preserve"> (Bodyspace; LaDou menyebut 38 sampai 48,3 cm). Kursi tetap: acuan P5 wanita, 380 sampai 400 mm</w:t>
            </w:r>
          </w:p>
        </w:tc>
        <w:tc>
          <w:tcPr>
            <w:tcW w:type="dxa" w:w="3251"/>
          </w:tcPr>
          <w:p>
            <w:pPr>
              <w:spacing w:after="0"/>
            </w:pPr>
            <w:r/>
            <w:r>
              <w:rPr>
                <w:sz w:val="18"/>
              </w:rPr>
              <w:t>Terlalu tinggi: tepi kursi menekan paha bawah (</w:t>
            </w:r>
            <w:r>
              <w:rPr>
                <w:i/>
                <w:sz w:val="18"/>
              </w:rPr>
              <w:t>under-thigh pressure</w:t>
            </w:r>
            <w:r>
              <w:rPr>
                <w:sz w:val="18"/>
              </w:rPr>
              <w:t>), edema, parestesia, risiko trombosis. Terlalu rendah: fleksi panggul berlebih, pelvis miring ke belakang, lordosis lumbal hilang</w:t>
            </w:r>
          </w:p>
        </w:tc>
      </w:tr>
      <w:tr>
        <w:tc>
          <w:tcPr>
            <w:tcW w:type="dxa" w:w="3251"/>
          </w:tcPr>
          <w:p>
            <w:pPr>
              <w:spacing w:after="0"/>
            </w:pPr>
            <w:r/>
            <w:r>
              <w:rPr>
                <w:b/>
                <w:sz w:val="18"/>
              </w:rPr>
              <w:t>Kedalaman dudukan</w:t>
            </w:r>
          </w:p>
        </w:tc>
        <w:tc>
          <w:tcPr>
            <w:tcW w:type="dxa" w:w="3251"/>
          </w:tcPr>
          <w:p>
            <w:pPr>
              <w:spacing w:after="0"/>
            </w:pPr>
            <w:r/>
            <w:r>
              <w:rPr>
                <w:b/>
                <w:sz w:val="18"/>
              </w:rPr>
              <w:t>380 sampai 430 mm</w:t>
            </w:r>
            <w:r>
              <w:rPr>
                <w:sz w:val="18"/>
              </w:rPr>
              <w:t xml:space="preserve">, tidak lebih dari sekitar </w:t>
            </w:r>
            <w:r>
              <w:rPr>
                <w:b/>
                <w:sz w:val="18"/>
              </w:rPr>
              <w:t>435 mm</w:t>
            </w:r>
            <w:r>
              <w:rPr>
                <w:sz w:val="18"/>
              </w:rPr>
              <w:t xml:space="preserve"> (panjang bokong-popliteal P5 wanita); LaDou: lebih dari 41 cm terlalu dalam. Tepi depan membulat (</w:t>
            </w:r>
            <w:r>
              <w:rPr>
                <w:i/>
                <w:sz w:val="18"/>
              </w:rPr>
              <w:t>waterfall</w:t>
            </w:r>
            <w:r>
              <w:rPr>
                <w:sz w:val="18"/>
              </w:rPr>
              <w:t>); dudukan geser dianjurkan</w:t>
            </w:r>
          </w:p>
        </w:tc>
        <w:tc>
          <w:tcPr>
            <w:tcW w:type="dxa" w:w="3251"/>
          </w:tcPr>
          <w:p>
            <w:pPr>
              <w:spacing w:after="0"/>
            </w:pPr>
            <w:r/>
            <w:r>
              <w:rPr>
                <w:sz w:val="18"/>
              </w:rPr>
              <w:t>Terlalu dalam menekan fosa poplitea, pekerja duduk merosot ke depan dan punggung lepas dari sandaran</w:t>
            </w:r>
          </w:p>
        </w:tc>
      </w:tr>
      <w:tr>
        <w:tc>
          <w:tcPr>
            <w:tcW w:type="dxa" w:w="3251"/>
          </w:tcPr>
          <w:p>
            <w:pPr>
              <w:spacing w:after="0"/>
            </w:pPr>
            <w:r/>
            <w:r>
              <w:rPr>
                <w:b/>
                <w:sz w:val="18"/>
              </w:rPr>
              <w:t>Sandaran punggung</w:t>
            </w:r>
          </w:p>
        </w:tc>
        <w:tc>
          <w:tcPr>
            <w:tcW w:type="dxa" w:w="3251"/>
          </w:tcPr>
          <w:p>
            <w:pPr>
              <w:spacing w:after="0"/>
            </w:pPr>
            <w:r/>
            <w:r>
              <w:rPr>
                <w:sz w:val="18"/>
              </w:rPr>
              <w:t xml:space="preserve">Sudut </w:t>
            </w:r>
            <w:r>
              <w:rPr>
                <w:b/>
                <w:sz w:val="18"/>
              </w:rPr>
              <w:t>sekitar 100 sampai 110 derajat</w:t>
            </w:r>
            <w:r>
              <w:rPr>
                <w:sz w:val="18"/>
              </w:rPr>
              <w:t xml:space="preserve"> (duduk bersandar). Tinggi sandaran menengah sekitar 500 mm. </w:t>
            </w:r>
            <w:r>
              <w:rPr>
                <w:b/>
                <w:sz w:val="18"/>
              </w:rPr>
              <w:t>Bantalan lumbal</w:t>
            </w:r>
            <w:r>
              <w:rPr>
                <w:sz w:val="18"/>
              </w:rPr>
              <w:t xml:space="preserve"> pada 150 sampai 250 mm di atas dudukan, menonjol 40 sampai 50 mm</w:t>
            </w:r>
          </w:p>
        </w:tc>
        <w:tc>
          <w:tcPr>
            <w:tcW w:type="dxa" w:w="3251"/>
          </w:tcPr>
          <w:p>
            <w:pPr>
              <w:spacing w:after="0"/>
            </w:pPr>
            <w:r/>
            <w:r>
              <w:rPr>
                <w:sz w:val="18"/>
              </w:rPr>
              <w:t>Mempertahankan lordosis lumbal; tekanan intradiskal lebih rendah pada duduk bersandar dengan penyangga lumbal dibanding tegak 90 derajat tanpa sandaran (Andersson dkk.)</w:t>
            </w:r>
          </w:p>
        </w:tc>
      </w:tr>
      <w:tr>
        <w:tc>
          <w:tcPr>
            <w:tcW w:type="dxa" w:w="3251"/>
          </w:tcPr>
          <w:p>
            <w:pPr>
              <w:spacing w:after="0"/>
            </w:pPr>
            <w:r/>
            <w:r>
              <w:rPr>
                <w:b/>
                <w:sz w:val="18"/>
              </w:rPr>
              <w:t>Sandaran lengan</w:t>
            </w:r>
          </w:p>
        </w:tc>
        <w:tc>
          <w:tcPr>
            <w:tcW w:type="dxa" w:w="3251"/>
          </w:tcPr>
          <w:p>
            <w:pPr>
              <w:spacing w:after="0"/>
            </w:pPr>
            <w:r/>
            <w:r>
              <w:rPr>
                <w:sz w:val="18"/>
              </w:rPr>
              <w:t xml:space="preserve">Tinggi </w:t>
            </w:r>
            <w:r>
              <w:rPr>
                <w:b/>
                <w:sz w:val="18"/>
              </w:rPr>
              <w:t>200 sampai 250 mm</w:t>
            </w:r>
            <w:r>
              <w:rPr>
                <w:sz w:val="18"/>
              </w:rPr>
              <w:t xml:space="preserve"> di atas dudukan, panjang efektif minimal 200 mm, tidak menonjol lebih dari 350 mm dari sandaran punggung; celah sekitar 100 mm di belakang</w:t>
            </w:r>
          </w:p>
        </w:tc>
        <w:tc>
          <w:tcPr>
            <w:tcW w:type="dxa" w:w="3251"/>
          </w:tcPr>
          <w:p>
            <w:pPr>
              <w:spacing w:after="0"/>
            </w:pPr>
            <w:r/>
            <w:r>
              <w:rPr>
                <w:sz w:val="18"/>
              </w:rPr>
              <w:t>Menurunkan beban statis trapezius, deltoid, levator scapulae; menghindari tekanan nervus ulnaris</w:t>
            </w:r>
          </w:p>
        </w:tc>
      </w:tr>
      <w:tr>
        <w:tc>
          <w:tcPr>
            <w:tcW w:type="dxa" w:w="3251"/>
          </w:tcPr>
          <w:p>
            <w:pPr>
              <w:spacing w:after="0"/>
            </w:pPr>
            <w:r/>
            <w:r>
              <w:rPr>
                <w:b/>
                <w:sz w:val="18"/>
              </w:rPr>
              <w:t>Sandaran kaki</w:t>
            </w:r>
          </w:p>
        </w:tc>
        <w:tc>
          <w:tcPr>
            <w:tcW w:type="dxa" w:w="3251"/>
          </w:tcPr>
          <w:p>
            <w:pPr>
              <w:spacing w:after="0"/>
            </w:pPr>
            <w:r/>
            <w:r>
              <w:rPr>
                <w:sz w:val="18"/>
              </w:rPr>
              <w:t xml:space="preserve">Wajib bila meja </w:t>
            </w:r>
            <w:r>
              <w:rPr>
                <w:b/>
                <w:sz w:val="18"/>
              </w:rPr>
              <w:t>tetap</w:t>
            </w:r>
            <w:r>
              <w:rPr>
                <w:sz w:val="18"/>
              </w:rPr>
              <w:t xml:space="preserve"> dan pekerja pendek (tinggi badan sekitar 160 cm atau kurang); kokoh, luas, miring, dapat disetel</w:t>
            </w:r>
          </w:p>
        </w:tc>
        <w:tc>
          <w:tcPr>
            <w:tcW w:type="dxa" w:w="3251"/>
          </w:tcPr>
          <w:p>
            <w:pPr>
              <w:spacing w:after="0"/>
            </w:pPr>
            <w:r/>
            <w:r>
              <w:rPr>
                <w:sz w:val="18"/>
              </w:rPr>
              <w:t>Menghilangkan tekanan popliteal dan kaki menggantung</w:t>
            </w:r>
          </w:p>
        </w:tc>
      </w:tr>
    </w:tbl>
    <w:p>
      <w:pPr>
        <w:spacing w:after="40"/>
      </w:pPr>
    </w:p>
    <w:p>
      <w:pPr>
        <w:pStyle w:val="Heading3"/>
      </w:pPr>
      <w:r>
        <w:t>Spesifikasi meja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Parameter</w:t>
            </w:r>
          </w:p>
        </w:tc>
        <w:tc>
          <w:tcPr>
            <w:tcW w:type="dxa" w:w="8050"/>
            <w:shd w:val="clear" w:color="auto" w:fill="DCE6F1"/>
          </w:tcPr>
          <w:p>
            <w:pPr>
              <w:spacing w:after="0"/>
            </w:pPr>
            <w:r/>
            <w:r>
              <w:rPr>
                <w:b/>
                <w:sz w:val="18"/>
              </w:rPr>
              <w:t>Nilai</w:t>
            </w:r>
          </w:p>
        </w:tc>
      </w:tr>
      <w:tr>
        <w:tc>
          <w:tcPr>
            <w:tcW w:type="dxa" w:w="1701"/>
          </w:tcPr>
          <w:p>
            <w:pPr>
              <w:spacing w:after="0"/>
            </w:pPr>
            <w:r/>
            <w:r>
              <w:rPr>
                <w:sz w:val="18"/>
              </w:rPr>
              <w:t xml:space="preserve">Meja pengetik: </w:t>
            </w:r>
            <w:r>
              <w:rPr>
                <w:b/>
                <w:sz w:val="18"/>
              </w:rPr>
              <w:t>home row setinggi siku duduk</w:t>
            </w:r>
          </w:p>
        </w:tc>
        <w:tc>
          <w:tcPr>
            <w:tcW w:type="dxa" w:w="8050"/>
          </w:tcPr>
          <w:p>
            <w:pPr>
              <w:spacing w:after="0"/>
            </w:pPr>
            <w:r/>
            <w:r>
              <w:rPr>
                <w:sz w:val="18"/>
              </w:rPr>
              <w:t xml:space="preserve">Pekerjaan kertas/menulis: </w:t>
            </w:r>
            <w:r>
              <w:rPr>
                <w:b/>
                <w:sz w:val="18"/>
              </w:rPr>
              <w:t>50 sampai 100 mm di atas</w:t>
            </w:r>
            <w:r>
              <w:rPr>
                <w:sz w:val="18"/>
              </w:rPr>
              <w:t xml:space="preserve"> tinggi siku duduk</w:t>
            </w:r>
          </w:p>
        </w:tc>
      </w:tr>
      <w:tr>
        <w:tc>
          <w:tcPr>
            <w:tcW w:type="dxa" w:w="1701"/>
          </w:tcPr>
          <w:p>
            <w:pPr>
              <w:spacing w:after="0"/>
            </w:pPr>
            <w:r/>
            <w:r>
              <w:rPr>
                <w:sz w:val="18"/>
              </w:rPr>
              <w:t>Meja yang dapat disetel</w:t>
            </w:r>
          </w:p>
        </w:tc>
        <w:tc>
          <w:tcPr>
            <w:tcW w:type="dxa" w:w="8050"/>
          </w:tcPr>
          <w:p>
            <w:pPr>
              <w:spacing w:after="0"/>
            </w:pPr>
            <w:r/>
            <w:r>
              <w:rPr>
                <w:b/>
                <w:sz w:val="18"/>
              </w:rPr>
              <w:t>600 sampai 750 mm</w:t>
            </w:r>
            <w:r>
              <w:rPr>
                <w:sz w:val="18"/>
              </w:rPr>
              <w:t xml:space="preserve"> (P5 wanita sampai P95 pria)</w:t>
            </w:r>
          </w:p>
        </w:tc>
      </w:tr>
      <w:tr>
        <w:tc>
          <w:tcPr>
            <w:tcW w:type="dxa" w:w="1701"/>
          </w:tcPr>
          <w:p>
            <w:pPr>
              <w:spacing w:after="0"/>
            </w:pPr>
            <w:r/>
            <w:r>
              <w:rPr>
                <w:sz w:val="18"/>
              </w:rPr>
              <w:t>Meja tinggi tetap</w:t>
            </w:r>
          </w:p>
        </w:tc>
        <w:tc>
          <w:tcPr>
            <w:tcW w:type="dxa" w:w="8050"/>
          </w:tcPr>
          <w:p>
            <w:pPr>
              <w:spacing w:after="0"/>
            </w:pPr>
            <w:r/>
            <w:r>
              <w:rPr>
                <w:sz w:val="18"/>
              </w:rPr>
              <w:t xml:space="preserve">Kompromi </w:t>
            </w:r>
            <w:r>
              <w:rPr>
                <w:b/>
                <w:sz w:val="18"/>
              </w:rPr>
              <w:t>720 mm</w:t>
            </w:r>
            <w:r>
              <w:rPr>
                <w:sz w:val="18"/>
              </w:rPr>
              <w:t xml:space="preserve"> (pria ideal 735 mm, wanita 705 mm; Grandjean: pria 740 sampai 780 mm, wanita 700 sampai 740 mm)</w:t>
            </w:r>
          </w:p>
        </w:tc>
      </w:tr>
      <w:tr>
        <w:tc>
          <w:tcPr>
            <w:tcW w:type="dxa" w:w="1701"/>
          </w:tcPr>
          <w:p>
            <w:pPr>
              <w:spacing w:after="0"/>
            </w:pPr>
            <w:r/>
            <w:r>
              <w:rPr>
                <w:sz w:val="18"/>
              </w:rPr>
              <w:t>Ruang kaki</w:t>
            </w:r>
          </w:p>
        </w:tc>
        <w:tc>
          <w:tcPr>
            <w:tcW w:type="dxa" w:w="8050"/>
          </w:tcPr>
          <w:p>
            <w:pPr>
              <w:spacing w:after="0"/>
            </w:pPr>
            <w:r/>
            <w:r>
              <w:rPr>
                <w:sz w:val="18"/>
              </w:rPr>
              <w:t xml:space="preserve">Tinggi bebas vertikal minimal </w:t>
            </w:r>
            <w:r>
              <w:rPr>
                <w:b/>
                <w:sz w:val="18"/>
              </w:rPr>
              <w:t>700 mm</w:t>
            </w:r>
            <w:r>
              <w:rPr>
                <w:sz w:val="18"/>
              </w:rPr>
              <w:t xml:space="preserve"> (P95 pria: tinggi popliteal bersepatu 620 mm + tebal paha 185 mm); tebal permukaan meja 30 sampai 40 mm; </w:t>
            </w:r>
            <w:r>
              <w:rPr>
                <w:b/>
                <w:sz w:val="18"/>
              </w:rPr>
              <w:t>tanpa laci</w:t>
            </w:r>
            <w:r>
              <w:rPr>
                <w:sz w:val="18"/>
              </w:rPr>
              <w:t xml:space="preserve"> yang menjepit paha</w:t>
            </w:r>
          </w:p>
        </w:tc>
      </w:tr>
    </w:tbl>
    <w:p>
      <w:pPr>
        <w:spacing w:after="40"/>
      </w:pPr>
    </w:p>
    <w:p>
      <w:pPr>
        <w:pStyle w:val="Heading3"/>
      </w:pPr>
      <w:r>
        <w:t>Duduk dinamis dan duduk-berdiri</w:t>
      </w:r>
    </w:p>
    <w:p>
      <w:pPr>
        <w:pStyle w:val="ListBullet"/>
        <w:spacing w:after="20"/>
      </w:pPr>
      <w:r>
        <w:rPr/>
        <w:t>Duduk kaku (</w:t>
      </w:r>
      <w:r>
        <w:rPr>
          <w:i/>
        </w:rPr>
        <w:t>postural fixity</w:t>
      </w:r>
      <w:r>
        <w:rPr/>
        <w:t xml:space="preserve">) lama menimbulkan kelelahan statis, mengganggu nutrisi diskus, dan edema tungkai. </w:t>
      </w:r>
      <w:r>
        <w:rPr>
          <w:b/>
        </w:rPr>
        <w:t>Kursi yang dapat berayun</w:t>
      </w:r>
      <w:r>
        <w:rPr/>
        <w:t xml:space="preserve"> (sekitar 5 derajat ke depan dan belakang) merangsang pompa vena otot dan mengurangi edema.</w:t>
      </w:r>
    </w:p>
    <w:p>
      <w:pPr>
        <w:pStyle w:val="ListBullet"/>
        <w:spacing w:after="20"/>
      </w:pPr>
      <w:r>
        <w:rPr>
          <w:b/>
        </w:rPr>
        <w:t>Stasiun duduk-berdiri</w:t>
      </w:r>
      <w:r>
        <w:rPr/>
        <w:t xml:space="preserve"> (Lampiran 6 Permenaker 5/2018, setelah Helander 1995): dipakai bila pekerjaan bergantian duduk dan berdiri, perlu menjangkau lebih dari 40 cm ke depan atau 15 cm di atas landasan kerja; </w:t>
      </w:r>
      <w:r>
        <w:rPr>
          <w:b/>
        </w:rPr>
        <w:t>tinggi landasan 90 sampai 105 cm</w:t>
      </w:r>
      <w:r>
        <w:rPr/>
        <w:t xml:space="preserve"> paling tepat untuk keduanya; beban tulang belakang dan pinggang </w:t>
      </w:r>
      <w:r>
        <w:rPr>
          <w:b/>
        </w:rPr>
        <w:t>sekitar 30% lebih rendah</w:t>
      </w:r>
      <w:r>
        <w:rPr/>
        <w:t xml:space="preserve"> dibanding duduk saja atau berdiri saja.</w:t>
      </w:r>
    </w:p>
    <w:p>
      <w:pPr>
        <w:pStyle w:val="ListBullet"/>
        <w:spacing w:after="20"/>
      </w:pPr>
      <w:r>
        <w:rPr/>
        <w:t xml:space="preserve">Berdiri lebih melelahkan: </w:t>
      </w:r>
      <w:r>
        <w:rPr>
          <w:b/>
        </w:rPr>
        <w:t>pengeluaran energi 10 sampai 15% lebih tinggi</w:t>
      </w:r>
      <w:r>
        <w:rPr/>
        <w:t xml:space="preserve"> daripada duduk (Lampiran 6).</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Hubungan dimensi ke desain: tinggi popliteal untuk tinggi dudukan, panjang bokong-popliteal untuk kedalaman dudukan, tinggi siku duduk untuk tinggi meja, tinggi mata duduk untuk tinggi layar. Kursi dan meja yang dapat disetel memakai rentang P5 wanita sampai P95 pria.</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Lebar bebas lateral 790 mm dan kedalaman ruang kaki dari ISO 14738 yang dilaporkan NotebookLM tidak dimasukkan karena angkanya tidak konsisten; verifikasi ke standar bila diperlukan. Angka tekanan intradiskal (Newton) dari jawaban NotebookLM juga sengaja tidak dikutip. Rentang tinggi dudukan Bodyspace (380 sampai 535 mm) dan LaDou (38 sampai 48,3 cm) berbeda; sebut keduanya bila ditanya.</w:t>
            </w:r>
          </w:p>
        </w:tc>
      </w:tr>
    </w:tbl>
    <w:p>
      <w:pPr>
        <w:spacing w:after="40"/>
      </w:pPr>
    </w:p>
    <w:p>
      <w:pPr>
        <w:pStyle w:val="Heading2"/>
      </w:pPr>
      <w:r>
        <w:t>A.5 Pencahayaan ruang kerja</w:t>
      </w:r>
    </w:p>
    <w:p>
      <w:pPr>
        <w:pStyle w:val="Heading3"/>
      </w:pPr>
      <w:r>
        <w:t>Dasar hukum (Permenaker No. 5 Tahun 2018)</w:t>
      </w:r>
    </w:p>
    <w:p>
      <w:pPr>
        <w:pStyle w:val="ListBullet"/>
        <w:spacing w:after="20"/>
      </w:pPr>
      <w:r>
        <w:rPr>
          <w:b/>
        </w:rPr>
        <w:t>Pencahayaan</w:t>
      </w:r>
      <w:r>
        <w:rPr/>
        <w:t xml:space="preserve"> termasuk Faktor Fisika yang diukur dan dikendalikan (Pasal 8 ayat 1 huruf h). Pasal 16: pengukuran dan pengendalian wajib; jika hasil ukur tidak sesuai standar, dikendalikan agar intensitas </w:t>
      </w:r>
      <w:r>
        <w:rPr>
          <w:b/>
        </w:rPr>
        <w:t>sesuai jenis pekerjaan</w:t>
      </w:r>
      <w:r>
        <w:rPr/>
        <w:t>; standar ada di Lampiran 2.</w:t>
      </w:r>
    </w:p>
    <w:p>
      <w:pPr>
        <w:pStyle w:val="ListBullet"/>
        <w:spacing w:after="20"/>
      </w:pPr>
      <w:r>
        <w:rPr>
          <w:b/>
        </w:rPr>
        <w:t>Pencahayaan alami</w:t>
      </w:r>
      <w:r>
        <w:rPr/>
        <w:t xml:space="preserve"> (Pasal 17): sinar matahari; desain gedung harus menjamin intensitas sesuai standar. </w:t>
      </w:r>
      <w:r>
        <w:rPr>
          <w:b/>
        </w:rPr>
        <w:t>Pencahayaan buatan</w:t>
      </w:r>
      <w:r>
        <w:rPr/>
        <w:t xml:space="preserve"> (Pasal 18): dipakai bila alami tidak memenuhi standar; tidak boleh menimbulkan panas berlebih atau mengganggu kualitas udara dalam ruang (KUDR). </w:t>
      </w:r>
      <w:r>
        <w:rPr>
          <w:b/>
        </w:rPr>
        <w:t>Pencahayaan darurat</w:t>
      </w:r>
      <w:r>
        <w:rPr/>
        <w:t xml:space="preserve"> (Pasal 19): otomatis, cukup untuk evakuasi, dipasang di jalur evakuasi dengan penunjuk jalan keluar.</w:t>
      </w:r>
    </w:p>
    <w:p>
      <w:pPr>
        <w:pStyle w:val="ListBullet"/>
        <w:spacing w:after="20"/>
      </w:pPr>
      <w:r>
        <w:rPr>
          <w:b/>
        </w:rPr>
        <w:t>Intensitas cahaya</w:t>
      </w:r>
      <w:r>
        <w:rPr/>
        <w:t xml:space="preserve"> (Pasal 1 angka 33): jumlah rata-rata cahaya yang diterima pekerja pada setiap titik, dalam </w:t>
      </w:r>
      <w:r>
        <w:rPr>
          <w:b/>
        </w:rPr>
        <w:t>lux</w:t>
      </w:r>
      <w:r>
        <w:rPr/>
        <w:t xml:space="preserve"> (angka 34: satuan metrik ukuran cahaya pada suatu permukaan).</w:t>
      </w:r>
    </w:p>
    <w:p>
      <w:pPr>
        <w:pStyle w:val="Heading3"/>
      </w:pPr>
      <w:r>
        <w:t>Standar intensitas minimal (Lampiran 2 Permenaker 5/2018)</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No</w:t>
            </w:r>
          </w:p>
        </w:tc>
        <w:tc>
          <w:tcPr>
            <w:tcW w:type="dxa" w:w="3251"/>
            <w:shd w:val="clear" w:color="auto" w:fill="DCE6F1"/>
          </w:tcPr>
          <w:p>
            <w:pPr>
              <w:spacing w:after="0"/>
            </w:pPr>
            <w:r/>
            <w:r>
              <w:rPr>
                <w:b/>
                <w:sz w:val="18"/>
              </w:rPr>
              <w:t>Jenis pekerjaan (contoh dalam lampiran)</w:t>
            </w:r>
          </w:p>
        </w:tc>
        <w:tc>
          <w:tcPr>
            <w:tcW w:type="dxa" w:w="3251"/>
            <w:shd w:val="clear" w:color="auto" w:fill="DCE6F1"/>
          </w:tcPr>
          <w:p>
            <w:pPr>
              <w:spacing w:after="0"/>
            </w:pPr>
            <w:r/>
            <w:r>
              <w:rPr>
                <w:b/>
                <w:sz w:val="18"/>
              </w:rPr>
              <w:t>Intensitas (lux)</w:t>
            </w:r>
          </w:p>
        </w:tc>
      </w:tr>
      <w:tr>
        <w:tc>
          <w:tcPr>
            <w:tcW w:type="dxa" w:w="3251"/>
          </w:tcPr>
          <w:p>
            <w:pPr>
              <w:spacing w:after="0"/>
            </w:pPr>
            <w:r/>
            <w:r>
              <w:rPr>
                <w:sz w:val="18"/>
              </w:rPr>
              <w:t>1</w:t>
            </w:r>
          </w:p>
        </w:tc>
        <w:tc>
          <w:tcPr>
            <w:tcW w:type="dxa" w:w="3251"/>
          </w:tcPr>
          <w:p>
            <w:pPr>
              <w:spacing w:after="0"/>
            </w:pPr>
            <w:r/>
            <w:r>
              <w:rPr>
                <w:sz w:val="18"/>
              </w:rPr>
              <w:t>Penerangan darurat</w:t>
            </w:r>
          </w:p>
        </w:tc>
        <w:tc>
          <w:tcPr>
            <w:tcW w:type="dxa" w:w="3251"/>
          </w:tcPr>
          <w:p>
            <w:pPr>
              <w:spacing w:after="0"/>
            </w:pPr>
            <w:r/>
            <w:r>
              <w:rPr>
                <w:b/>
                <w:sz w:val="18"/>
              </w:rPr>
              <w:t>5</w:t>
            </w:r>
          </w:p>
        </w:tc>
      </w:tr>
      <w:tr>
        <w:tc>
          <w:tcPr>
            <w:tcW w:type="dxa" w:w="3251"/>
          </w:tcPr>
          <w:p>
            <w:pPr>
              <w:spacing w:after="0"/>
            </w:pPr>
            <w:r/>
            <w:r>
              <w:rPr>
                <w:sz w:val="18"/>
              </w:rPr>
              <w:t>2</w:t>
            </w:r>
          </w:p>
        </w:tc>
        <w:tc>
          <w:tcPr>
            <w:tcW w:type="dxa" w:w="3251"/>
          </w:tcPr>
          <w:p>
            <w:pPr>
              <w:spacing w:after="0"/>
            </w:pPr>
            <w:r/>
            <w:r>
              <w:rPr>
                <w:sz w:val="18"/>
              </w:rPr>
              <w:t>Halaman dan jalan</w:t>
            </w:r>
          </w:p>
        </w:tc>
        <w:tc>
          <w:tcPr>
            <w:tcW w:type="dxa" w:w="3251"/>
          </w:tcPr>
          <w:p>
            <w:pPr>
              <w:spacing w:after="0"/>
            </w:pPr>
            <w:r/>
            <w:r>
              <w:rPr>
                <w:b/>
                <w:sz w:val="18"/>
              </w:rPr>
              <w:t>20</w:t>
            </w:r>
          </w:p>
        </w:tc>
      </w:tr>
      <w:tr>
        <w:tc>
          <w:tcPr>
            <w:tcW w:type="dxa" w:w="3251"/>
          </w:tcPr>
          <w:p>
            <w:pPr>
              <w:spacing w:after="0"/>
            </w:pPr>
            <w:r/>
            <w:r>
              <w:rPr>
                <w:sz w:val="18"/>
              </w:rPr>
              <w:t>3</w:t>
            </w:r>
          </w:p>
        </w:tc>
        <w:tc>
          <w:tcPr>
            <w:tcW w:type="dxa" w:w="3251"/>
          </w:tcPr>
          <w:p>
            <w:pPr>
              <w:spacing w:after="0"/>
            </w:pPr>
            <w:r/>
            <w:r>
              <w:rPr>
                <w:sz w:val="18"/>
              </w:rPr>
              <w:t>Membedakan barang kasar (bahan kasar, gudang barang besar, gang dan tangga yang selalu dipakai)</w:t>
            </w:r>
          </w:p>
        </w:tc>
        <w:tc>
          <w:tcPr>
            <w:tcW w:type="dxa" w:w="3251"/>
          </w:tcPr>
          <w:p>
            <w:pPr>
              <w:spacing w:after="0"/>
            </w:pPr>
            <w:r/>
            <w:r>
              <w:rPr>
                <w:b/>
                <w:sz w:val="18"/>
              </w:rPr>
              <w:t>50</w:t>
            </w:r>
          </w:p>
        </w:tc>
      </w:tr>
      <w:tr>
        <w:tc>
          <w:tcPr>
            <w:tcW w:type="dxa" w:w="3251"/>
          </w:tcPr>
          <w:p>
            <w:pPr>
              <w:spacing w:after="0"/>
            </w:pPr>
            <w:r/>
            <w:r>
              <w:rPr>
                <w:sz w:val="18"/>
              </w:rPr>
              <w:t>4</w:t>
            </w:r>
          </w:p>
        </w:tc>
        <w:tc>
          <w:tcPr>
            <w:tcW w:type="dxa" w:w="3251"/>
          </w:tcPr>
          <w:p>
            <w:pPr>
              <w:spacing w:after="0"/>
            </w:pPr>
            <w:r/>
            <w:r>
              <w:rPr>
                <w:sz w:val="18"/>
              </w:rPr>
              <w:t>Membedakan barang kecil sepintas lalu (kamar mesin dan uap, penyimpanan barang sedang dan kecil, toilet dan tempat mandi)</w:t>
            </w:r>
          </w:p>
        </w:tc>
        <w:tc>
          <w:tcPr>
            <w:tcW w:type="dxa" w:w="3251"/>
          </w:tcPr>
          <w:p>
            <w:pPr>
              <w:spacing w:after="0"/>
            </w:pPr>
            <w:r/>
            <w:r>
              <w:rPr>
                <w:b/>
                <w:sz w:val="18"/>
              </w:rPr>
              <w:t>100</w:t>
            </w:r>
          </w:p>
        </w:tc>
      </w:tr>
      <w:tr>
        <w:tc>
          <w:tcPr>
            <w:tcW w:type="dxa" w:w="3251"/>
          </w:tcPr>
          <w:p>
            <w:pPr>
              <w:spacing w:after="0"/>
            </w:pPr>
            <w:r/>
            <w:r>
              <w:rPr>
                <w:sz w:val="18"/>
              </w:rPr>
              <w:t>5</w:t>
            </w:r>
          </w:p>
        </w:tc>
        <w:tc>
          <w:tcPr>
            <w:tcW w:type="dxa" w:w="3251"/>
          </w:tcPr>
          <w:p>
            <w:pPr>
              <w:spacing w:after="0"/>
            </w:pPr>
            <w:r/>
            <w:r>
              <w:rPr>
                <w:sz w:val="18"/>
              </w:rPr>
              <w:t>Membedakan barang kecil yang agak teliti (pemasangan alat sedang, mengerjakan kayu, pembungkusan daging)</w:t>
            </w:r>
          </w:p>
        </w:tc>
        <w:tc>
          <w:tcPr>
            <w:tcW w:type="dxa" w:w="3251"/>
          </w:tcPr>
          <w:p>
            <w:pPr>
              <w:spacing w:after="0"/>
            </w:pPr>
            <w:r/>
            <w:r>
              <w:rPr>
                <w:b/>
                <w:sz w:val="18"/>
              </w:rPr>
              <w:t>200</w:t>
            </w:r>
          </w:p>
        </w:tc>
      </w:tr>
      <w:tr>
        <w:tc>
          <w:tcPr>
            <w:tcW w:type="dxa" w:w="3251"/>
          </w:tcPr>
          <w:p>
            <w:pPr>
              <w:spacing w:after="0"/>
            </w:pPr>
            <w:r/>
            <w:r>
              <w:rPr>
                <w:sz w:val="18"/>
              </w:rPr>
              <w:t>6</w:t>
            </w:r>
          </w:p>
        </w:tc>
        <w:tc>
          <w:tcPr>
            <w:tcW w:type="dxa" w:w="3251"/>
          </w:tcPr>
          <w:p>
            <w:pPr>
              <w:spacing w:after="0"/>
            </w:pPr>
            <w:r/>
            <w:r>
              <w:rPr>
                <w:sz w:val="18"/>
              </w:rPr>
              <w:t xml:space="preserve">Pembedaan teliti barang kecil dan halus (mesin teliti, pemeriksaan teliti) </w:t>
            </w:r>
            <w:r>
              <w:rPr>
                <w:b/>
                <w:sz w:val="18"/>
              </w:rPr>
              <w:t>dan pekerjaan kantor yang berganti-ganti menulis dan membaca, pekerjaan arsip, seleksi surat</w:t>
            </w:r>
          </w:p>
        </w:tc>
        <w:tc>
          <w:tcPr>
            <w:tcW w:type="dxa" w:w="3251"/>
          </w:tcPr>
          <w:p>
            <w:pPr>
              <w:spacing w:after="0"/>
            </w:pPr>
            <w:r/>
            <w:r>
              <w:rPr>
                <w:b/>
                <w:sz w:val="18"/>
              </w:rPr>
              <w:t>300</w:t>
            </w:r>
          </w:p>
        </w:tc>
      </w:tr>
      <w:tr>
        <w:tc>
          <w:tcPr>
            <w:tcW w:type="dxa" w:w="3251"/>
          </w:tcPr>
          <w:p>
            <w:pPr>
              <w:spacing w:after="0"/>
            </w:pPr>
            <w:r/>
            <w:r>
              <w:rPr>
                <w:sz w:val="18"/>
              </w:rPr>
              <w:t>7</w:t>
            </w:r>
          </w:p>
        </w:tc>
        <w:tc>
          <w:tcPr>
            <w:tcW w:type="dxa" w:w="3251"/>
          </w:tcPr>
          <w:p>
            <w:pPr>
              <w:spacing w:after="0"/>
            </w:pPr>
            <w:r/>
            <w:r>
              <w:rPr>
                <w:sz w:val="18"/>
              </w:rPr>
              <w:t xml:space="preserve">Membedakan barang halus kontras sedang waktu lama (pemasangan halus, ukir) </w:t>
            </w:r>
            <w:r>
              <w:rPr>
                <w:b/>
                <w:sz w:val="18"/>
              </w:rPr>
              <w:t>dan akuntan, pemegang buku, steno, mengetik, pekerjaan kantor yang lama</w:t>
            </w:r>
          </w:p>
        </w:tc>
        <w:tc>
          <w:tcPr>
            <w:tcW w:type="dxa" w:w="3251"/>
          </w:tcPr>
          <w:p>
            <w:pPr>
              <w:spacing w:after="0"/>
            </w:pPr>
            <w:r/>
            <w:r>
              <w:rPr>
                <w:b/>
                <w:sz w:val="18"/>
              </w:rPr>
              <w:t>500 sampai 1.000</w:t>
            </w:r>
          </w:p>
        </w:tc>
      </w:tr>
      <w:tr>
        <w:tc>
          <w:tcPr>
            <w:tcW w:type="dxa" w:w="3251"/>
          </w:tcPr>
          <w:p>
            <w:pPr>
              <w:spacing w:after="0"/>
            </w:pPr>
            <w:r/>
            <w:r>
              <w:rPr>
                <w:sz w:val="18"/>
              </w:rPr>
              <w:t>8</w:t>
            </w:r>
          </w:p>
        </w:tc>
        <w:tc>
          <w:tcPr>
            <w:tcW w:type="dxa" w:w="3251"/>
          </w:tcPr>
          <w:p>
            <w:pPr>
              <w:spacing w:after="0"/>
            </w:pPr>
            <w:r/>
            <w:r>
              <w:rPr>
                <w:sz w:val="18"/>
              </w:rPr>
              <w:t>Barang sangat halus kontras sangat kurang waktu lama (arloji, ampul obat, tukang emas, penyusunan huruf dan pemeriksaan copy pencetakan)</w:t>
            </w:r>
          </w:p>
        </w:tc>
        <w:tc>
          <w:tcPr>
            <w:tcW w:type="dxa" w:w="3251"/>
          </w:tcPr>
          <w:p>
            <w:pPr>
              <w:spacing w:after="0"/>
            </w:pPr>
            <w:r/>
            <w:r>
              <w:rPr>
                <w:b/>
                <w:sz w:val="18"/>
              </w:rPr>
              <w:t>1.000</w:t>
            </w:r>
          </w:p>
        </w:tc>
      </w:tr>
    </w:tbl>
    <w:p>
      <w:pPr>
        <w:spacing w:after="40"/>
      </w:pPr>
    </w:p>
    <w:p>
      <w:pPr>
        <w:keepNext/>
        <w:jc w:val="center"/>
      </w:pPr>
      <w:r>
        <w:drawing>
          <wp:inline xmlns:a="http://schemas.openxmlformats.org/drawingml/2006/main" xmlns:pic="http://schemas.openxmlformats.org/drawingml/2006/picture">
            <wp:extent cx="3240000" cy="4289797"/>
            <wp:docPr id="2" name="Picture 2"/>
            <wp:cNvGraphicFramePr>
              <a:graphicFrameLocks noChangeAspect="1"/>
            </wp:cNvGraphicFramePr>
            <a:graphic>
              <a:graphicData uri="http://schemas.openxmlformats.org/drawingml/2006/picture">
                <pic:pic>
                  <pic:nvPicPr>
                    <pic:cNvPr id="0" name="A_lampiran2_baris-kantor-lux.png"/>
                    <pic:cNvPicPr/>
                  </pic:nvPicPr>
                  <pic:blipFill>
                    <a:blip r:embed="rId11"/>
                    <a:stretch>
                      <a:fillRect/>
                    </a:stretch>
                  </pic:blipFill>
                  <pic:spPr>
                    <a:xfrm>
                      <a:off x="0" y="0"/>
                      <a:ext cx="3240000" cy="4289797"/>
                    </a:xfrm>
                    <a:prstGeom prst="rect"/>
                  </pic:spPr>
                </pic:pic>
              </a:graphicData>
            </a:graphic>
          </wp:inline>
        </w:drawing>
      </w:r>
    </w:p>
    <w:p>
      <w:pPr>
        <w:jc w:val="center"/>
      </w:pPr>
      <w:r>
        <w:rPr>
          <w:i/>
          <w:sz w:val="17"/>
        </w:rPr>
        <w:t>Lampiran 2 Permenaker 5/2018 (halaman 54): baris 6 (kerja kantor berganti menulis dan membaca, arsip: 300 lux), baris 7 (akuntan, steno, mengetik, kantor lama: 500 sampai 1.000 lux), baris 8 (1.000 lux).</w:t>
      </w:r>
    </w:p>
    <w:p>
      <w:pPr>
        <w:pStyle w:val="ListBullet"/>
        <w:spacing w:after="20"/>
      </w:pPr>
      <w:r>
        <w:rPr/>
        <w:t xml:space="preserve">Pekerjaan </w:t>
      </w:r>
      <w:r>
        <w:rPr>
          <w:b/>
        </w:rPr>
        <w:t>komputer</w:t>
      </w:r>
      <w:r>
        <w:rPr/>
        <w:t xml:space="preserve"> tidak disebut eksplisit. Kerja kantor yang lama, mengetik, dan pembukuan masuk baris 7 (</w:t>
      </w:r>
      <w:r>
        <w:rPr>
          <w:b/>
        </w:rPr>
        <w:t>500 sampai 1.000 lux</w:t>
      </w:r>
      <w:r>
        <w:rPr/>
        <w:t>); kerja kantor bergantian menulis dan membaca masuk baris 6 (</w:t>
      </w:r>
      <w:r>
        <w:rPr>
          <w:b/>
        </w:rPr>
        <w:t>300 lux</w:t>
      </w:r>
      <w:r>
        <w:rPr/>
        <w:t>).</w:t>
      </w:r>
    </w:p>
    <w:p>
      <w:pPr>
        <w:pStyle w:val="ListBullet"/>
        <w:spacing w:after="20"/>
      </w:pPr>
      <w:r>
        <w:rPr/>
        <w:t xml:space="preserve">Rujukan pembanding (LaDou &amp; Harrison, Tabel 15-7): tugas kontras tinggi atau ukuran besar &gt;200 sampai 500 lux; kontras sedang atau ukuran kecil &gt;500 sampai 1.000 lux; iluminasi umum ruang komputer dikurangi hingga sekitar </w:t>
      </w:r>
      <w:r>
        <w:rPr>
          <w:b/>
        </w:rPr>
        <w:t>500 lux</w:t>
      </w:r>
      <w:r>
        <w:rPr/>
        <w:t xml:space="preserve"> supaya seimbang dengan layar yang memancarkan cahaya.</w:t>
      </w: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Salinan Permenaker 5/2018 di notebook adalah hasil pindai dan lampirannya tidak terbaca NotebookLM. Tabel di atas dibaca langsung dari salinan teks (PDF dengan lapisan teks) yang diunduh dari llg-bwi.org dan dicek ke gambar halaman 52 sampai 54. Pasal 16 ayat (1) pada teks asli menyebut "Pasal 8 ayat (1) huruf g", padahal pencahayaan adalah huruf h (salah rujuk dalam regulasi). Jawaban NotebookLM menyebut huruf g; yang benar menurut teks daftar: huruf h.</w:t>
            </w:r>
          </w:p>
        </w:tc>
      </w:tr>
    </w:tbl>
    <w:p>
      <w:pPr>
        <w:spacing w:after="40"/>
      </w:pPr>
    </w:p>
    <w:p>
      <w:pPr>
        <w:pStyle w:val="Heading3"/>
      </w:pPr>
      <w:r>
        <w:t>Faktor yang harus diperhatikan</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Faktor</w:t>
            </w:r>
          </w:p>
        </w:tc>
        <w:tc>
          <w:tcPr>
            <w:tcW w:type="dxa" w:w="8050"/>
            <w:shd w:val="clear" w:color="auto" w:fill="DCE6F1"/>
          </w:tcPr>
          <w:p>
            <w:pPr>
              <w:spacing w:after="0"/>
            </w:pPr>
            <w:r/>
            <w:r>
              <w:rPr>
                <w:b/>
                <w:sz w:val="18"/>
              </w:rPr>
              <w:t>Isi</w:t>
            </w:r>
          </w:p>
        </w:tc>
      </w:tr>
      <w:tr>
        <w:tc>
          <w:tcPr>
            <w:tcW w:type="dxa" w:w="1701"/>
          </w:tcPr>
          <w:p>
            <w:pPr>
              <w:spacing w:after="0"/>
            </w:pPr>
            <w:r/>
            <w:r>
              <w:rPr>
                <w:b/>
                <w:sz w:val="18"/>
              </w:rPr>
              <w:t>Intensitas</w:t>
            </w:r>
          </w:p>
        </w:tc>
        <w:tc>
          <w:tcPr>
            <w:tcW w:type="dxa" w:w="8050"/>
          </w:tcPr>
          <w:p>
            <w:pPr>
              <w:spacing w:after="0"/>
            </w:pPr>
            <w:r/>
            <w:r>
              <w:rPr>
                <w:sz w:val="18"/>
              </w:rPr>
              <w:t>Disesuaikan tingkat kesulitan tugas, ukuran objek, kontras target, dan usia pekerja</w:t>
            </w:r>
          </w:p>
        </w:tc>
      </w:tr>
      <w:tr>
        <w:tc>
          <w:tcPr>
            <w:tcW w:type="dxa" w:w="1701"/>
          </w:tcPr>
          <w:p>
            <w:pPr>
              <w:spacing w:after="0"/>
            </w:pPr>
            <w:r/>
            <w:r>
              <w:rPr>
                <w:b/>
                <w:sz w:val="18"/>
              </w:rPr>
              <w:t>Distribusi (keseragaman)</w:t>
            </w:r>
          </w:p>
        </w:tc>
        <w:tc>
          <w:tcPr>
            <w:tcW w:type="dxa" w:w="8050"/>
          </w:tcPr>
          <w:p>
            <w:pPr>
              <w:spacing w:after="0"/>
            </w:pPr>
            <w:r/>
            <w:r>
              <w:rPr>
                <w:sz w:val="18"/>
              </w:rPr>
              <w:t>Merata, tanpa bayangan tajam atau perbedaan terang mendadak</w:t>
            </w:r>
          </w:p>
        </w:tc>
      </w:tr>
      <w:tr>
        <w:tc>
          <w:tcPr>
            <w:tcW w:type="dxa" w:w="1701"/>
          </w:tcPr>
          <w:p>
            <w:pPr>
              <w:spacing w:after="0"/>
            </w:pPr>
            <w:r/>
            <w:r>
              <w:rPr>
                <w:b/>
                <w:sz w:val="18"/>
              </w:rPr>
              <w:t>Kontras</w:t>
            </w:r>
          </w:p>
        </w:tc>
        <w:tc>
          <w:tcPr>
            <w:tcW w:type="dxa" w:w="8050"/>
          </w:tcPr>
          <w:p>
            <w:pPr>
              <w:spacing w:after="0"/>
            </w:pPr>
            <w:r/>
            <w:r>
              <w:rPr>
                <w:sz w:val="18"/>
              </w:rPr>
              <w:t>Perbedaan luminansi target dan latar; rasio layar terhadap sekitar maksimal 1:3</w:t>
            </w:r>
          </w:p>
        </w:tc>
      </w:tr>
      <w:tr>
        <w:tc>
          <w:tcPr>
            <w:tcW w:type="dxa" w:w="1701"/>
          </w:tcPr>
          <w:p>
            <w:pPr>
              <w:spacing w:after="0"/>
            </w:pPr>
            <w:r/>
            <w:r>
              <w:rPr>
                <w:b/>
                <w:sz w:val="18"/>
              </w:rPr>
              <w:t>Silau</w:t>
            </w:r>
          </w:p>
        </w:tc>
        <w:tc>
          <w:tcPr>
            <w:tcW w:type="dxa" w:w="8050"/>
          </w:tcPr>
          <w:p>
            <w:pPr>
              <w:spacing w:after="0"/>
            </w:pPr>
            <w:r/>
            <w:r>
              <w:rPr>
                <w:sz w:val="18"/>
              </w:rPr>
              <w:t>Langsung (lampu, jendela) dan pantulan (layar, meja mengilap)</w:t>
            </w:r>
          </w:p>
        </w:tc>
      </w:tr>
      <w:tr>
        <w:tc>
          <w:tcPr>
            <w:tcW w:type="dxa" w:w="1701"/>
          </w:tcPr>
          <w:p>
            <w:pPr>
              <w:spacing w:after="0"/>
            </w:pPr>
            <w:r/>
            <w:r>
              <w:rPr>
                <w:b/>
                <w:sz w:val="18"/>
              </w:rPr>
              <w:t>Warna/spektrum</w:t>
            </w:r>
          </w:p>
        </w:tc>
        <w:tc>
          <w:tcPr>
            <w:tcW w:type="dxa" w:w="8050"/>
          </w:tcPr>
          <w:p>
            <w:pPr>
              <w:spacing w:after="0"/>
            </w:pPr>
            <w:r/>
            <w:r>
              <w:rPr>
                <w:sz w:val="18"/>
              </w:rPr>
              <w:t>CRI; efek non-visual: cahaya kaya biru menekan melatonin dan meningkatkan kewaspadaan (ACGIH, Appendix pencahayaan), area istirahat memakai cahaya redup</w:t>
            </w:r>
          </w:p>
        </w:tc>
      </w:tr>
    </w:tbl>
    <w:p>
      <w:pPr>
        <w:spacing w:after="40"/>
      </w:pPr>
    </w:p>
    <w:p>
      <w:pPr>
        <w:pStyle w:val="Heading3"/>
      </w:pPr>
      <w:r>
        <w:t>Pengukuran (luxmeter)</w:t>
      </w:r>
    </w:p>
    <w:p>
      <w:pPr>
        <w:pStyle w:val="ListBullet"/>
        <w:spacing w:after="20"/>
      </w:pPr>
      <w:r>
        <w:rPr/>
        <w:t xml:space="preserve">Alat: </w:t>
      </w:r>
      <w:r>
        <w:rPr>
          <w:b/>
        </w:rPr>
        <w:t>luxmeter</w:t>
      </w:r>
      <w:r>
        <w:rPr/>
        <w:t xml:space="preserve"> terkalibrasi (respons Vλ), bidang kerja pada ketinggian </w:t>
      </w:r>
      <w:r>
        <w:rPr>
          <w:b/>
        </w:rPr>
        <w:t>0,75 m dari lantai</w:t>
      </w:r>
      <w:r>
        <w:rPr/>
        <w:t xml:space="preserve"> untuk pekerjaan duduk.</w:t>
      </w:r>
    </w:p>
    <w:p>
      <w:pPr>
        <w:pStyle w:val="ListBullet"/>
        <w:spacing w:after="20"/>
      </w:pPr>
      <w:r>
        <w:rPr>
          <w:b/>
        </w:rPr>
        <w:t>Pencahayaan umum</w:t>
      </w:r>
      <w:r>
        <w:rPr/>
        <w:t xml:space="preserve">: ruangan dibagi </w:t>
      </w:r>
      <w:r>
        <w:rPr>
          <w:b/>
        </w:rPr>
        <w:t>grid</w:t>
      </w:r>
      <w:r>
        <w:rPr/>
        <w:t xml:space="preserve">, ukur di setiap titik potong. </w:t>
      </w:r>
      <w:r>
        <w:rPr>
          <w:b/>
        </w:rPr>
        <w:t>Pencahayaan lokal</w:t>
      </w:r>
      <w:r>
        <w:rPr/>
        <w:t>: sensor pada titik objek kerja.</w:t>
      </w:r>
    </w:p>
    <w:p>
      <w:pPr>
        <w:pStyle w:val="ListBullet"/>
        <w:spacing w:after="20"/>
      </w:pPr>
      <w:r>
        <w:rPr/>
        <w:t>Pengukur tidak boleh membayangi sensor; baca setelah angka stabil. Hasil dibandingkan standar per jenis pekerjaan pada formulir pengujian Lampiran Permenaker.</w:t>
      </w:r>
    </w:p>
    <w:p>
      <w:pPr>
        <w:pStyle w:val="Heading3"/>
      </w:pPr>
      <w:r>
        <w:t>Pengendalian silau (urutan)</w:t>
      </w:r>
    </w:p>
    <w:p>
      <w:pPr>
        <w:spacing w:after="40"/>
        <w:ind w:left="340" w:hanging="283"/>
      </w:pPr>
      <w:r>
        <w:rPr/>
        <w:t xml:space="preserve">1. Layar </w:t>
      </w:r>
      <w:r>
        <w:rPr>
          <w:b/>
        </w:rPr>
        <w:t>tegak lurus jendela</w:t>
      </w:r>
      <w:r>
        <w:rPr/>
        <w:t>, sejajar lampu atas, lebih dari 2 m dari jendela.</w:t>
      </w:r>
    </w:p>
    <w:p>
      <w:pPr>
        <w:spacing w:after="40"/>
        <w:ind w:left="340" w:hanging="283"/>
      </w:pPr>
      <w:r>
        <w:rPr/>
        <w:t xml:space="preserve">2. Tirai, </w:t>
      </w:r>
      <w:r>
        <w:rPr>
          <w:i/>
        </w:rPr>
        <w:t>louvered blinds</w:t>
      </w:r>
      <w:r>
        <w:rPr/>
        <w:t>, atau film kaca pada jendela.</w:t>
      </w:r>
    </w:p>
    <w:p>
      <w:pPr>
        <w:spacing w:after="40"/>
        <w:ind w:left="340" w:hanging="283"/>
      </w:pPr>
      <w:r>
        <w:rPr/>
        <w:t>3. Kurangi iluminasi plafon (sekitar 500 lux), lampu tidak langsung (</w:t>
      </w:r>
      <w:r>
        <w:rPr>
          <w:i/>
        </w:rPr>
        <w:t>uplighting</w:t>
      </w:r>
      <w:r>
        <w:rPr/>
        <w:t>) atau kisi parabola.</w:t>
      </w:r>
    </w:p>
    <w:p>
      <w:pPr>
        <w:spacing w:after="40"/>
        <w:ind w:left="340" w:hanging="283"/>
      </w:pPr>
      <w:r>
        <w:rPr/>
        <w:t>4. Lampu meja terarah (</w:t>
      </w:r>
      <w:r>
        <w:rPr>
          <w:i/>
        </w:rPr>
        <w:t>task lighting</w:t>
      </w:r>
      <w:r>
        <w:rPr/>
        <w:t>) untuk dokumen.</w:t>
      </w:r>
    </w:p>
    <w:p>
      <w:pPr>
        <w:spacing w:after="40"/>
        <w:ind w:left="340" w:hanging="283"/>
      </w:pPr>
      <w:r>
        <w:rPr/>
        <w:t xml:space="preserve">5. Meja dan peralatan </w:t>
      </w:r>
      <w:r>
        <w:rPr>
          <w:b/>
        </w:rPr>
        <w:t>matte</w:t>
      </w:r>
      <w:r>
        <w:rPr/>
        <w:t>, bukan mengilap.</w:t>
      </w:r>
    </w:p>
    <w:p>
      <w:pPr>
        <w:spacing w:after="40"/>
        <w:ind w:left="340" w:hanging="283"/>
      </w:pPr>
      <w:r>
        <w:rPr/>
        <w:t>6. Filter layar terpolarisasi bila langkah 1 sampai 5 belum cukup.</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Angka yang sering ditanya: kerja kantor menulis dan membaca 300 lux; mengetik/kantor lama/akuntan 500 sampai 1.000 lux; ruang komputer sekitar 500 lux dengan rasio kecerahan layar terhadap sekitar maksimal 1:3; ukur pada 0,75 m dari lantai.</w:t>
            </w:r>
          </w:p>
        </w:tc>
      </w:tr>
    </w:tbl>
    <w:p>
      <w:pPr>
        <w:spacing w:after="40"/>
      </w:pPr>
    </w:p>
    <w:p>
      <w:pPr>
        <w:pStyle w:val="Heading2"/>
      </w:pPr>
      <w:r>
        <w:t>A.6 Istirahat mikro dan rotasi</w:t>
      </w:r>
    </w:p>
    <w:p>
      <w:pPr>
        <w:pStyle w:val="Heading3"/>
      </w:pPr>
      <w:r>
        <w:t>Jenis jeda</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Jenis</w:t>
            </w:r>
          </w:p>
        </w:tc>
        <w:tc>
          <w:tcPr>
            <w:tcW w:type="dxa" w:w="2438"/>
            <w:shd w:val="clear" w:color="auto" w:fill="DCE6F1"/>
          </w:tcPr>
          <w:p>
            <w:pPr>
              <w:spacing w:after="0"/>
            </w:pPr>
            <w:r/>
            <w:r>
              <w:rPr>
                <w:b/>
                <w:sz w:val="16"/>
              </w:rPr>
              <w:t>Frekuensi</w:t>
            </w:r>
          </w:p>
        </w:tc>
        <w:tc>
          <w:tcPr>
            <w:tcW w:type="dxa" w:w="2438"/>
            <w:shd w:val="clear" w:color="auto" w:fill="DCE6F1"/>
          </w:tcPr>
          <w:p>
            <w:pPr>
              <w:spacing w:after="0"/>
            </w:pPr>
            <w:r/>
            <w:r>
              <w:rPr>
                <w:b/>
                <w:sz w:val="16"/>
              </w:rPr>
              <w:t>Durasi</w:t>
            </w:r>
          </w:p>
        </w:tc>
        <w:tc>
          <w:tcPr>
            <w:tcW w:type="dxa" w:w="2438"/>
            <w:shd w:val="clear" w:color="auto" w:fill="DCE6F1"/>
          </w:tcPr>
          <w:p>
            <w:pPr>
              <w:spacing w:after="0"/>
            </w:pPr>
            <w:r/>
            <w:r>
              <w:rPr>
                <w:b/>
                <w:sz w:val="16"/>
              </w:rPr>
              <w:t>Isi</w:t>
            </w:r>
          </w:p>
        </w:tc>
      </w:tr>
      <w:tr>
        <w:tc>
          <w:tcPr>
            <w:tcW w:type="dxa" w:w="2438"/>
          </w:tcPr>
          <w:p>
            <w:pPr>
              <w:spacing w:after="0"/>
            </w:pPr>
            <w:r/>
            <w:r>
              <w:rPr>
                <w:b/>
                <w:sz w:val="16"/>
              </w:rPr>
              <w:t>Istirahat mikro</w:t>
            </w:r>
            <w:r>
              <w:rPr>
                <w:sz w:val="16"/>
              </w:rPr>
              <w:t xml:space="preserve"> (</w:t>
            </w:r>
            <w:r>
              <w:rPr>
                <w:i/>
                <w:sz w:val="16"/>
              </w:rPr>
              <w:t>micropause</w:t>
            </w:r>
            <w:r>
              <w:rPr>
                <w:sz w:val="16"/>
              </w:rPr>
              <w:t>)</w:t>
            </w:r>
          </w:p>
        </w:tc>
        <w:tc>
          <w:tcPr>
            <w:tcW w:type="dxa" w:w="2438"/>
          </w:tcPr>
          <w:p>
            <w:pPr>
              <w:spacing w:after="0"/>
            </w:pPr>
            <w:r/>
            <w:r>
              <w:rPr>
                <w:sz w:val="16"/>
              </w:rPr>
              <w:t>Setiap beberapa menit</w:t>
            </w:r>
          </w:p>
        </w:tc>
        <w:tc>
          <w:tcPr>
            <w:tcW w:type="dxa" w:w="2438"/>
          </w:tcPr>
          <w:p>
            <w:pPr>
              <w:spacing w:after="0"/>
            </w:pPr>
            <w:r/>
            <w:r>
              <w:rPr>
                <w:sz w:val="16"/>
              </w:rPr>
              <w:t>Beberapa detik</w:t>
            </w:r>
          </w:p>
        </w:tc>
        <w:tc>
          <w:tcPr>
            <w:tcW w:type="dxa" w:w="2438"/>
          </w:tcPr>
          <w:p>
            <w:pPr>
              <w:spacing w:after="0"/>
            </w:pPr>
            <w:r/>
            <w:r>
              <w:rPr>
                <w:sz w:val="16"/>
              </w:rPr>
              <w:t>Berhenti mengetik, bersandar rileks pada sandaran kursi; pemulihan singkat otot ekstensor lengan, trapezius, jari</w:t>
            </w:r>
          </w:p>
        </w:tc>
      </w:tr>
      <w:tr>
        <w:tc>
          <w:tcPr>
            <w:tcW w:type="dxa" w:w="2438"/>
          </w:tcPr>
          <w:p>
            <w:pPr>
              <w:spacing w:after="0"/>
            </w:pPr>
            <w:r/>
            <w:r>
              <w:rPr>
                <w:b/>
                <w:sz w:val="16"/>
              </w:rPr>
              <w:t>Istirahat layar</w:t>
            </w:r>
            <w:r>
              <w:rPr>
                <w:sz w:val="16"/>
              </w:rPr>
              <w:t xml:space="preserve"> (</w:t>
            </w:r>
            <w:r>
              <w:rPr>
                <w:i/>
                <w:sz w:val="16"/>
              </w:rPr>
              <w:t>screen break</w:t>
            </w:r>
            <w:r>
              <w:rPr>
                <w:sz w:val="16"/>
              </w:rPr>
              <w:t>, jeda pendek)</w:t>
            </w:r>
          </w:p>
        </w:tc>
        <w:tc>
          <w:tcPr>
            <w:tcW w:type="dxa" w:w="2438"/>
          </w:tcPr>
          <w:p>
            <w:pPr>
              <w:spacing w:after="0"/>
            </w:pPr>
            <w:r/>
            <w:r>
              <w:rPr>
                <w:sz w:val="16"/>
              </w:rPr>
              <w:t xml:space="preserve">Setiap </w:t>
            </w:r>
            <w:r>
              <w:rPr>
                <w:b/>
                <w:sz w:val="16"/>
              </w:rPr>
              <w:t>1 jam</w:t>
            </w:r>
            <w:r>
              <w:rPr>
                <w:sz w:val="16"/>
              </w:rPr>
              <w:t xml:space="preserve"> kerja layar kontinu</w:t>
            </w:r>
          </w:p>
        </w:tc>
        <w:tc>
          <w:tcPr>
            <w:tcW w:type="dxa" w:w="2438"/>
          </w:tcPr>
          <w:p>
            <w:pPr>
              <w:spacing w:after="0"/>
            </w:pPr>
            <w:r/>
            <w:r>
              <w:rPr>
                <w:b/>
                <w:sz w:val="16"/>
              </w:rPr>
              <w:t>5 menit</w:t>
            </w:r>
          </w:p>
        </w:tc>
        <w:tc>
          <w:tcPr>
            <w:tcW w:type="dxa" w:w="2438"/>
          </w:tcPr>
          <w:p>
            <w:pPr>
              <w:spacing w:after="0"/>
            </w:pPr>
            <w:r/>
            <w:r>
              <w:rPr>
                <w:sz w:val="16"/>
              </w:rPr>
              <w:t xml:space="preserve">Berdiri, jalan pendek, peregangan. Di luar istirahat makan siang dan </w:t>
            </w:r>
            <w:r>
              <w:rPr>
                <w:i/>
                <w:sz w:val="16"/>
              </w:rPr>
              <w:t>coffee break</w:t>
            </w:r>
          </w:p>
        </w:tc>
      </w:tr>
      <w:tr>
        <w:tc>
          <w:tcPr>
            <w:tcW w:type="dxa" w:w="2438"/>
          </w:tcPr>
          <w:p>
            <w:pPr>
              <w:spacing w:after="0"/>
            </w:pPr>
            <w:r/>
            <w:r>
              <w:rPr>
                <w:b/>
                <w:sz w:val="16"/>
              </w:rPr>
              <w:t>Variasi tugas</w:t>
            </w:r>
            <w:r>
              <w:rPr>
                <w:sz w:val="16"/>
              </w:rPr>
              <w:t xml:space="preserve"> (</w:t>
            </w:r>
            <w:r>
              <w:rPr>
                <w:i/>
                <w:sz w:val="16"/>
              </w:rPr>
              <w:t>task variation</w:t>
            </w:r>
            <w:r>
              <w:rPr>
                <w:sz w:val="16"/>
              </w:rPr>
              <w:t>)</w:t>
            </w:r>
          </w:p>
        </w:tc>
        <w:tc>
          <w:tcPr>
            <w:tcW w:type="dxa" w:w="2438"/>
          </w:tcPr>
          <w:p>
            <w:pPr>
              <w:spacing w:after="0"/>
            </w:pPr>
            <w:r/>
            <w:r>
              <w:rPr>
                <w:sz w:val="16"/>
              </w:rPr>
              <w:t xml:space="preserve">Setiap </w:t>
            </w:r>
            <w:r>
              <w:rPr>
                <w:b/>
                <w:sz w:val="16"/>
              </w:rPr>
              <w:t>20 sampai 60 menit</w:t>
            </w:r>
          </w:p>
        </w:tc>
        <w:tc>
          <w:tcPr>
            <w:tcW w:type="dxa" w:w="2438"/>
          </w:tcPr>
          <w:p>
            <w:pPr>
              <w:spacing w:after="0"/>
            </w:pPr>
            <w:r/>
            <w:r>
              <w:rPr>
                <w:sz w:val="16"/>
              </w:rPr>
              <w:t>Beberapa menit</w:t>
            </w:r>
          </w:p>
        </w:tc>
        <w:tc>
          <w:tcPr>
            <w:tcW w:type="dxa" w:w="2438"/>
          </w:tcPr>
          <w:p>
            <w:pPr>
              <w:spacing w:after="0"/>
            </w:pPr>
            <w:r/>
            <w:r>
              <w:rPr>
                <w:sz w:val="16"/>
              </w:rPr>
              <w:t>Pindah ke tugas non-komputer: ke printer, ambil berkas, filing</w:t>
            </w:r>
          </w:p>
        </w:tc>
      </w:tr>
      <w:tr>
        <w:tc>
          <w:tcPr>
            <w:tcW w:type="dxa" w:w="2438"/>
          </w:tcPr>
          <w:p>
            <w:pPr>
              <w:spacing w:after="0"/>
            </w:pPr>
            <w:r/>
            <w:r>
              <w:rPr>
                <w:b/>
                <w:sz w:val="16"/>
              </w:rPr>
              <w:t>Jeda panjang</w:t>
            </w:r>
          </w:p>
        </w:tc>
        <w:tc>
          <w:tcPr>
            <w:tcW w:type="dxa" w:w="2438"/>
          </w:tcPr>
          <w:p>
            <w:pPr>
              <w:spacing w:after="0"/>
            </w:pPr>
            <w:r/>
            <w:r>
              <w:rPr>
                <w:sz w:val="16"/>
              </w:rPr>
              <w:t>Harian</w:t>
            </w:r>
          </w:p>
        </w:tc>
        <w:tc>
          <w:tcPr>
            <w:tcW w:type="dxa" w:w="2438"/>
          </w:tcPr>
          <w:p>
            <w:pPr>
              <w:spacing w:after="0"/>
            </w:pPr>
            <w:r/>
            <w:r>
              <w:rPr>
                <w:sz w:val="16"/>
              </w:rPr>
              <w:t>Istirahat makan siang</w:t>
            </w:r>
          </w:p>
        </w:tc>
        <w:tc>
          <w:tcPr>
            <w:tcW w:type="dxa" w:w="2438"/>
          </w:tcPr>
          <w:p>
            <w:pPr>
              <w:spacing w:after="0"/>
            </w:pPr>
            <w:r/>
            <w:r>
              <w:rPr>
                <w:sz w:val="16"/>
              </w:rPr>
              <w:t xml:space="preserve">Makan siang di meja </w:t>
            </w:r>
            <w:r>
              <w:rPr>
                <w:b/>
                <w:sz w:val="16"/>
              </w:rPr>
              <w:t>tidak dianjurkan</w:t>
            </w:r>
            <w:r>
              <w:rPr>
                <w:sz w:val="16"/>
              </w:rPr>
              <w:t xml:space="preserve"> karena memperpanjang duduk statis</w:t>
            </w:r>
          </w:p>
        </w:tc>
      </w:tr>
    </w:tbl>
    <w:p>
      <w:pPr>
        <w:spacing w:after="40"/>
      </w:pPr>
    </w:p>
    <w:p>
      <w:pPr>
        <w:pStyle w:val="ListBullet"/>
        <w:spacing w:after="20"/>
      </w:pPr>
      <w:r>
        <w:rPr/>
        <w:t xml:space="preserve">LaDou &amp; Harrison: tambahan istirahat 5 menit per jam pada operator data </w:t>
      </w:r>
      <w:r>
        <w:rPr>
          <w:b/>
        </w:rPr>
        <w:t>menurunkan keluhan nyeri bahu, lengan atas, leher, punggung</w:t>
      </w:r>
      <w:r>
        <w:rPr/>
        <w:t>, sementara produktivitas harian tetap stabil walau waktu kerja berkurang 20 menit per hari.</w:t>
      </w:r>
    </w:p>
    <w:p>
      <w:pPr>
        <w:pStyle w:val="ListBullet"/>
        <w:spacing w:after="20"/>
      </w:pPr>
      <w:r>
        <w:rPr/>
        <w:t xml:space="preserve">Dasar fisiologis: kerja layar tanpa jeda menimbulkan </w:t>
      </w:r>
      <w:r>
        <w:rPr>
          <w:b/>
        </w:rPr>
        <w:t>beban otot statis</w:t>
      </w:r>
      <w:r>
        <w:rPr/>
        <w:t xml:space="preserve"> (sekitar 30% kapasitas maksimum) pada leher, bahu, lengan sehingga kelelahan lokal dan WRULD datang lebih cepat.</w:t>
      </w:r>
    </w:p>
    <w:p>
      <w:pPr>
        <w:pStyle w:val="ListBullet"/>
        <w:spacing w:after="20"/>
      </w:pPr>
      <w:r>
        <w:rPr>
          <w:b/>
        </w:rPr>
        <w:t>Peregangan</w:t>
      </w:r>
      <w:r>
        <w:rPr/>
        <w:t xml:space="preserve"> dan gerak (berdiri, jalan) dianjurkan saat jeda layar; jadwal harus disusun ketat bila variasi tugas sulit dicapai (kombinasi istirahat mikro, jeda pendek, jeda panjang).</w:t>
      </w:r>
    </w:p>
    <w:p>
      <w:pPr>
        <w:pStyle w:val="ListBullet"/>
        <w:spacing w:after="20"/>
      </w:pPr>
      <w:r>
        <w:rPr>
          <w:b/>
        </w:rPr>
        <w:t>Aturan 20-20-20</w:t>
      </w:r>
      <w:r>
        <w:rPr/>
        <w:t xml:space="preserve"> (tiap 20 menit lihat objek sejauh 20 kaki selama 20 detik): aturan populer untuk mata, </w:t>
      </w:r>
      <w:r>
        <w:rPr>
          <w:b/>
        </w:rPr>
        <w:t>tidak tercantum</w:t>
      </w:r>
      <w:r>
        <w:rPr/>
        <w:t xml:space="preserve"> pada sumber di notebook. Setara dengan anjuran memecah kerja layar tiap 20 sampai 60 menit.</w:t>
      </w:r>
    </w:p>
    <w:p>
      <w:pPr>
        <w:pStyle w:val="Heading3"/>
      </w:pPr>
      <w:r>
        <w:t>Ketentuan Permenaker No. 5 Tahun 2018 Pasal 23</w:t>
      </w:r>
    </w:p>
    <w:p>
      <w:pPr>
        <w:pStyle w:val="ListBullet"/>
        <w:spacing w:after="20"/>
      </w:pPr>
      <w:r>
        <w:rPr/>
        <w:t xml:space="preserve">Ayat (3): bila hasil pengukuran menunjukkan potensi bahaya, </w:t>
      </w:r>
      <w:r>
        <w:rPr>
          <w:b/>
        </w:rPr>
        <w:t>harus dilakukan pengendalian</w:t>
      </w:r>
      <w:r>
        <w:rPr/>
        <w:t xml:space="preserve"> sampai memenuhi standar.</w:t>
      </w:r>
    </w:p>
    <w:p>
      <w:pPr>
        <w:pStyle w:val="ListBullet"/>
        <w:spacing w:after="20"/>
      </w:pPr>
      <w:r>
        <w:rPr/>
        <w:t xml:space="preserve">Ayat (4): pengendalian dilakukan dengan (a) menghindari posisi kerja yang janggal; (b) memperbaiki cara kerja dan posisi kerja; (c) mendesain ulang atau mengganti tempat kerja, objek kerja, bahan, desain tempat kerja, peralatan; (d) memodifikasi hal yang sama; (e) </w:t>
      </w:r>
      <w:r>
        <w:rPr>
          <w:b/>
        </w:rPr>
        <w:t>mengatur waktu kerja dan waktu istirahat</w:t>
      </w:r>
      <w:r>
        <w:rPr/>
        <w:t xml:space="preserve">; (f) bekerja dengan </w:t>
      </w:r>
      <w:r>
        <w:rPr>
          <w:b/>
        </w:rPr>
        <w:t>sikap tubuh netral atau baik</w:t>
      </w:r>
      <w:r>
        <w:rPr/>
        <w:t>; dan/atau (g) menggunakan alat bantu.</w:t>
      </w:r>
    </w:p>
    <w:p>
      <w:pPr>
        <w:pStyle w:val="ListBullet"/>
        <w:spacing w:after="20"/>
      </w:pPr>
      <w:r>
        <w:rPr/>
        <w:t>Ayat (5): standar faktor ergonomi ada di Lampiran (Lampiran 6).</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Permenaker 5/2018 hanya mewajibkan pengaturan waktu kerja dan istirahat secara umum (Pasal 23 ayat 4 huruf e). Angka menit (5 menit per jam, mikro tiap beberapa menit, variasi 20 sampai 60 menit) berasal dari pedoman internasional (Bodyspace, LaDou), bukan dari pasal. Bila ditanya "apa kata regulasi Indonesia", jawab prinsipnya, bukan angkanya.</w:t>
            </w:r>
          </w:p>
        </w:tc>
      </w:tr>
    </w:tbl>
    <w:p>
      <w:pPr>
        <w:spacing w:after="40"/>
      </w:pPr>
    </w:p>
    <w:p>
      <w:pPr>
        <w:pStyle w:val="Heading2"/>
      </w:pPr>
      <w:r>
        <w:t>A.7 Antropometri</w:t>
      </w:r>
    </w:p>
    <w:p>
      <w:pPr>
        <w:pStyle w:val="Heading3"/>
      </w:pPr>
      <w:r>
        <w:t>7.1 Definisi, dimensi statis dan fungsional</w:t>
      </w:r>
    </w:p>
    <w:p>
      <w:pPr>
        <w:pStyle w:val="ListBullet"/>
        <w:spacing w:after="20"/>
      </w:pPr>
      <w:r>
        <w:rPr>
          <w:b/>
        </w:rPr>
        <w:t>Antropometri</w:t>
      </w:r>
      <w:r>
        <w:rPr/>
        <w:t xml:space="preserve"> (Yunani: </w:t>
      </w:r>
      <w:r>
        <w:rPr>
          <w:i/>
        </w:rPr>
        <w:t>anthropos</w:t>
      </w:r>
      <w:r>
        <w:rPr/>
        <w:t xml:space="preserve"> manusia, </w:t>
      </w:r>
      <w:r>
        <w:rPr>
          <w:i/>
        </w:rPr>
        <w:t>metron</w:t>
      </w:r>
      <w:r>
        <w:rPr/>
        <w:t xml:space="preserve"> ukur): pengukuran sistematis dimensi fisik tubuh (ukuran, bentuk, volume, proporsi) dan penerapannya untuk merancang fasilitas kerja dan produk (Permenaker 5/2018 Lampiran 6 bagian A).</w:t>
      </w:r>
    </w:p>
    <w:p>
      <w:pPr>
        <w:pStyle w:val="ListBullet"/>
        <w:spacing w:after="20"/>
      </w:pPr>
      <w:r>
        <w:rPr/>
        <w:t xml:space="preserve">Lampiran 6 menekankan pengukuran pada </w:t>
      </w:r>
      <w:r>
        <w:rPr>
          <w:b/>
        </w:rPr>
        <w:t>pekerja Indonesia secara representatif</w:t>
      </w:r>
      <w:r>
        <w:rPr/>
        <w:t>, diolah statistik sebelum dipakai merancang.</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p>
        </w:tc>
        <w:tc>
          <w:tcPr>
            <w:tcW w:type="dxa" w:w="3251"/>
            <w:shd w:val="clear" w:color="auto" w:fill="DCE6F1"/>
          </w:tcPr>
          <w:p>
            <w:pPr>
              <w:spacing w:after="0"/>
            </w:pPr>
            <w:r/>
            <w:r>
              <w:rPr>
                <w:b/>
                <w:sz w:val="18"/>
              </w:rPr>
              <w:t>Dimensi statis (struktural)</w:t>
            </w:r>
          </w:p>
        </w:tc>
        <w:tc>
          <w:tcPr>
            <w:tcW w:type="dxa" w:w="3251"/>
            <w:shd w:val="clear" w:color="auto" w:fill="DCE6F1"/>
          </w:tcPr>
          <w:p>
            <w:pPr>
              <w:spacing w:after="0"/>
            </w:pPr>
            <w:r/>
            <w:r>
              <w:rPr>
                <w:b/>
                <w:sz w:val="18"/>
              </w:rPr>
              <w:t>Dimensi fungsional (dinamis)</w:t>
            </w:r>
          </w:p>
        </w:tc>
      </w:tr>
      <w:tr>
        <w:tc>
          <w:tcPr>
            <w:tcW w:type="dxa" w:w="3251"/>
          </w:tcPr>
          <w:p>
            <w:pPr>
              <w:spacing w:after="0"/>
            </w:pPr>
            <w:r/>
            <w:r>
              <w:rPr>
                <w:sz w:val="18"/>
              </w:rPr>
              <w:t>Definisi</w:t>
            </w:r>
          </w:p>
        </w:tc>
        <w:tc>
          <w:tcPr>
            <w:tcW w:type="dxa" w:w="3251"/>
          </w:tcPr>
          <w:p>
            <w:pPr>
              <w:spacing w:after="0"/>
            </w:pPr>
            <w:r/>
            <w:r>
              <w:rPr>
                <w:sz w:val="18"/>
              </w:rPr>
              <w:t>Ukuran tubuh pada posisi diam dan terstandar (berdiri atau duduk tegak, sendi pada sudut tertentu)</w:t>
            </w:r>
          </w:p>
        </w:tc>
        <w:tc>
          <w:tcPr>
            <w:tcW w:type="dxa" w:w="3251"/>
          </w:tcPr>
          <w:p>
            <w:pPr>
              <w:spacing w:after="0"/>
            </w:pPr>
            <w:r/>
            <w:r>
              <w:rPr>
                <w:sz w:val="18"/>
              </w:rPr>
              <w:t>Ukuran saat tubuh bergerak atau menjalankan tugas; memperhitungkan gerak beberapa segmen dan sendi sekaligus</w:t>
            </w:r>
          </w:p>
        </w:tc>
      </w:tr>
      <w:tr>
        <w:tc>
          <w:tcPr>
            <w:tcW w:type="dxa" w:w="3251"/>
          </w:tcPr>
          <w:p>
            <w:pPr>
              <w:spacing w:after="0"/>
            </w:pPr>
            <w:r/>
            <w:r>
              <w:rPr>
                <w:sz w:val="18"/>
              </w:rPr>
              <w:t>Contoh</w:t>
            </w:r>
          </w:p>
        </w:tc>
        <w:tc>
          <w:tcPr>
            <w:tcW w:type="dxa" w:w="3251"/>
          </w:tcPr>
          <w:p>
            <w:pPr>
              <w:spacing w:after="0"/>
            </w:pPr>
            <w:r/>
            <w:r>
              <w:rPr>
                <w:sz w:val="18"/>
              </w:rPr>
              <w:t>Tinggi badan (</w:t>
            </w:r>
            <w:r>
              <w:rPr>
                <w:i/>
                <w:sz w:val="18"/>
              </w:rPr>
              <w:t>stature</w:t>
            </w:r>
            <w:r>
              <w:rPr>
                <w:sz w:val="18"/>
              </w:rPr>
              <w:t xml:space="preserve">), tinggi duduk, </w:t>
            </w:r>
            <w:r>
              <w:rPr>
                <w:b/>
                <w:sz w:val="18"/>
              </w:rPr>
              <w:t>tinggi popliteal</w:t>
            </w:r>
            <w:r>
              <w:rPr>
                <w:sz w:val="18"/>
              </w:rPr>
              <w:t xml:space="preserve">, </w:t>
            </w:r>
            <w:r>
              <w:rPr>
                <w:b/>
                <w:sz w:val="18"/>
              </w:rPr>
              <w:t>panjang bokong-popliteal</w:t>
            </w:r>
            <w:r>
              <w:rPr>
                <w:sz w:val="18"/>
              </w:rPr>
              <w:t>, lebar bahu (bideltoid), lebar pinggul, tinggi siku duduk, tinggi mata duduk</w:t>
            </w:r>
          </w:p>
        </w:tc>
        <w:tc>
          <w:tcPr>
            <w:tcW w:type="dxa" w:w="3251"/>
          </w:tcPr>
          <w:p>
            <w:pPr>
              <w:spacing w:after="0"/>
            </w:pPr>
            <w:r/>
            <w:r>
              <w:rPr>
                <w:b/>
                <w:sz w:val="18"/>
              </w:rPr>
              <w:t>Jangkauan genggam ke depan</w:t>
            </w:r>
            <w:r>
              <w:rPr>
                <w:sz w:val="18"/>
              </w:rPr>
              <w:t xml:space="preserve"> (</w:t>
            </w:r>
            <w:r>
              <w:rPr>
                <w:i/>
                <w:sz w:val="18"/>
              </w:rPr>
              <w:t>forward grip reach</w:t>
            </w:r>
            <w:r>
              <w:rPr>
                <w:sz w:val="18"/>
              </w:rPr>
              <w:t>), jangkauan vertikal, rentang lengan (</w:t>
            </w:r>
            <w:r>
              <w:rPr>
                <w:i/>
                <w:sz w:val="18"/>
              </w:rPr>
              <w:t>span</w:t>
            </w:r>
            <w:r>
              <w:rPr>
                <w:sz w:val="18"/>
              </w:rPr>
              <w:t>), area kerja normal, fleksi/ekstensi, sudut puntir, tinggi merangkak atau berlutut</w:t>
            </w:r>
          </w:p>
        </w:tc>
      </w:tr>
      <w:tr>
        <w:tc>
          <w:tcPr>
            <w:tcW w:type="dxa" w:w="3251"/>
          </w:tcPr>
          <w:p>
            <w:pPr>
              <w:spacing w:after="0"/>
            </w:pPr>
            <w:r/>
            <w:r>
              <w:rPr>
                <w:sz w:val="18"/>
              </w:rPr>
              <w:t>Dipakai untuk</w:t>
            </w:r>
          </w:p>
        </w:tc>
        <w:tc>
          <w:tcPr>
            <w:tcW w:type="dxa" w:w="3251"/>
          </w:tcPr>
          <w:p>
            <w:pPr>
              <w:spacing w:after="0"/>
            </w:pPr>
            <w:r/>
            <w:r>
              <w:rPr>
                <w:sz w:val="18"/>
              </w:rPr>
              <w:t>Clearance, dudukan, lebar</w:t>
            </w:r>
          </w:p>
        </w:tc>
        <w:tc>
          <w:tcPr>
            <w:tcW w:type="dxa" w:w="3251"/>
          </w:tcPr>
          <w:p>
            <w:pPr>
              <w:spacing w:after="0"/>
            </w:pPr>
            <w:r/>
            <w:r>
              <w:rPr>
                <w:sz w:val="18"/>
              </w:rPr>
              <w:t>Jangkauan, penempatan kontrol dan benda</w:t>
            </w:r>
          </w:p>
        </w:tc>
      </w:tr>
    </w:tbl>
    <w:p>
      <w:pPr>
        <w:spacing w:after="40"/>
      </w:pPr>
    </w:p>
    <w:p>
      <w:pPr>
        <w:pStyle w:val="Heading3"/>
      </w:pPr>
      <w:r>
        <w:t>7.2 Persentil, distribusi normal, dan tiga prinsip desain</w:t>
      </w:r>
    </w:p>
    <w:p>
      <w:pPr>
        <w:pStyle w:val="ListBullet"/>
        <w:spacing w:after="20"/>
      </w:pPr>
      <w:r>
        <w:rPr/>
        <w:t xml:space="preserve">Dimensi linier tubuh pada populasi homogen </w:t>
      </w:r>
      <w:r>
        <w:rPr>
          <w:b/>
        </w:rPr>
        <w:t>berdistribusi normal</w:t>
      </w:r>
      <w:r>
        <w:rPr/>
        <w:t xml:space="preserve">, ditentukan oleh </w:t>
      </w:r>
      <w:r>
        <w:rPr>
          <w:b/>
        </w:rPr>
        <w:t>rerata (mean)</w:t>
      </w:r>
      <w:r>
        <w:rPr/>
        <w:t xml:space="preserve"> dan </w:t>
      </w:r>
      <w:r>
        <w:rPr>
          <w:b/>
        </w:rPr>
        <w:t>simpangan baku (SD)</w:t>
      </w:r>
      <w:r>
        <w:rPr/>
        <w:t>. Pada distribusi normal, mean = median = persentil ke-50.</w:t>
      </w:r>
    </w:p>
    <w:p>
      <w:pPr>
        <w:pStyle w:val="ListBullet"/>
        <w:spacing w:after="20"/>
      </w:pPr>
      <w:r>
        <w:rPr>
          <w:b/>
        </w:rPr>
        <w:t>Persentil ke-n</w:t>
      </w:r>
      <w:r>
        <w:rPr/>
        <w:t xml:space="preserve">: nilai dimensi di mana n% populasi memiliki ukuran </w:t>
      </w:r>
      <w:r>
        <w:rPr>
          <w:b/>
        </w:rPr>
        <w:t>sama atau lebih kecil</w:t>
      </w:r>
      <w:r>
        <w:rPr/>
        <w:t xml:space="preserve">. Rentang </w:t>
      </w:r>
      <w:r>
        <w:rPr>
          <w:b/>
        </w:rPr>
        <w:t>P5 sampai P95 mencakup 90%</w:t>
      </w:r>
      <w:r>
        <w:rPr/>
        <w:t xml:space="preserve"> populasi tengah.</w:t>
      </w:r>
    </w:p>
    <w:p>
      <w:pPr>
        <w:spacing w:after="80"/>
      </w:pPr>
      <w:r>
        <w:rPr>
          <w:b/>
        </w:rPr>
        <w:t>Rumus</w:t>
      </w:r>
      <w:r>
        <w:rPr/>
        <w:t>: X_p = mean + (z × SD)</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Persentil</w:t>
            </w:r>
          </w:p>
        </w:tc>
        <w:tc>
          <w:tcPr>
            <w:tcW w:type="dxa" w:w="3251"/>
            <w:shd w:val="clear" w:color="auto" w:fill="DCE6F1"/>
          </w:tcPr>
          <w:p>
            <w:pPr>
              <w:spacing w:after="0"/>
            </w:pPr>
            <w:r/>
            <w:r>
              <w:rPr>
                <w:b/>
                <w:sz w:val="18"/>
              </w:rPr>
              <w:t>z</w:t>
            </w:r>
          </w:p>
        </w:tc>
        <w:tc>
          <w:tcPr>
            <w:tcW w:type="dxa" w:w="3251"/>
            <w:shd w:val="clear" w:color="auto" w:fill="DCE6F1"/>
          </w:tcPr>
          <w:p>
            <w:pPr>
              <w:spacing w:after="0"/>
            </w:pPr>
            <w:r/>
            <w:r>
              <w:rPr>
                <w:b/>
                <w:sz w:val="18"/>
              </w:rPr>
              <w:t>Keterangan</w:t>
            </w:r>
          </w:p>
        </w:tc>
      </w:tr>
      <w:tr>
        <w:tc>
          <w:tcPr>
            <w:tcW w:type="dxa" w:w="3251"/>
          </w:tcPr>
          <w:p>
            <w:pPr>
              <w:spacing w:after="0"/>
            </w:pPr>
            <w:r/>
            <w:r>
              <w:rPr>
                <w:sz w:val="18"/>
              </w:rPr>
              <w:t>P1 / P99</w:t>
            </w:r>
          </w:p>
        </w:tc>
        <w:tc>
          <w:tcPr>
            <w:tcW w:type="dxa" w:w="3251"/>
          </w:tcPr>
          <w:p>
            <w:pPr>
              <w:spacing w:after="0"/>
            </w:pPr>
            <w:r/>
            <w:r>
              <w:rPr>
                <w:sz w:val="18"/>
              </w:rPr>
              <w:t>-2,33 / +2,33</w:t>
            </w:r>
          </w:p>
        </w:tc>
        <w:tc>
          <w:tcPr>
            <w:tcW w:type="dxa" w:w="3251"/>
          </w:tcPr>
          <w:p>
            <w:pPr>
              <w:spacing w:after="0"/>
            </w:pPr>
            <w:r/>
            <w:r>
              <w:rPr>
                <w:sz w:val="18"/>
              </w:rPr>
              <w:t>Dipakai untuk hal kritis keselamatan (pelindung, jalan keluar darurat)</w:t>
            </w:r>
          </w:p>
        </w:tc>
      </w:tr>
      <w:tr>
        <w:tc>
          <w:tcPr>
            <w:tcW w:type="dxa" w:w="3251"/>
          </w:tcPr>
          <w:p>
            <w:pPr>
              <w:spacing w:after="0"/>
            </w:pPr>
            <w:r/>
            <w:r>
              <w:rPr>
                <w:sz w:val="18"/>
              </w:rPr>
              <w:t>P2,5 / P97,5</w:t>
            </w:r>
          </w:p>
        </w:tc>
        <w:tc>
          <w:tcPr>
            <w:tcW w:type="dxa" w:w="3251"/>
          </w:tcPr>
          <w:p>
            <w:pPr>
              <w:spacing w:after="0"/>
            </w:pPr>
            <w:r/>
            <w:r>
              <w:rPr>
                <w:sz w:val="18"/>
              </w:rPr>
              <w:t>-1,96 / +1,96</w:t>
            </w:r>
          </w:p>
        </w:tc>
        <w:tc>
          <w:tcPr>
            <w:tcW w:type="dxa" w:w="3251"/>
          </w:tcPr>
          <w:p>
            <w:pPr>
              <w:spacing w:after="0"/>
            </w:pPr>
            <w:r/>
            <w:r>
              <w:rPr>
                <w:sz w:val="18"/>
              </w:rPr>
              <w:t>Batas interval kepercayaan 95%</w:t>
            </w:r>
          </w:p>
        </w:tc>
      </w:tr>
      <w:tr>
        <w:tc>
          <w:tcPr>
            <w:tcW w:type="dxa" w:w="3251"/>
          </w:tcPr>
          <w:p>
            <w:pPr>
              <w:spacing w:after="0"/>
            </w:pPr>
            <w:r/>
            <w:r>
              <w:rPr>
                <w:b/>
                <w:sz w:val="18"/>
              </w:rPr>
              <w:t>P5 / P95</w:t>
            </w:r>
          </w:p>
        </w:tc>
        <w:tc>
          <w:tcPr>
            <w:tcW w:type="dxa" w:w="3251"/>
          </w:tcPr>
          <w:p>
            <w:pPr>
              <w:spacing w:after="0"/>
            </w:pPr>
            <w:r/>
            <w:r>
              <w:rPr>
                <w:b/>
                <w:sz w:val="18"/>
              </w:rPr>
              <w:t>-1,64 / +1,64</w:t>
            </w:r>
          </w:p>
        </w:tc>
        <w:tc>
          <w:tcPr>
            <w:tcW w:type="dxa" w:w="3251"/>
          </w:tcPr>
          <w:p>
            <w:pPr>
              <w:spacing w:after="0"/>
            </w:pPr>
            <w:r/>
            <w:r>
              <w:rPr>
                <w:sz w:val="18"/>
              </w:rPr>
              <w:t>Batas desain standar</w:t>
            </w:r>
          </w:p>
        </w:tc>
      </w:tr>
      <w:tr>
        <w:tc>
          <w:tcPr>
            <w:tcW w:type="dxa" w:w="3251"/>
          </w:tcPr>
          <w:p>
            <w:pPr>
              <w:spacing w:after="0"/>
            </w:pPr>
            <w:r/>
            <w:r>
              <w:rPr>
                <w:sz w:val="18"/>
              </w:rPr>
              <w:t>P10 / P90</w:t>
            </w:r>
          </w:p>
        </w:tc>
        <w:tc>
          <w:tcPr>
            <w:tcW w:type="dxa" w:w="3251"/>
          </w:tcPr>
          <w:p>
            <w:pPr>
              <w:spacing w:after="0"/>
            </w:pPr>
            <w:r/>
            <w:r>
              <w:rPr>
                <w:sz w:val="18"/>
              </w:rPr>
              <w:t>-1,28 / +1,28</w:t>
            </w:r>
          </w:p>
        </w:tc>
        <w:tc>
          <w:tcPr>
            <w:tcW w:type="dxa" w:w="3251"/>
          </w:tcPr>
          <w:p>
            <w:pPr>
              <w:spacing w:after="0"/>
            </w:pPr>
            <w:r/>
          </w:p>
        </w:tc>
      </w:tr>
      <w:tr>
        <w:tc>
          <w:tcPr>
            <w:tcW w:type="dxa" w:w="3251"/>
          </w:tcPr>
          <w:p>
            <w:pPr>
              <w:spacing w:after="0"/>
            </w:pPr>
            <w:r/>
            <w:r>
              <w:rPr>
                <w:sz w:val="18"/>
              </w:rPr>
              <w:t>P25 / P75</w:t>
            </w:r>
          </w:p>
        </w:tc>
        <w:tc>
          <w:tcPr>
            <w:tcW w:type="dxa" w:w="3251"/>
          </w:tcPr>
          <w:p>
            <w:pPr>
              <w:spacing w:after="0"/>
            </w:pPr>
            <w:r/>
            <w:r>
              <w:rPr>
                <w:sz w:val="18"/>
              </w:rPr>
              <w:t>-0,67 / +0,67</w:t>
            </w:r>
          </w:p>
        </w:tc>
        <w:tc>
          <w:tcPr>
            <w:tcW w:type="dxa" w:w="3251"/>
          </w:tcPr>
          <w:p>
            <w:pPr>
              <w:spacing w:after="0"/>
            </w:pPr>
            <w:r/>
            <w:r>
              <w:rPr>
                <w:sz w:val="18"/>
              </w:rPr>
              <w:t>Kuartil</w:t>
            </w:r>
          </w:p>
        </w:tc>
      </w:tr>
      <w:tr>
        <w:tc>
          <w:tcPr>
            <w:tcW w:type="dxa" w:w="3251"/>
          </w:tcPr>
          <w:p>
            <w:pPr>
              <w:spacing w:after="0"/>
            </w:pPr>
            <w:r/>
            <w:r>
              <w:rPr>
                <w:sz w:val="18"/>
              </w:rPr>
              <w:t>P50</w:t>
            </w:r>
          </w:p>
        </w:tc>
        <w:tc>
          <w:tcPr>
            <w:tcW w:type="dxa" w:w="3251"/>
          </w:tcPr>
          <w:p>
            <w:pPr>
              <w:spacing w:after="0"/>
            </w:pPr>
            <w:r/>
            <w:r>
              <w:rPr>
                <w:sz w:val="18"/>
              </w:rPr>
              <w:t>0</w:t>
            </w:r>
          </w:p>
        </w:tc>
        <w:tc>
          <w:tcPr>
            <w:tcW w:type="dxa" w:w="3251"/>
          </w:tcPr>
          <w:p>
            <w:pPr>
              <w:spacing w:after="0"/>
            </w:pPr>
            <w:r/>
            <w:r>
              <w:rPr>
                <w:sz w:val="18"/>
              </w:rPr>
              <w:t>Rerata</w:t>
            </w:r>
          </w:p>
        </w:tc>
      </w:tr>
    </w:tbl>
    <w:p>
      <w:pPr>
        <w:spacing w:after="40"/>
      </w:pPr>
    </w:p>
    <w:p>
      <w:pPr>
        <w:spacing w:after="80"/>
      </w:pPr>
      <w:r>
        <w:rPr>
          <w:b/>
        </w:rPr>
        <w:t>Tiga prinsip penerapan</w:t>
      </w:r>
      <w:r>
        <w:rPr/>
        <w:t xml:space="preserve"> (Lampiran 6 Permenaker 5/2018 dan Bodyspace):</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Prinsip</w:t>
            </w:r>
          </w:p>
        </w:tc>
        <w:tc>
          <w:tcPr>
            <w:tcW w:type="dxa" w:w="2438"/>
            <w:shd w:val="clear" w:color="auto" w:fill="DCE6F1"/>
          </w:tcPr>
          <w:p>
            <w:pPr>
              <w:spacing w:after="0"/>
            </w:pPr>
            <w:r/>
            <w:r>
              <w:rPr>
                <w:b/>
                <w:sz w:val="16"/>
              </w:rPr>
              <w:t>Kapan</w:t>
            </w:r>
          </w:p>
        </w:tc>
        <w:tc>
          <w:tcPr>
            <w:tcW w:type="dxa" w:w="2438"/>
            <w:shd w:val="clear" w:color="auto" w:fill="DCE6F1"/>
          </w:tcPr>
          <w:p>
            <w:pPr>
              <w:spacing w:after="0"/>
            </w:pPr>
            <w:r/>
            <w:r>
              <w:rPr>
                <w:b/>
                <w:sz w:val="16"/>
              </w:rPr>
              <w:t>Persentil</w:t>
            </w:r>
          </w:p>
        </w:tc>
        <w:tc>
          <w:tcPr>
            <w:tcW w:type="dxa" w:w="2438"/>
            <w:shd w:val="clear" w:color="auto" w:fill="DCE6F1"/>
          </w:tcPr>
          <w:p>
            <w:pPr>
              <w:spacing w:after="0"/>
            </w:pPr>
            <w:r/>
            <w:r>
              <w:rPr>
                <w:b/>
                <w:sz w:val="16"/>
              </w:rPr>
              <w:t>Contoh</w:t>
            </w:r>
          </w:p>
        </w:tc>
      </w:tr>
      <w:tr>
        <w:tc>
          <w:tcPr>
            <w:tcW w:type="dxa" w:w="2438"/>
          </w:tcPr>
          <w:p>
            <w:pPr>
              <w:spacing w:after="0"/>
            </w:pPr>
            <w:r/>
            <w:r>
              <w:rPr>
                <w:b/>
                <w:sz w:val="16"/>
              </w:rPr>
              <w:t>1. Individu ekstrem</w:t>
            </w:r>
            <w:r>
              <w:rPr>
                <w:sz w:val="16"/>
              </w:rPr>
              <w:t xml:space="preserve"> (batas satu arah)</w:t>
            </w:r>
          </w:p>
        </w:tc>
        <w:tc>
          <w:tcPr>
            <w:tcW w:type="dxa" w:w="2438"/>
          </w:tcPr>
          <w:p>
            <w:pPr>
              <w:spacing w:after="0"/>
            </w:pPr>
            <w:r/>
            <w:r>
              <w:rPr>
                <w:sz w:val="16"/>
              </w:rPr>
              <w:t>Kegagalan mengakomodasi ekstrem menyebabkan ketidakcocokan total atau bahaya</w:t>
            </w:r>
          </w:p>
        </w:tc>
        <w:tc>
          <w:tcPr>
            <w:tcW w:type="dxa" w:w="2438"/>
          </w:tcPr>
          <w:p>
            <w:pPr>
              <w:spacing w:after="0"/>
            </w:pPr>
            <w:r/>
            <w:r>
              <w:rPr>
                <w:b/>
                <w:sz w:val="16"/>
              </w:rPr>
              <w:t>Clearance (ruang bebas): persentil besar, P95 atau P99 pria</w:t>
            </w:r>
            <w:r>
              <w:rPr>
                <w:sz w:val="16"/>
              </w:rPr>
              <w:t xml:space="preserve">. </w:t>
            </w:r>
            <w:r>
              <w:rPr>
                <w:b/>
                <w:sz w:val="16"/>
              </w:rPr>
              <w:t>Jangkauan (reach): persentil kecil, P5 wanita</w:t>
            </w:r>
            <w:r>
              <w:rPr>
                <w:sz w:val="16"/>
              </w:rPr>
              <w:t xml:space="preserve"> (Lampiran 6 menyebut persentil besar 90/95/99 dan kecil 1/5/10)</w:t>
            </w:r>
          </w:p>
        </w:tc>
        <w:tc>
          <w:tcPr>
            <w:tcW w:type="dxa" w:w="2438"/>
          </w:tcPr>
          <w:p>
            <w:pPr>
              <w:spacing w:after="0"/>
            </w:pPr>
            <w:r/>
            <w:r>
              <w:rPr>
                <w:sz w:val="16"/>
              </w:rPr>
              <w:t xml:space="preserve">Clearance: tinggi pintu, kosen, </w:t>
            </w:r>
            <w:r>
              <w:rPr>
                <w:b/>
                <w:sz w:val="16"/>
              </w:rPr>
              <w:t>manhole dan pintu darurat</w:t>
            </w:r>
            <w:r>
              <w:rPr>
                <w:sz w:val="16"/>
              </w:rPr>
              <w:t xml:space="preserve">, ruang kaki di bawah meja. Reach: letak sakelar, tuas rem darurat, rak atas, </w:t>
            </w:r>
            <w:r>
              <w:rPr>
                <w:b/>
                <w:sz w:val="16"/>
              </w:rPr>
              <w:t>kedalaman dudukan</w:t>
            </w:r>
          </w:p>
        </w:tc>
      </w:tr>
      <w:tr>
        <w:tc>
          <w:tcPr>
            <w:tcW w:type="dxa" w:w="2438"/>
          </w:tcPr>
          <w:p>
            <w:pPr>
              <w:spacing w:after="0"/>
            </w:pPr>
            <w:r/>
            <w:r>
              <w:rPr>
                <w:b/>
                <w:sz w:val="16"/>
              </w:rPr>
              <w:t>2. Dapat disetel</w:t>
            </w:r>
            <w:r>
              <w:rPr>
                <w:sz w:val="16"/>
              </w:rPr>
              <w:t xml:space="preserve"> (batas dua arah)</w:t>
            </w:r>
          </w:p>
        </w:tc>
        <w:tc>
          <w:tcPr>
            <w:tcW w:type="dxa" w:w="2438"/>
          </w:tcPr>
          <w:p>
            <w:pPr>
              <w:spacing w:after="0"/>
            </w:pPr>
            <w:r/>
            <w:r>
              <w:rPr>
                <w:sz w:val="16"/>
              </w:rPr>
              <w:t>Ketidaksesuaian ke atas dan ke bawah sama-sama merugikan</w:t>
            </w:r>
          </w:p>
        </w:tc>
        <w:tc>
          <w:tcPr>
            <w:tcW w:type="dxa" w:w="2438"/>
          </w:tcPr>
          <w:p>
            <w:pPr>
              <w:spacing w:after="0"/>
            </w:pPr>
            <w:r/>
            <w:r>
              <w:rPr>
                <w:b/>
                <w:sz w:val="16"/>
              </w:rPr>
              <w:t>P5 wanita sampai P95 pria</w:t>
            </w:r>
            <w:r>
              <w:rPr>
                <w:sz w:val="16"/>
              </w:rPr>
              <w:t xml:space="preserve"> (mengakomodasi sekitar 90% sampai 95%)</w:t>
            </w:r>
          </w:p>
        </w:tc>
        <w:tc>
          <w:tcPr>
            <w:tcW w:type="dxa" w:w="2438"/>
          </w:tcPr>
          <w:p>
            <w:pPr>
              <w:spacing w:after="0"/>
            </w:pPr>
            <w:r/>
            <w:r>
              <w:rPr>
                <w:sz w:val="16"/>
              </w:rPr>
              <w:t>Tinggi dudukan kursi kantor, meja sit-stand, lengan monitor, kursi pengemudi</w:t>
            </w:r>
          </w:p>
        </w:tc>
      </w:tr>
      <w:tr>
        <w:tc>
          <w:tcPr>
            <w:tcW w:type="dxa" w:w="2438"/>
          </w:tcPr>
          <w:p>
            <w:pPr>
              <w:spacing w:after="0"/>
            </w:pPr>
            <w:r/>
            <w:r>
              <w:rPr>
                <w:b/>
                <w:sz w:val="16"/>
              </w:rPr>
              <w:t>3. Rata-rata</w:t>
            </w:r>
            <w:r>
              <w:rPr>
                <w:sz w:val="16"/>
              </w:rPr>
              <w:t xml:space="preserve"> (pilihan terakhir)</w:t>
            </w:r>
          </w:p>
        </w:tc>
        <w:tc>
          <w:tcPr>
            <w:tcW w:type="dxa" w:w="2438"/>
          </w:tcPr>
          <w:p>
            <w:pPr>
              <w:spacing w:after="0"/>
            </w:pPr>
            <w:r/>
            <w:r>
              <w:rPr>
                <w:sz w:val="16"/>
              </w:rPr>
              <w:t xml:space="preserve">Penyetelan tidak mungkin; dipakai </w:t>
            </w:r>
            <w:r>
              <w:rPr>
                <w:b/>
                <w:sz w:val="16"/>
              </w:rPr>
              <w:t>sebentar-sebentar</w:t>
            </w:r>
            <w:r>
              <w:rPr>
                <w:sz w:val="16"/>
              </w:rPr>
              <w:t xml:space="preserve"> atau fasilitas umum</w:t>
            </w:r>
          </w:p>
        </w:tc>
        <w:tc>
          <w:tcPr>
            <w:tcW w:type="dxa" w:w="2438"/>
          </w:tcPr>
          <w:p>
            <w:pPr>
              <w:spacing w:after="0"/>
            </w:pPr>
            <w:r/>
            <w:r>
              <w:rPr>
                <w:b/>
                <w:sz w:val="16"/>
              </w:rPr>
              <w:t>P50</w:t>
            </w:r>
          </w:p>
        </w:tc>
        <w:tc>
          <w:tcPr>
            <w:tcW w:type="dxa" w:w="2438"/>
          </w:tcPr>
          <w:p>
            <w:pPr>
              <w:spacing w:after="0"/>
            </w:pPr>
            <w:r/>
            <w:r>
              <w:rPr>
                <w:sz w:val="16"/>
              </w:rPr>
              <w:t>Meja tetap sekitar 720 mm, mimbar sekitar 1.150 mm, diameter gagang. Secara teori 50% terlalu kecil dan 50% terlalu besar</w:t>
            </w:r>
          </w:p>
        </w:tc>
      </w:tr>
    </w:tbl>
    <w:p>
      <w:pPr>
        <w:spacing w:after="40"/>
      </w:pPr>
    </w:p>
    <w:p>
      <w:pPr>
        <w:pStyle w:val="ListBullet"/>
        <w:spacing w:after="20"/>
      </w:pPr>
      <w:r>
        <w:rPr>
          <w:b/>
        </w:rPr>
        <w:t>Langkah aplikasi data</w:t>
      </w:r>
      <w:r>
        <w:rPr/>
        <w:t xml:space="preserve"> (Lampiran 6): tentukan anggota tubuh yang terlibat, dimensi penting (statis atau dinamis), populasi terbesar yang dilayani, prinsip ukuran (ekstrem, penyetelan, rata-rata), persentil, ambil nilai dari tabel, lalu </w:t>
      </w:r>
      <w:r>
        <w:rPr>
          <w:b/>
        </w:rPr>
        <w:t>tambahkan kelonggaran</w:t>
      </w:r>
      <w:r>
        <w:rPr/>
        <w:t xml:space="preserve"> (pakaian tebal, sarung tangan, sepatu, helm). Prinsip umum: </w:t>
      </w:r>
      <w:r>
        <w:rPr>
          <w:b/>
        </w:rPr>
        <w:t>setidaknya 90 sampai 95% populasi sasaran</w:t>
      </w:r>
      <w:r>
        <w:rPr/>
        <w:t xml:space="preserve"> harus dapat memakai produk.</w:t>
      </w:r>
    </w:p>
    <w:p>
      <w:pPr>
        <w:pStyle w:val="Heading3"/>
      </w:pPr>
      <w:r>
        <w:t>7.3 Pemetaan dimensi ke keputusan desain</w:t>
      </w:r>
    </w:p>
    <w:tbl>
      <w:tblPr>
        <w:tblStyle w:val="TableGrid"/>
        <w:tblW w:type="auto" w:w="0"/>
        <w:tblLook w:firstColumn="1" w:firstRow="1" w:lastColumn="0" w:lastRow="0" w:noHBand="0" w:noVBand="1" w:val="04A0"/>
      </w:tblPr>
      <w:tblGrid>
        <w:gridCol w:w="2438"/>
        <w:gridCol w:w="2438"/>
        <w:gridCol w:w="2438"/>
        <w:gridCol w:w="2438"/>
      </w:tblGrid>
      <w:tr>
        <w:tc>
          <w:tcPr>
            <w:tcW w:type="dxa" w:w="2438"/>
            <w:shd w:val="clear" w:color="auto" w:fill="DCE6F1"/>
          </w:tcPr>
          <w:p>
            <w:pPr>
              <w:spacing w:after="0"/>
            </w:pPr>
            <w:r/>
            <w:r>
              <w:rPr>
                <w:b/>
                <w:sz w:val="16"/>
              </w:rPr>
              <w:t>Keputusan desain</w:t>
            </w:r>
          </w:p>
        </w:tc>
        <w:tc>
          <w:tcPr>
            <w:tcW w:type="dxa" w:w="2438"/>
            <w:shd w:val="clear" w:color="auto" w:fill="DCE6F1"/>
          </w:tcPr>
          <w:p>
            <w:pPr>
              <w:spacing w:after="0"/>
            </w:pPr>
            <w:r/>
            <w:r>
              <w:rPr>
                <w:b/>
                <w:sz w:val="16"/>
              </w:rPr>
              <w:t>Dimensi</w:t>
            </w:r>
          </w:p>
        </w:tc>
        <w:tc>
          <w:tcPr>
            <w:tcW w:type="dxa" w:w="2438"/>
            <w:shd w:val="clear" w:color="auto" w:fill="DCE6F1"/>
          </w:tcPr>
          <w:p>
            <w:pPr>
              <w:spacing w:after="0"/>
            </w:pPr>
            <w:r/>
            <w:r>
              <w:rPr>
                <w:b/>
                <w:sz w:val="16"/>
              </w:rPr>
              <w:t>Persentil dan alasan</w:t>
            </w:r>
          </w:p>
        </w:tc>
        <w:tc>
          <w:tcPr>
            <w:tcW w:type="dxa" w:w="2438"/>
            <w:shd w:val="clear" w:color="auto" w:fill="DCE6F1"/>
          </w:tcPr>
          <w:p>
            <w:pPr>
              <w:spacing w:after="0"/>
            </w:pPr>
            <w:r/>
            <w:r>
              <w:rPr>
                <w:b/>
                <w:sz w:val="16"/>
              </w:rPr>
              <w:t>Contoh angka (data Bodyspace/Inggris)</w:t>
            </w:r>
          </w:p>
        </w:tc>
      </w:tr>
      <w:tr>
        <w:tc>
          <w:tcPr>
            <w:tcW w:type="dxa" w:w="2438"/>
          </w:tcPr>
          <w:p>
            <w:pPr>
              <w:spacing w:after="0"/>
            </w:pPr>
            <w:r/>
            <w:r>
              <w:rPr>
                <w:sz w:val="16"/>
              </w:rPr>
              <w:t>Tinggi dudukan kursi</w:t>
            </w:r>
          </w:p>
        </w:tc>
        <w:tc>
          <w:tcPr>
            <w:tcW w:type="dxa" w:w="2438"/>
          </w:tcPr>
          <w:p>
            <w:pPr>
              <w:spacing w:after="0"/>
            </w:pPr>
            <w:r/>
            <w:r>
              <w:rPr>
                <w:b/>
                <w:sz w:val="16"/>
              </w:rPr>
              <w:t>Tinggi popliteal</w:t>
            </w:r>
          </w:p>
        </w:tc>
        <w:tc>
          <w:tcPr>
            <w:tcW w:type="dxa" w:w="2438"/>
          </w:tcPr>
          <w:p>
            <w:pPr>
              <w:spacing w:after="0"/>
            </w:pPr>
            <w:r/>
            <w:r>
              <w:rPr>
                <w:sz w:val="16"/>
              </w:rPr>
              <w:t xml:space="preserve">Dapat disetel: P5 wanita sampai P95 pria. Kursi tetap: </w:t>
            </w:r>
            <w:r>
              <w:rPr>
                <w:b/>
                <w:sz w:val="16"/>
              </w:rPr>
              <w:t>P5 wanita</w:t>
            </w:r>
            <w:r>
              <w:rPr>
                <w:sz w:val="16"/>
              </w:rPr>
              <w:t xml:space="preserve"> (cegah kaki menggantung dan tekanan paha)</w:t>
            </w:r>
          </w:p>
        </w:tc>
        <w:tc>
          <w:tcPr>
            <w:tcW w:type="dxa" w:w="2438"/>
          </w:tcPr>
          <w:p>
            <w:pPr>
              <w:spacing w:after="0"/>
            </w:pPr>
            <w:r/>
            <w:r>
              <w:rPr>
                <w:sz w:val="16"/>
              </w:rPr>
              <w:t>380 sampai 535 mm; kompromi tetap 380 sampai 400 mm</w:t>
            </w:r>
          </w:p>
        </w:tc>
      </w:tr>
      <w:tr>
        <w:tc>
          <w:tcPr>
            <w:tcW w:type="dxa" w:w="2438"/>
          </w:tcPr>
          <w:p>
            <w:pPr>
              <w:spacing w:after="0"/>
            </w:pPr>
            <w:r/>
            <w:r>
              <w:rPr>
                <w:sz w:val="16"/>
              </w:rPr>
              <w:t>Kedalaman dudukan</w:t>
            </w:r>
          </w:p>
        </w:tc>
        <w:tc>
          <w:tcPr>
            <w:tcW w:type="dxa" w:w="2438"/>
          </w:tcPr>
          <w:p>
            <w:pPr>
              <w:spacing w:after="0"/>
            </w:pPr>
            <w:r/>
            <w:r>
              <w:rPr>
                <w:b/>
                <w:sz w:val="16"/>
              </w:rPr>
              <w:t>Panjang bokong-popliteal</w:t>
            </w:r>
          </w:p>
        </w:tc>
        <w:tc>
          <w:tcPr>
            <w:tcW w:type="dxa" w:w="2438"/>
          </w:tcPr>
          <w:p>
            <w:pPr>
              <w:spacing w:after="0"/>
            </w:pPr>
            <w:r/>
            <w:r>
              <w:rPr>
                <w:b/>
                <w:sz w:val="16"/>
              </w:rPr>
              <w:t>P5 wanita</w:t>
            </w:r>
            <w:r>
              <w:rPr>
                <w:sz w:val="16"/>
              </w:rPr>
              <w:t xml:space="preserve"> (cegah tepi menekan lutut, punggung lepas sandaran)</w:t>
            </w:r>
          </w:p>
        </w:tc>
        <w:tc>
          <w:tcPr>
            <w:tcW w:type="dxa" w:w="2438"/>
          </w:tcPr>
          <w:p>
            <w:pPr>
              <w:spacing w:after="0"/>
            </w:pPr>
            <w:r/>
            <w:r>
              <w:rPr>
                <w:sz w:val="16"/>
              </w:rPr>
              <w:t>maksimum sekitar 435 mm</w:t>
            </w:r>
          </w:p>
        </w:tc>
      </w:tr>
      <w:tr>
        <w:tc>
          <w:tcPr>
            <w:tcW w:type="dxa" w:w="2438"/>
          </w:tcPr>
          <w:p>
            <w:pPr>
              <w:spacing w:after="0"/>
            </w:pPr>
            <w:r/>
            <w:r>
              <w:rPr>
                <w:sz w:val="16"/>
              </w:rPr>
              <w:t>Tinggi permukaan kerja</w:t>
            </w:r>
          </w:p>
        </w:tc>
        <w:tc>
          <w:tcPr>
            <w:tcW w:type="dxa" w:w="2438"/>
          </w:tcPr>
          <w:p>
            <w:pPr>
              <w:spacing w:after="0"/>
            </w:pPr>
            <w:r/>
            <w:r>
              <w:rPr>
                <w:b/>
                <w:sz w:val="16"/>
              </w:rPr>
              <w:t>Tinggi siku duduk</w:t>
            </w:r>
          </w:p>
        </w:tc>
        <w:tc>
          <w:tcPr>
            <w:tcW w:type="dxa" w:w="2438"/>
          </w:tcPr>
          <w:p>
            <w:pPr>
              <w:spacing w:after="0"/>
            </w:pPr>
            <w:r/>
            <w:r>
              <w:rPr>
                <w:sz w:val="16"/>
              </w:rPr>
              <w:t>Dapat disetel P5 wanita sampai P95 pria; tetap = kompromi P50</w:t>
            </w:r>
          </w:p>
        </w:tc>
        <w:tc>
          <w:tcPr>
            <w:tcW w:type="dxa" w:w="2438"/>
          </w:tcPr>
          <w:p>
            <w:pPr>
              <w:spacing w:after="0"/>
            </w:pPr>
            <w:r/>
            <w:r>
              <w:rPr>
                <w:sz w:val="16"/>
              </w:rPr>
              <w:t>600 sampai 750 mm; tetap 720 mm</w:t>
            </w:r>
          </w:p>
        </w:tc>
      </w:tr>
      <w:tr>
        <w:tc>
          <w:tcPr>
            <w:tcW w:type="dxa" w:w="2438"/>
          </w:tcPr>
          <w:p>
            <w:pPr>
              <w:spacing w:after="0"/>
            </w:pPr>
            <w:r/>
            <w:r>
              <w:rPr>
                <w:sz w:val="16"/>
              </w:rPr>
              <w:t>Tinggi layar</w:t>
            </w:r>
          </w:p>
        </w:tc>
        <w:tc>
          <w:tcPr>
            <w:tcW w:type="dxa" w:w="2438"/>
          </w:tcPr>
          <w:p>
            <w:pPr>
              <w:spacing w:after="0"/>
            </w:pPr>
            <w:r/>
            <w:r>
              <w:rPr>
                <w:b/>
                <w:sz w:val="16"/>
              </w:rPr>
              <w:t>Tinggi mata duduk</w:t>
            </w:r>
          </w:p>
        </w:tc>
        <w:tc>
          <w:tcPr>
            <w:tcW w:type="dxa" w:w="2438"/>
          </w:tcPr>
          <w:p>
            <w:pPr>
              <w:spacing w:after="0"/>
            </w:pPr>
            <w:r/>
            <w:r>
              <w:rPr>
                <w:sz w:val="16"/>
              </w:rPr>
              <w:t>Dapat disetel (lengan monitor)</w:t>
            </w:r>
          </w:p>
        </w:tc>
        <w:tc>
          <w:tcPr>
            <w:tcW w:type="dxa" w:w="2438"/>
          </w:tcPr>
          <w:p>
            <w:pPr>
              <w:spacing w:after="0"/>
            </w:pPr>
            <w:r/>
            <w:r>
              <w:rPr>
                <w:sz w:val="16"/>
              </w:rPr>
              <w:t>tepi atas layar setinggi mata atau sedikit di bawah</w:t>
            </w:r>
          </w:p>
        </w:tc>
      </w:tr>
      <w:tr>
        <w:tc>
          <w:tcPr>
            <w:tcW w:type="dxa" w:w="2438"/>
          </w:tcPr>
          <w:p>
            <w:pPr>
              <w:spacing w:after="0"/>
            </w:pPr>
            <w:r/>
            <w:r>
              <w:rPr>
                <w:sz w:val="16"/>
              </w:rPr>
              <w:t>Lebar dudukan dan jarak sandaran lengan</w:t>
            </w:r>
          </w:p>
        </w:tc>
        <w:tc>
          <w:tcPr>
            <w:tcW w:type="dxa" w:w="2438"/>
          </w:tcPr>
          <w:p>
            <w:pPr>
              <w:spacing w:after="0"/>
            </w:pPr>
            <w:r/>
            <w:r>
              <w:rPr>
                <w:b/>
                <w:sz w:val="16"/>
              </w:rPr>
              <w:t>Lebar pinggul</w:t>
            </w:r>
          </w:p>
        </w:tc>
        <w:tc>
          <w:tcPr>
            <w:tcW w:type="dxa" w:w="2438"/>
          </w:tcPr>
          <w:p>
            <w:pPr>
              <w:spacing w:after="0"/>
            </w:pPr>
            <w:r/>
            <w:r>
              <w:rPr>
                <w:b/>
                <w:sz w:val="16"/>
              </w:rPr>
              <w:t>P95 wanita</w:t>
            </w:r>
            <w:r>
              <w:rPr>
                <w:sz w:val="16"/>
              </w:rPr>
              <w:t xml:space="preserve"> (pinggul wanita lebih lebar dari pria) + kelonggaran pakaian</w:t>
            </w:r>
          </w:p>
        </w:tc>
        <w:tc>
          <w:tcPr>
            <w:tcW w:type="dxa" w:w="2438"/>
          </w:tcPr>
          <w:p>
            <w:pPr>
              <w:spacing w:after="0"/>
            </w:pPr>
            <w:r/>
            <w:r>
              <w:rPr>
                <w:sz w:val="16"/>
              </w:rPr>
              <w:t>P95 wanita 435 mm vs pria 405 mm; lebar bersih minimal sekitar 500 mm</w:t>
            </w:r>
          </w:p>
        </w:tc>
      </w:tr>
      <w:tr>
        <w:tc>
          <w:tcPr>
            <w:tcW w:type="dxa" w:w="2438"/>
          </w:tcPr>
          <w:p>
            <w:pPr>
              <w:spacing w:after="0"/>
            </w:pPr>
            <w:r/>
            <w:r>
              <w:rPr>
                <w:sz w:val="16"/>
              </w:rPr>
              <w:t>Letak kontrol dan benda</w:t>
            </w:r>
          </w:p>
        </w:tc>
        <w:tc>
          <w:tcPr>
            <w:tcW w:type="dxa" w:w="2438"/>
          </w:tcPr>
          <w:p>
            <w:pPr>
              <w:spacing w:after="0"/>
            </w:pPr>
            <w:r/>
            <w:r>
              <w:rPr>
                <w:b/>
                <w:sz w:val="16"/>
              </w:rPr>
              <w:t>Jangkauan genggam depan</w:t>
            </w:r>
          </w:p>
        </w:tc>
        <w:tc>
          <w:tcPr>
            <w:tcW w:type="dxa" w:w="2438"/>
          </w:tcPr>
          <w:p>
            <w:pPr>
              <w:spacing w:after="0"/>
            </w:pPr>
            <w:r/>
            <w:r>
              <w:rPr>
                <w:b/>
                <w:sz w:val="16"/>
              </w:rPr>
              <w:t>P5 wanita</w:t>
            </w:r>
          </w:p>
        </w:tc>
        <w:tc>
          <w:tcPr>
            <w:tcW w:type="dxa" w:w="2438"/>
          </w:tcPr>
          <w:p>
            <w:pPr>
              <w:spacing w:after="0"/>
            </w:pPr>
            <w:r/>
            <w:r>
              <w:rPr>
                <w:sz w:val="16"/>
              </w:rPr>
              <w:t>sekitar 650 mm</w:t>
            </w:r>
          </w:p>
        </w:tc>
      </w:tr>
      <w:tr>
        <w:tc>
          <w:tcPr>
            <w:tcW w:type="dxa" w:w="2438"/>
          </w:tcPr>
          <w:p>
            <w:pPr>
              <w:spacing w:after="0"/>
            </w:pPr>
            <w:r/>
            <w:r>
              <w:rPr>
                <w:sz w:val="16"/>
              </w:rPr>
              <w:t>Pintu dan langit-langit</w:t>
            </w:r>
          </w:p>
        </w:tc>
        <w:tc>
          <w:tcPr>
            <w:tcW w:type="dxa" w:w="2438"/>
          </w:tcPr>
          <w:p>
            <w:pPr>
              <w:spacing w:after="0"/>
            </w:pPr>
            <w:r/>
            <w:r>
              <w:rPr>
                <w:b/>
                <w:sz w:val="16"/>
              </w:rPr>
              <w:t>Tinggi badan</w:t>
            </w:r>
          </w:p>
        </w:tc>
        <w:tc>
          <w:tcPr>
            <w:tcW w:type="dxa" w:w="2438"/>
          </w:tcPr>
          <w:p>
            <w:pPr>
              <w:spacing w:after="0"/>
            </w:pPr>
            <w:r/>
            <w:r>
              <w:rPr>
                <w:b/>
                <w:sz w:val="16"/>
              </w:rPr>
              <w:t>P95 atau P99 pria</w:t>
            </w:r>
            <w:r>
              <w:rPr>
                <w:sz w:val="16"/>
              </w:rPr>
              <w:t xml:space="preserve"> + sepatu dan helm</w:t>
            </w:r>
          </w:p>
        </w:tc>
        <w:tc>
          <w:tcPr>
            <w:tcW w:type="dxa" w:w="2438"/>
          </w:tcPr>
          <w:p>
            <w:pPr>
              <w:spacing w:after="0"/>
            </w:pPr>
            <w:r/>
            <w:r>
              <w:rPr>
                <w:sz w:val="16"/>
              </w:rPr>
              <w:t>stature P95 pria 1.855 mm; bukaan bersih minimal 2.000 sampai 2.100 mm</w:t>
            </w:r>
          </w:p>
        </w:tc>
      </w:tr>
      <w:tr>
        <w:tc>
          <w:tcPr>
            <w:tcW w:type="dxa" w:w="2438"/>
          </w:tcPr>
          <w:p>
            <w:pPr>
              <w:spacing w:after="0"/>
            </w:pPr>
            <w:r/>
            <w:r>
              <w:rPr>
                <w:sz w:val="16"/>
              </w:rPr>
              <w:t>Lorong, manhole</w:t>
            </w:r>
          </w:p>
        </w:tc>
        <w:tc>
          <w:tcPr>
            <w:tcW w:type="dxa" w:w="2438"/>
          </w:tcPr>
          <w:p>
            <w:pPr>
              <w:spacing w:after="0"/>
            </w:pPr>
            <w:r/>
            <w:r>
              <w:rPr>
                <w:b/>
                <w:sz w:val="16"/>
              </w:rPr>
              <w:t>Lebar bahu (bideltoid)</w:t>
            </w:r>
          </w:p>
        </w:tc>
        <w:tc>
          <w:tcPr>
            <w:tcW w:type="dxa" w:w="2438"/>
          </w:tcPr>
          <w:p>
            <w:pPr>
              <w:spacing w:after="0"/>
            </w:pPr>
            <w:r/>
            <w:r>
              <w:rPr>
                <w:b/>
                <w:sz w:val="16"/>
              </w:rPr>
              <w:t>P95 atau P99 pria</w:t>
            </w:r>
            <w:r>
              <w:rPr>
                <w:sz w:val="16"/>
              </w:rPr>
              <w:t xml:space="preserve"> + pakaian atau APD</w:t>
            </w:r>
          </w:p>
        </w:tc>
        <w:tc>
          <w:tcPr>
            <w:tcW w:type="dxa" w:w="2438"/>
          </w:tcPr>
          <w:p>
            <w:pPr>
              <w:spacing w:after="0"/>
            </w:pPr>
            <w:r/>
            <w:r>
              <w:rPr>
                <w:sz w:val="16"/>
              </w:rPr>
              <w:t>ruang bebas minimal sekitar 600 sampai 700 mm</w:t>
            </w:r>
          </w:p>
        </w:tc>
      </w:tr>
    </w:tbl>
    <w:p>
      <w:pPr>
        <w:spacing w:after="40"/>
      </w:pPr>
    </w:p>
    <w:p>
      <w:pPr>
        <w:pStyle w:val="ListBullet"/>
        <w:spacing w:after="20"/>
      </w:pPr>
      <w:r>
        <w:rPr>
          <w:b/>
        </w:rPr>
        <w:t>Lampiran 6 (kerja berdiri dan duduk)</w:t>
      </w:r>
      <w:r>
        <w:rPr/>
        <w:t xml:space="preserve">: tinggi badan populasi dibagi </w:t>
      </w:r>
      <w:r>
        <w:rPr>
          <w:b/>
        </w:rPr>
        <w:t>4 grup</w:t>
      </w:r>
      <w:r>
        <w:rPr/>
        <w:t xml:space="preserve">: grup 1 wanita terkecil (5% terkecil), grup 2 rerata wanita dan pria terkecil, grup 3 wanita terbesar dan rerata pria, grup 4 pria terbesar (5% terbesar). Tinggi area kerja optimum bila semua dipertimbangkan sekitar </w:t>
      </w:r>
      <w:r>
        <w:rPr>
          <w:b/>
        </w:rPr>
        <w:t>102,5 cm</w:t>
      </w:r>
      <w:r>
        <w:rPr/>
        <w:t xml:space="preserve"> (tinggi siku berdiri rerata pria). Pekerjaan teliti perlu landasan lebih tinggi (grup 1 sampai 4: 100, 110, 115, 130 cm), kerja sedang (90, 100, 105, 115 cm), kerja ringan inspeksi (80, 90, 95, 105 cm).</w:t>
      </w:r>
    </w:p>
    <w:p>
      <w:pPr>
        <w:pStyle w:val="ListBullet"/>
        <w:spacing w:after="20"/>
      </w:pPr>
      <w:r>
        <w:rPr>
          <w:b/>
        </w:rPr>
        <w:t>Zona jangkauan stasiun duduk</w:t>
      </w:r>
      <w:r>
        <w:rPr/>
        <w:t xml:space="preserve"> (Lampiran 6, Gambar B2): area sering dipakai </w:t>
      </w:r>
      <w:r>
        <w:rPr>
          <w:b/>
        </w:rPr>
        <w:t>25 cm</w:t>
      </w:r>
      <w:r>
        <w:rPr/>
        <w:t xml:space="preserve">, jarang dipakai </w:t>
      </w:r>
      <w:r>
        <w:rPr>
          <w:b/>
        </w:rPr>
        <w:t>50 cm</w:t>
      </w:r>
      <w:r>
        <w:rPr/>
        <w:t xml:space="preserve">, jangkauan optimal </w:t>
      </w:r>
      <w:r>
        <w:rPr>
          <w:b/>
        </w:rPr>
        <w:t>100 cm</w:t>
      </w:r>
      <w:r>
        <w:rPr/>
        <w:t xml:space="preserve">, jangkauan maksimal </w:t>
      </w:r>
      <w:r>
        <w:rPr>
          <w:b/>
        </w:rPr>
        <w:t>160 cm</w:t>
      </w:r>
      <w:r>
        <w:rPr/>
        <w:t>.</w:t>
      </w:r>
    </w:p>
    <w:p>
      <w:pPr>
        <w:keepNext/>
        <w:jc w:val="center"/>
      </w:pPr>
      <w:r>
        <w:drawing>
          <wp:inline xmlns:a="http://schemas.openxmlformats.org/drawingml/2006/main" xmlns:pic="http://schemas.openxmlformats.org/drawingml/2006/picture">
            <wp:extent cx="4680000" cy="2809180"/>
            <wp:docPr id="3" name="Picture 3"/>
            <wp:cNvGraphicFramePr>
              <a:graphicFrameLocks noChangeAspect="1"/>
            </wp:cNvGraphicFramePr>
            <a:graphic>
              <a:graphicData uri="http://schemas.openxmlformats.org/drawingml/2006/picture">
                <pic:pic>
                  <pic:nvPicPr>
                    <pic:cNvPr id="0" name="A_gambar-B2_zona-jangkauan-stasiun-duduk.png"/>
                    <pic:cNvPicPr/>
                  </pic:nvPicPr>
                  <pic:blipFill>
                    <a:blip r:embed="rId12"/>
                    <a:stretch>
                      <a:fillRect/>
                    </a:stretch>
                  </pic:blipFill>
                  <pic:spPr>
                    <a:xfrm>
                      <a:off x="0" y="0"/>
                      <a:ext cx="4680000" cy="2809180"/>
                    </a:xfrm>
                    <a:prstGeom prst="rect"/>
                  </pic:spPr>
                </pic:pic>
              </a:graphicData>
            </a:graphic>
          </wp:inline>
        </w:drawing>
      </w:r>
    </w:p>
    <w:p>
      <w:pPr>
        <w:jc w:val="center"/>
      </w:pPr>
      <w:r>
        <w:rPr>
          <w:i/>
          <w:sz w:val="17"/>
        </w:rPr>
        <w:t>Gambar B2 Lampiran 6 Permenaker 5/2018: zona jangkauan stasiun kerja duduk. A area sering dipakai (25 cm); B area jarang dipakai (50 cm); C letak peralatan; D jangkauan optimal (100 cm); E jangkauan maksimal (160 cm).</w:t>
      </w:r>
    </w:p>
    <w:p>
      <w:pPr>
        <w:pStyle w:val="ListBullet"/>
        <w:spacing w:after="20"/>
      </w:pPr>
      <w:r>
        <w:rPr/>
        <w:t xml:space="preserve">Tinggi landasan kerja </w:t>
      </w:r>
      <w:r>
        <w:rPr>
          <w:b/>
        </w:rPr>
        <w:t>berdiri</w:t>
      </w:r>
      <w:r>
        <w:rPr/>
        <w:t xml:space="preserve"> berdasar tinggi siku berdiri: pekerjaan teliti </w:t>
      </w:r>
      <w:r>
        <w:rPr>
          <w:b/>
        </w:rPr>
        <w:t>5 sampai 10 cm di atas</w:t>
      </w:r>
      <w:r>
        <w:rPr/>
        <w:t xml:space="preserve"> siku; kerja manual dengan banyak alat atau kontainer </w:t>
      </w:r>
      <w:r>
        <w:rPr>
          <w:b/>
        </w:rPr>
        <w:t>5 sampai 10 cm di bawah</w:t>
      </w:r>
      <w:r>
        <w:rPr/>
        <w:t xml:space="preserve">; pekerjaan penekanan kuat </w:t>
      </w:r>
      <w:r>
        <w:rPr>
          <w:b/>
        </w:rPr>
        <w:t>10 sampai 15 cm di bawah</w:t>
      </w:r>
      <w:r>
        <w:rPr/>
        <w:t>.</w:t>
      </w:r>
    </w:p>
    <w:p>
      <w:pPr>
        <w:pStyle w:val="Heading3"/>
      </w:pPr>
      <w:r>
        <w:t>7.4 Keterbatasan pendekatan P5 sampai P95 dan data Indonesia</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Keterbatasan</w:t>
            </w:r>
          </w:p>
        </w:tc>
        <w:tc>
          <w:tcPr>
            <w:tcW w:type="dxa" w:w="8050"/>
            <w:shd w:val="clear" w:color="auto" w:fill="DCE6F1"/>
          </w:tcPr>
          <w:p>
            <w:pPr>
              <w:spacing w:after="0"/>
            </w:pPr>
            <w:r/>
            <w:r>
              <w:rPr>
                <w:b/>
                <w:sz w:val="18"/>
              </w:rPr>
              <w:t>Isi</w:t>
            </w:r>
          </w:p>
        </w:tc>
      </w:tr>
      <w:tr>
        <w:tc>
          <w:tcPr>
            <w:tcW w:type="dxa" w:w="1701"/>
          </w:tcPr>
          <w:p>
            <w:pPr>
              <w:spacing w:after="0"/>
            </w:pPr>
            <w:r/>
            <w:r>
              <w:rPr>
                <w:b/>
                <w:sz w:val="18"/>
              </w:rPr>
              <w:t>Masalah multivariat</w:t>
            </w:r>
          </w:p>
        </w:tc>
        <w:tc>
          <w:tcPr>
            <w:tcW w:type="dxa" w:w="8050"/>
          </w:tcPr>
          <w:p>
            <w:pPr>
              <w:spacing w:after="0"/>
            </w:pPr>
            <w:r/>
            <w:r>
              <w:rPr>
                <w:sz w:val="18"/>
              </w:rPr>
              <w:t xml:space="preserve">Satu dimensi: P5 sampai P95 mengeksklusi 10%. Karena korelasi antar dimensi rendah, eksklusi menumpuk: pada </w:t>
            </w:r>
            <w:r>
              <w:rPr>
                <w:b/>
                <w:sz w:val="18"/>
              </w:rPr>
              <w:t>13 dimensi</w:t>
            </w:r>
            <w:r>
              <w:rPr>
                <w:sz w:val="18"/>
              </w:rPr>
              <w:t xml:space="preserve"> sekaligus, proporsi populasi yang dieksklusi mencapai sekitar </w:t>
            </w:r>
            <w:r>
              <w:rPr>
                <w:b/>
                <w:sz w:val="18"/>
              </w:rPr>
              <w:t>52%</w:t>
            </w:r>
            <w:r>
              <w:rPr>
                <w:sz w:val="18"/>
              </w:rPr>
              <w:t xml:space="preserve"> (Cornell/Bodyspace)</w:t>
            </w:r>
          </w:p>
        </w:tc>
      </w:tr>
      <w:tr>
        <w:tc>
          <w:tcPr>
            <w:tcW w:type="dxa" w:w="1701"/>
          </w:tcPr>
          <w:p>
            <w:pPr>
              <w:spacing w:after="0"/>
            </w:pPr>
            <w:r/>
            <w:r>
              <w:rPr>
                <w:b/>
                <w:sz w:val="18"/>
              </w:rPr>
              <w:t>Mitos manusia rata-rata</w:t>
            </w:r>
          </w:p>
        </w:tc>
        <w:tc>
          <w:tcPr>
            <w:tcW w:type="dxa" w:w="8050"/>
          </w:tcPr>
          <w:p>
            <w:pPr>
              <w:spacing w:after="0"/>
            </w:pPr>
            <w:r/>
            <w:r>
              <w:rPr>
                <w:sz w:val="18"/>
              </w:rPr>
              <w:t>Daniels (1952), lebih dari 4.000 personel militer: rata-rata pada 1 dimensi 26%; pada 3 dimensi hanya 3,5%; 7 dimensi 0,2%; 10 dimensi 0% (tidak ada)</w:t>
            </w:r>
          </w:p>
        </w:tc>
      </w:tr>
      <w:tr>
        <w:tc>
          <w:tcPr>
            <w:tcW w:type="dxa" w:w="1701"/>
          </w:tcPr>
          <w:p>
            <w:pPr>
              <w:spacing w:after="0"/>
            </w:pPr>
            <w:r/>
            <w:r>
              <w:rPr>
                <w:b/>
                <w:sz w:val="18"/>
              </w:rPr>
              <w:t>Korelasi rendah</w:t>
            </w:r>
          </w:p>
        </w:tc>
        <w:tc>
          <w:tcPr>
            <w:tcW w:type="dxa" w:w="8050"/>
          </w:tcPr>
          <w:p>
            <w:pPr>
              <w:spacing w:after="0"/>
            </w:pPr>
            <w:r/>
            <w:r>
              <w:rPr>
                <w:sz w:val="18"/>
              </w:rPr>
              <w:t>Hampir semua korelasi antar dimensi tubuh r kurang dari 0,4 (McConville &amp; Churchill 1976); manekin gabungan P95 14 segmen menghasilkan stature 2.022 mm, melebihi P95 sebenarnya (1.722 mm) dan orang tertinggi sampel</w:t>
            </w:r>
          </w:p>
        </w:tc>
      </w:tr>
      <w:tr>
        <w:tc>
          <w:tcPr>
            <w:tcW w:type="dxa" w:w="1701"/>
          </w:tcPr>
          <w:p>
            <w:pPr>
              <w:spacing w:after="0"/>
            </w:pPr>
            <w:r/>
            <w:r>
              <w:rPr>
                <w:b/>
                <w:sz w:val="18"/>
              </w:rPr>
              <w:t>Etnis</w:t>
            </w:r>
          </w:p>
        </w:tc>
        <w:tc>
          <w:tcPr>
            <w:tcW w:type="dxa" w:w="8050"/>
          </w:tcPr>
          <w:p>
            <w:pPr>
              <w:spacing w:after="0"/>
            </w:pPr>
            <w:r/>
            <w:r>
              <w:rPr>
                <w:sz w:val="18"/>
              </w:rPr>
              <w:t xml:space="preserve">Orang Asia (Jepang, Tiongkok, Korea, Thai, Vietnam) cenderung </w:t>
            </w:r>
            <w:r>
              <w:rPr>
                <w:b/>
                <w:sz w:val="18"/>
              </w:rPr>
              <w:t>tungkai relatif lebih pendek</w:t>
            </w:r>
            <w:r>
              <w:rPr>
                <w:sz w:val="18"/>
              </w:rPr>
              <w:t xml:space="preserve"> (relative sitting height tinggi); populasi Afrika tungkai relatif panjang. Lampiran 6: kaukasoid cenderung dimensi lebih panjang dibanding </w:t>
            </w:r>
            <w:r>
              <w:rPr>
                <w:b/>
                <w:sz w:val="18"/>
              </w:rPr>
              <w:t>mongoloid (termasuk Indonesia)</w:t>
            </w:r>
          </w:p>
        </w:tc>
      </w:tr>
      <w:tr>
        <w:tc>
          <w:tcPr>
            <w:tcW w:type="dxa" w:w="1701"/>
          </w:tcPr>
          <w:p>
            <w:pPr>
              <w:spacing w:after="0"/>
            </w:pPr>
            <w:r/>
            <w:r>
              <w:rPr>
                <w:b/>
                <w:sz w:val="18"/>
              </w:rPr>
              <w:t>Tren sekuler</w:t>
            </w:r>
          </w:p>
        </w:tc>
        <w:tc>
          <w:tcPr>
            <w:tcW w:type="dxa" w:w="8050"/>
          </w:tcPr>
          <w:p>
            <w:pPr>
              <w:spacing w:after="0"/>
            </w:pPr>
            <w:r/>
            <w:r>
              <w:rPr>
                <w:sz w:val="18"/>
              </w:rPr>
              <w:t xml:space="preserve">Tinggi dewasa naik sekitar 10 mm per dekade di Eropa dan Amerika Utara pada abad ke-20; berat badan dan obesitas naik pesat. Data lama menjadi kedaluwarsa dan </w:t>
            </w:r>
            <w:r>
              <w:rPr>
                <w:b/>
                <w:sz w:val="18"/>
              </w:rPr>
              <w:t>meremehkan</w:t>
            </w:r>
            <w:r>
              <w:rPr>
                <w:sz w:val="18"/>
              </w:rPr>
              <w:t xml:space="preserve"> ruang bebas dan lebar dudukan</w:t>
            </w:r>
          </w:p>
        </w:tc>
      </w:tr>
      <w:tr>
        <w:tc>
          <w:tcPr>
            <w:tcW w:type="dxa" w:w="1701"/>
          </w:tcPr>
          <w:p>
            <w:pPr>
              <w:spacing w:after="0"/>
            </w:pPr>
            <w:r/>
            <w:r>
              <w:rPr>
                <w:b/>
                <w:sz w:val="18"/>
              </w:rPr>
              <w:t>Jenis kelamin</w:t>
            </w:r>
          </w:p>
        </w:tc>
        <w:tc>
          <w:tcPr>
            <w:tcW w:type="dxa" w:w="8050"/>
          </w:tcPr>
          <w:p>
            <w:pPr>
              <w:spacing w:after="0"/>
            </w:pPr>
            <w:r/>
            <w:r>
              <w:rPr>
                <w:sz w:val="18"/>
              </w:rPr>
              <w:t xml:space="preserve">Pria lebih besar di hampir semua dimensi, </w:t>
            </w:r>
            <w:r>
              <w:rPr>
                <w:b/>
                <w:sz w:val="18"/>
              </w:rPr>
              <w:t>kecuali lebar pinggul dan lemak subkutan</w:t>
            </w:r>
            <w:r>
              <w:rPr>
                <w:sz w:val="18"/>
              </w:rPr>
              <w:t xml:space="preserve"> (wanita lebih besar). Lampiran 6: kekuatan fisik wanita sekitar 2/3 pria, VO2 max 15 sampai 30% lebih rendah</w:t>
            </w:r>
          </w:p>
        </w:tc>
      </w:tr>
      <w:tr>
        <w:tc>
          <w:tcPr>
            <w:tcW w:type="dxa" w:w="1701"/>
          </w:tcPr>
          <w:p>
            <w:pPr>
              <w:spacing w:after="0"/>
            </w:pPr>
            <w:r/>
            <w:r>
              <w:rPr>
                <w:b/>
                <w:sz w:val="18"/>
              </w:rPr>
              <w:t>Usia</w:t>
            </w:r>
          </w:p>
        </w:tc>
        <w:tc>
          <w:tcPr>
            <w:tcW w:type="dxa" w:w="8050"/>
          </w:tcPr>
          <w:p>
            <w:pPr>
              <w:spacing w:after="0"/>
            </w:pPr>
            <w:r/>
            <w:r>
              <w:rPr>
                <w:sz w:val="18"/>
              </w:rPr>
              <w:t>Tinggi menyusut mulai sekitar 40 tahun (diskus), lebih cepat pada wanita; Lampiran 6: ukuran tubuh tetap setelah sekitar 20 tahun (pria), 17 tahun (wanita), menyusut setelah sekitar 60 tahun</w:t>
            </w:r>
          </w:p>
        </w:tc>
      </w:tr>
      <w:tr>
        <w:tc>
          <w:tcPr>
            <w:tcW w:type="dxa" w:w="1701"/>
          </w:tcPr>
          <w:p>
            <w:pPr>
              <w:spacing w:after="0"/>
            </w:pPr>
            <w:r/>
            <w:r>
              <w:rPr>
                <w:b/>
                <w:sz w:val="18"/>
              </w:rPr>
              <w:t>Pekerjaan dan olahraga</w:t>
            </w:r>
          </w:p>
        </w:tc>
        <w:tc>
          <w:tcPr>
            <w:tcW w:type="dxa" w:w="8050"/>
          </w:tcPr>
          <w:p>
            <w:pPr>
              <w:spacing w:after="0"/>
            </w:pPr>
            <w:r/>
            <w:r>
              <w:rPr>
                <w:sz w:val="18"/>
              </w:rPr>
              <w:t>Otot yang sering bekerja membesar; dimensi buruh berbeda dari populasi umum (Lampiran 6)</w:t>
            </w:r>
          </w:p>
        </w:tc>
      </w:tr>
      <w:tr>
        <w:tc>
          <w:tcPr>
            <w:tcW w:type="dxa" w:w="1701"/>
          </w:tcPr>
          <w:p>
            <w:pPr>
              <w:spacing w:after="0"/>
            </w:pPr>
            <w:r/>
            <w:r>
              <w:rPr>
                <w:b/>
                <w:sz w:val="18"/>
              </w:rPr>
              <w:t>Data militer vs sipil</w:t>
            </w:r>
          </w:p>
        </w:tc>
        <w:tc>
          <w:tcPr>
            <w:tcW w:type="dxa" w:w="8050"/>
          </w:tcPr>
          <w:p>
            <w:pPr>
              <w:spacing w:after="0"/>
            </w:pPr>
            <w:r/>
            <w:r>
              <w:rPr>
                <w:sz w:val="18"/>
              </w:rPr>
              <w:t>Data militer (seleksi fisik, usia muda) tidak boleh langsung dipakai untuk pekerja sipil</w:t>
            </w:r>
          </w:p>
        </w:tc>
      </w:tr>
    </w:tbl>
    <w:p>
      <w:pPr>
        <w:spacing w:after="40"/>
      </w:pPr>
    </w:p>
    <w:p>
      <w:pPr>
        <w:pStyle w:val="ListBullet"/>
        <w:spacing w:after="20"/>
      </w:pPr>
      <w:r>
        <w:rPr>
          <w:b/>
        </w:rPr>
        <w:t>Data antropometri Indonesia</w:t>
      </w:r>
      <w:r>
        <w:rPr/>
        <w:t xml:space="preserve">: buku Bodyspace dan LaDou </w:t>
      </w:r>
      <w:r>
        <w:rPr>
          <w:b/>
        </w:rPr>
        <w:t>tidak memuat</w:t>
      </w:r>
      <w:r>
        <w:rPr/>
        <w:t xml:space="preserve"> data populasi Indonesia (yang ada: Inggris, Swedia, Belanda, Prancis, Polandia, AS, Brasil, Sri Lanka, India, Hong Kong, Jepang). Stature rerata pria Inggris 1.740 mm (P5 1.625, P95 1.855), pria AS 1.755 mm, pria India 1.620 mm (P5 1.540), pria Sri Lanka 1.640 mm. Mendesain untuk pekerja Indonesia dengan data Kaukasia berisiko: kaki menggantung, jangkauan terlalu jauh, dudukan terlalu dalam.</w:t>
      </w:r>
    </w:p>
    <w:p>
      <w:pPr>
        <w:pStyle w:val="ListBullet"/>
        <w:spacing w:after="20"/>
      </w:pPr>
      <w:r>
        <w:rPr>
          <w:b/>
        </w:rPr>
        <w:t>Pendekatan praktis</w:t>
      </w:r>
      <w:r>
        <w:rPr/>
        <w:t>: ukur langsung sampel pekerja perusahaan (</w:t>
      </w:r>
      <w:r>
        <w:rPr>
          <w:i/>
        </w:rPr>
        <w:t>head counting</w:t>
      </w:r>
      <w:r>
        <w:rPr/>
        <w:t xml:space="preserve">) seperti diminta Lampiran 6, atau </w:t>
      </w:r>
      <w:r>
        <w:rPr>
          <w:i/>
        </w:rPr>
        <w:t>ratio scaling</w:t>
      </w:r>
      <w:r>
        <w:rPr/>
        <w:t xml:space="preserve"> dari populasi Asia terdekat (Pheasant).</w:t>
      </w: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Rumus yang dipakai ujian: X_p = mean + (z x SD); P5 = mean - 1,64 SD; P95 = mean + 1,64 SD. Kata kunci: clearance = P95 pria; jangkauan = P5 wanita; yang dapat disetel = P5 wanita sampai P95 pria; rata-rata = pilihan terakhir.</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DE0DC"/>
          </w:tcPr>
          <w:p>
            <w:r/>
            <w:r>
              <w:rPr>
                <w:sz w:val="19"/>
              </w:rPr>
              <w:t>CATATAN SUMBER: Data Indonesia nasional tidak ada di notebook. Pencarian web hanya menemukan studi kecil lokal (misalnya sampel 9 sampai 30 pekerja), tidak ada tabel nasional terverifikasi, sehingga tidak ada angka antropometri Indonesia yang dikutip. Butir F6 outline tetap terbuka. Angka Daniels, McConville dan Churchill, serta tren sekuler dikutip dari jawaban NotebookLM atas Bodyspace dan sebaiknya dicek ke bab 2 dan 3 buku sebelum dihafal sampai angka desimal. Perhatikan: angka 52% pada 13 dimensi lebih kecil dari batas independen (1 - 0,9^13 = 74,6%) karena dimensi berkorelasi sebagian; ini kesimpulan hitung penulis, bukan kutipan sumber.</w:t>
            </w:r>
          </w:p>
        </w:tc>
      </w:tr>
    </w:tbl>
    <w:p>
      <w:pPr>
        <w:spacing w:after="40"/>
      </w:pPr>
    </w:p>
    <w:p>
      <w:pPr>
        <w:pStyle w:val="Heading2"/>
      </w:pPr>
      <w:r>
        <w:t>A.8 Alat penilaian</w:t>
      </w:r>
    </w:p>
    <w:p>
      <w:pPr>
        <w:pStyle w:val="Heading3"/>
      </w:pPr>
      <w:r>
        <w:t>Sudah ada di catatan lama (tidak diulang)</w:t>
      </w:r>
    </w:p>
    <w:p>
      <w:pPr>
        <w:pStyle w:val="ListBullet"/>
        <w:spacing w:after="20"/>
      </w:pPr>
      <w:r>
        <w:rPr>
          <w:b/>
        </w:rPr>
        <w:t>ROSA, RULA, REBA, OWAS, NIOSH Lifting Equation, OCRA, BRIEF Survey</w:t>
      </w:r>
      <w:r>
        <w:rPr/>
        <w:t>: lihat catatan 'Catatan_JSA - Job Safety Analysis', bagian B (ROSA ada di bagian 9: rumus, action level skor 5 atau lebih, reliabilitas, evaluasi longitudinal) dan bagian C (matriks pembeda antar alat).</w:t>
      </w:r>
    </w:p>
    <w:p>
      <w:pPr>
        <w:pStyle w:val="Heading3"/>
      </w:pPr>
      <w:r>
        <w:t>Alat tambahan yang belum ada di catatan lama</w:t>
      </w:r>
    </w:p>
    <w:tbl>
      <w:tblPr>
        <w:tblStyle w:val="TableGrid"/>
        <w:tblW w:type="auto" w:w="0"/>
        <w:tblLook w:firstColumn="1" w:firstRow="1" w:lastColumn="0" w:lastRow="0" w:noHBand="0" w:noVBand="1" w:val="04A0"/>
      </w:tblPr>
      <w:tblGrid>
        <w:gridCol w:w="3251"/>
        <w:gridCol w:w="3251"/>
        <w:gridCol w:w="3251"/>
      </w:tblGrid>
      <w:tr>
        <w:tc>
          <w:tcPr>
            <w:tcW w:type="dxa" w:w="3251"/>
            <w:shd w:val="clear" w:color="auto" w:fill="DCE6F1"/>
          </w:tcPr>
          <w:p>
            <w:pPr>
              <w:spacing w:after="0"/>
            </w:pPr>
            <w:r/>
            <w:r>
              <w:rPr>
                <w:b/>
                <w:sz w:val="18"/>
              </w:rPr>
              <w:t>Alat</w:t>
            </w:r>
          </w:p>
        </w:tc>
        <w:tc>
          <w:tcPr>
            <w:tcW w:type="dxa" w:w="3251"/>
            <w:shd w:val="clear" w:color="auto" w:fill="DCE6F1"/>
          </w:tcPr>
          <w:p>
            <w:pPr>
              <w:spacing w:after="0"/>
            </w:pPr>
            <w:r/>
            <w:r>
              <w:rPr>
                <w:b/>
                <w:sz w:val="18"/>
              </w:rPr>
              <w:t>Isi</w:t>
            </w:r>
          </w:p>
        </w:tc>
        <w:tc>
          <w:tcPr>
            <w:tcW w:type="dxa" w:w="3251"/>
            <w:shd w:val="clear" w:color="auto" w:fill="DCE6F1"/>
          </w:tcPr>
          <w:p>
            <w:pPr>
              <w:spacing w:after="0"/>
            </w:pPr>
            <w:r/>
            <w:r>
              <w:rPr>
                <w:b/>
                <w:sz w:val="18"/>
              </w:rPr>
              <w:t>Skor dan interpretasi</w:t>
            </w:r>
          </w:p>
        </w:tc>
      </w:tr>
      <w:tr>
        <w:tc>
          <w:tcPr>
            <w:tcW w:type="dxa" w:w="3251"/>
          </w:tcPr>
          <w:p>
            <w:pPr>
              <w:spacing w:after="0"/>
            </w:pPr>
            <w:r/>
            <w:r>
              <w:rPr>
                <w:b/>
                <w:sz w:val="18"/>
              </w:rPr>
              <w:t>Checklist OSHA computer workstation</w:t>
            </w:r>
          </w:p>
        </w:tc>
        <w:tc>
          <w:tcPr>
            <w:tcW w:type="dxa" w:w="3251"/>
          </w:tcPr>
          <w:p>
            <w:pPr>
              <w:spacing w:after="0"/>
            </w:pPr>
            <w:r/>
            <w:r>
              <w:rPr>
                <w:sz w:val="18"/>
              </w:rPr>
              <w:t>Kriteria: tepi atas monitor setinggi atau sedikit di bawah mata, kepala dan leher seimbang, punggung bawah tersangga, bahu rileks, siku dekat badan dan tersangga, pergelangan lurus, telapak kaki rata, ruang cukup untuk keyboard dan mouse</w:t>
            </w:r>
          </w:p>
        </w:tc>
        <w:tc>
          <w:tcPr>
            <w:tcW w:type="dxa" w:w="3251"/>
          </w:tcPr>
          <w:p>
            <w:pPr>
              <w:spacing w:after="0"/>
            </w:pPr>
            <w:r/>
            <w:r>
              <w:rPr>
                <w:b/>
                <w:sz w:val="18"/>
              </w:rPr>
              <w:t>Kualitatif, tanpa skor</w:t>
            </w:r>
            <w:r>
              <w:rPr>
                <w:sz w:val="18"/>
              </w:rPr>
              <w:t>; setiap kriteria yang tidak terpenuhi = bahaya ergonomi yang perlu dikoreksi</w:t>
            </w:r>
          </w:p>
        </w:tc>
      </w:tr>
      <w:tr>
        <w:tc>
          <w:tcPr>
            <w:tcW w:type="dxa" w:w="3251"/>
          </w:tcPr>
          <w:p>
            <w:pPr>
              <w:spacing w:after="0"/>
            </w:pPr>
            <w:r/>
            <w:r>
              <w:rPr>
                <w:b/>
                <w:sz w:val="18"/>
              </w:rPr>
              <w:t>Checklist VDU HSE (Inggris)</w:t>
            </w:r>
          </w:p>
        </w:tc>
        <w:tc>
          <w:tcPr>
            <w:tcW w:type="dxa" w:w="3251"/>
          </w:tcPr>
          <w:p>
            <w:pPr>
              <w:spacing w:after="0"/>
            </w:pPr>
            <w:r/>
            <w:r>
              <w:rPr>
                <w:sz w:val="18"/>
              </w:rPr>
              <w:t xml:space="preserve">Instrumen penilaian risiko berdasar </w:t>
            </w:r>
            <w:r>
              <w:rPr>
                <w:i/>
                <w:sz w:val="18"/>
              </w:rPr>
              <w:t>Display Screen Equipment Regulations</w:t>
            </w:r>
            <w:r>
              <w:rPr>
                <w:sz w:val="18"/>
              </w:rPr>
              <w:t xml:space="preserve"> (EU Directive 90/270/EEC): stasiun kerja, meja, kursi, perangkat input, pencahayaan, kenyamanan</w:t>
            </w:r>
          </w:p>
        </w:tc>
        <w:tc>
          <w:tcPr>
            <w:tcW w:type="dxa" w:w="3251"/>
          </w:tcPr>
          <w:p>
            <w:pPr>
              <w:spacing w:after="0"/>
            </w:pPr>
            <w:r/>
            <w:r>
              <w:rPr>
                <w:sz w:val="18"/>
              </w:rPr>
              <w:t>Kualitatif</w:t>
            </w:r>
          </w:p>
        </w:tc>
      </w:tr>
      <w:tr>
        <w:tc>
          <w:tcPr>
            <w:tcW w:type="dxa" w:w="3251"/>
          </w:tcPr>
          <w:p>
            <w:pPr>
              <w:spacing w:after="0"/>
            </w:pPr>
            <w:r/>
            <w:r>
              <w:rPr>
                <w:b/>
                <w:sz w:val="18"/>
              </w:rPr>
              <w:t>TCO "Office Checker"</w:t>
            </w:r>
            <w:r>
              <w:rPr>
                <w:sz w:val="18"/>
              </w:rPr>
              <w:t xml:space="preserve"> (Andersson dkk. 2000)</w:t>
            </w:r>
          </w:p>
        </w:tc>
        <w:tc>
          <w:tcPr>
            <w:tcW w:type="dxa" w:w="3251"/>
          </w:tcPr>
          <w:p>
            <w:pPr>
              <w:spacing w:after="0"/>
            </w:pPr>
            <w:r/>
            <w:r>
              <w:rPr>
                <w:sz w:val="18"/>
              </w:rPr>
              <w:t>Evaluasi tempat kerja kantor</w:t>
            </w:r>
          </w:p>
        </w:tc>
        <w:tc>
          <w:tcPr>
            <w:tcW w:type="dxa" w:w="3251"/>
          </w:tcPr>
          <w:p>
            <w:pPr>
              <w:spacing w:after="0"/>
            </w:pPr>
            <w:r/>
            <w:r>
              <w:rPr>
                <w:sz w:val="18"/>
              </w:rPr>
              <w:t>Kualitatif</w:t>
            </w:r>
          </w:p>
        </w:tc>
      </w:tr>
      <w:tr>
        <w:tc>
          <w:tcPr>
            <w:tcW w:type="dxa" w:w="3251"/>
          </w:tcPr>
          <w:p>
            <w:pPr>
              <w:spacing w:after="0"/>
            </w:pPr>
            <w:r/>
            <w:r>
              <w:rPr>
                <w:b/>
                <w:sz w:val="18"/>
              </w:rPr>
              <w:t>Strain Index</w:t>
            </w:r>
            <w:r>
              <w:rPr>
                <w:sz w:val="18"/>
              </w:rPr>
              <w:t xml:space="preserve"> (Moore &amp; Garg)</w:t>
            </w:r>
          </w:p>
        </w:tc>
        <w:tc>
          <w:tcPr>
            <w:tcW w:type="dxa" w:w="3251"/>
          </w:tcPr>
          <w:p>
            <w:pPr>
              <w:spacing w:after="0"/>
            </w:pPr>
            <w:r/>
            <w:r>
              <w:rPr>
                <w:sz w:val="18"/>
              </w:rPr>
              <w:t>Enam variabel ekstremitas atas distal: intensitas, durasi, frekuensi pengerahan, postur tangan/pergelangan, kecepatan, durasi per hari</w:t>
            </w:r>
          </w:p>
        </w:tc>
        <w:tc>
          <w:tcPr>
            <w:tcW w:type="dxa" w:w="3251"/>
          </w:tcPr>
          <w:p>
            <w:pPr>
              <w:spacing w:after="0"/>
            </w:pPr>
            <w:r/>
            <w:r>
              <w:rPr>
                <w:sz w:val="18"/>
              </w:rPr>
              <w:t xml:space="preserve">Variabel </w:t>
            </w:r>
            <w:r>
              <w:rPr>
                <w:b/>
                <w:sz w:val="18"/>
              </w:rPr>
              <w:t>dikalikan</w:t>
            </w:r>
            <w:r>
              <w:rPr>
                <w:sz w:val="18"/>
              </w:rPr>
              <w:t xml:space="preserve">; skor </w:t>
            </w:r>
            <w:r>
              <w:rPr>
                <w:b/>
                <w:sz w:val="18"/>
              </w:rPr>
              <w:t>7 atau lebih</w:t>
            </w:r>
            <w:r>
              <w:rPr>
                <w:sz w:val="18"/>
              </w:rPr>
              <w:t xml:space="preserve"> = risiko tinggi, picu investigasi dan intervensi</w:t>
            </w:r>
          </w:p>
        </w:tc>
      </w:tr>
      <w:tr>
        <w:tc>
          <w:tcPr>
            <w:tcW w:type="dxa" w:w="3251"/>
          </w:tcPr>
          <w:p>
            <w:pPr>
              <w:spacing w:after="0"/>
            </w:pPr>
            <w:r/>
            <w:r>
              <w:rPr>
                <w:b/>
                <w:sz w:val="18"/>
              </w:rPr>
              <w:t>ACGIH Hand Activity Level (HAL)</w:t>
            </w:r>
          </w:p>
        </w:tc>
        <w:tc>
          <w:tcPr>
            <w:tcW w:type="dxa" w:w="3251"/>
          </w:tcPr>
          <w:p>
            <w:pPr>
              <w:spacing w:after="0"/>
            </w:pPr>
            <w:r/>
            <w:r>
              <w:rPr>
                <w:b/>
                <w:sz w:val="18"/>
              </w:rPr>
              <w:t>HAL</w:t>
            </w:r>
            <w:r>
              <w:rPr>
                <w:sz w:val="18"/>
              </w:rPr>
              <w:t xml:space="preserve"> 0 sampai 10 (frekuensi gerak dan </w:t>
            </w:r>
            <w:r>
              <w:rPr>
                <w:i/>
                <w:sz w:val="18"/>
              </w:rPr>
              <w:t>duty cycle</w:t>
            </w:r>
            <w:r>
              <w:rPr>
                <w:sz w:val="18"/>
              </w:rPr>
              <w:t xml:space="preserve">) dan </w:t>
            </w:r>
            <w:r>
              <w:rPr>
                <w:b/>
                <w:sz w:val="18"/>
              </w:rPr>
              <w:t>Normalized Peak Force</w:t>
            </w:r>
            <w:r>
              <w:rPr>
                <w:sz w:val="18"/>
              </w:rPr>
              <w:t xml:space="preserve"> 0 sampai 10</w:t>
            </w:r>
          </w:p>
        </w:tc>
        <w:tc>
          <w:tcPr>
            <w:tcW w:type="dxa" w:w="3251"/>
          </w:tcPr>
          <w:p>
            <w:pPr>
              <w:spacing w:after="0"/>
            </w:pPr>
            <w:r/>
            <w:r>
              <w:rPr>
                <w:sz w:val="18"/>
              </w:rPr>
              <w:t xml:space="preserve">Diplot pada grafik </w:t>
            </w:r>
            <w:r>
              <w:rPr>
                <w:b/>
                <w:sz w:val="18"/>
              </w:rPr>
              <w:t>TLV dan Action Limit</w:t>
            </w:r>
          </w:p>
        </w:tc>
      </w:tr>
    </w:tbl>
    <w:p>
      <w:pPr>
        <w:spacing w:after="40"/>
      </w:pPr>
    </w:p>
    <w:tbl>
      <w:tblPr>
        <w:tblStyle w:val="TableGrid"/>
        <w:tblW w:type="auto" w:w="0"/>
        <w:tblLook w:firstColumn="1" w:firstRow="1" w:lastColumn="0" w:lastRow="0" w:noHBand="0" w:noVBand="1" w:val="04A0"/>
      </w:tblPr>
      <w:tblGrid>
        <w:gridCol w:w="9752"/>
      </w:tblGrid>
      <w:tr>
        <w:tc>
          <w:tcPr>
            <w:tcW w:type="dxa" w:w="9752"/>
            <w:shd w:val="clear" w:color="auto" w:fill="FFF2CC"/>
          </w:tcPr>
          <w:p>
            <w:r/>
            <w:r>
              <w:rPr>
                <w:sz w:val="19"/>
              </w:rPr>
              <w:t>Clinical pearl: Untuk soal "alat penilaian ergonomi kantor": ROSA (kursi, monitor/telepon, mouse/keyboard; skor akhir 1 sampai 10, action level 5 atau lebih). Checklist OSHA dan HSE bersifat kualitatif tanpa skor.</w:t>
            </w:r>
          </w:p>
        </w:tc>
      </w:tr>
    </w:tbl>
    <w:p>
      <w:pPr>
        <w:spacing w:after="40"/>
      </w:pPr>
    </w:p>
    <w:p>
      <w:pPr>
        <w:pStyle w:val="Heading2"/>
      </w:pPr>
      <w:r>
        <w:t>A.9 Rangkuman: soal yang pernah keluar, latihan hitung, soal vignette</w:t>
      </w:r>
    </w:p>
    <w:p>
      <w:pPr>
        <w:pStyle w:val="Heading3"/>
      </w:pPr>
      <w:r>
        <w:t>Soal yang pernah keluar dan jawaban target</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Soal board</w:t>
            </w:r>
          </w:p>
        </w:tc>
        <w:tc>
          <w:tcPr>
            <w:tcW w:type="dxa" w:w="8050"/>
            <w:shd w:val="clear" w:color="auto" w:fill="DCE6F1"/>
          </w:tcPr>
          <w:p>
            <w:pPr>
              <w:spacing w:after="0"/>
            </w:pPr>
            <w:r/>
            <w:r>
              <w:rPr>
                <w:b/>
                <w:sz w:val="18"/>
              </w:rPr>
              <w:t>Jawaban target</w:t>
            </w:r>
          </w:p>
        </w:tc>
      </w:tr>
      <w:tr>
        <w:tc>
          <w:tcPr>
            <w:tcW w:type="dxa" w:w="1701"/>
          </w:tcPr>
          <w:p>
            <w:pPr>
              <w:spacing w:after="0"/>
            </w:pPr>
            <w:r/>
            <w:r>
              <w:rPr>
                <w:sz w:val="18"/>
              </w:rPr>
              <w:t>Jarak monitor dari mata</w:t>
            </w:r>
          </w:p>
        </w:tc>
        <w:tc>
          <w:tcPr>
            <w:tcW w:type="dxa" w:w="8050"/>
          </w:tcPr>
          <w:p>
            <w:pPr>
              <w:spacing w:after="0"/>
            </w:pPr>
            <w:r/>
            <w:r>
              <w:rPr>
                <w:b/>
                <w:sz w:val="18"/>
              </w:rPr>
              <w:t>45 sampai 60 cm (Permenaker 5/2018 Lampiran 6)</w:t>
            </w:r>
            <w:r>
              <w:rPr>
                <w:sz w:val="18"/>
              </w:rPr>
              <w:t>; literatur: minimal 50 cm, kisaran 50 sampai 100 cm (OSHA), paling nyaman 75 sampai 80 cm (Bodyspace), LaDou 48 sampai 72 cm</w:t>
            </w:r>
          </w:p>
        </w:tc>
      </w:tr>
      <w:tr>
        <w:tc>
          <w:tcPr>
            <w:tcW w:type="dxa" w:w="1701"/>
          </w:tcPr>
          <w:p>
            <w:pPr>
              <w:spacing w:after="0"/>
            </w:pPr>
            <w:r/>
            <w:r>
              <w:rPr>
                <w:sz w:val="18"/>
              </w:rPr>
              <w:t>Tinggi tepi atas monitor</w:t>
            </w:r>
          </w:p>
        </w:tc>
        <w:tc>
          <w:tcPr>
            <w:tcW w:type="dxa" w:w="8050"/>
          </w:tcPr>
          <w:p>
            <w:pPr>
              <w:spacing w:after="0"/>
            </w:pPr>
            <w:r/>
            <w:r>
              <w:rPr>
                <w:sz w:val="18"/>
              </w:rPr>
              <w:t>Setinggi atau sedikit di bawah garis mata; pusat layar di bawah garis horizontal mata (ISO 0 sampai 15 derajat; sampai 30 derajat dapat diterima); bifokal: 30 sampai 45 derajat di bawah</w:t>
            </w:r>
          </w:p>
        </w:tc>
      </w:tr>
      <w:tr>
        <w:tc>
          <w:tcPr>
            <w:tcW w:type="dxa" w:w="1701"/>
          </w:tcPr>
          <w:p>
            <w:pPr>
              <w:spacing w:after="0"/>
            </w:pPr>
            <w:r/>
            <w:r>
              <w:rPr>
                <w:sz w:val="18"/>
              </w:rPr>
              <w:t>Posisi monitor terhadap jendela</w:t>
            </w:r>
          </w:p>
        </w:tc>
        <w:tc>
          <w:tcPr>
            <w:tcW w:type="dxa" w:w="8050"/>
          </w:tcPr>
          <w:p>
            <w:pPr>
              <w:spacing w:after="0"/>
            </w:pPr>
            <w:r/>
            <w:r>
              <w:rPr>
                <w:sz w:val="18"/>
              </w:rPr>
              <w:t>Tegak lurus (90 derajat) jendela, lebih dari 2 m; tidak menghadap (silau langsung) dan tidak membelakangi (silau pantulan) jendela</w:t>
            </w:r>
          </w:p>
        </w:tc>
      </w:tr>
      <w:tr>
        <w:tc>
          <w:tcPr>
            <w:tcW w:type="dxa" w:w="1701"/>
          </w:tcPr>
          <w:p>
            <w:pPr>
              <w:spacing w:after="0"/>
            </w:pPr>
            <w:r/>
            <w:r>
              <w:rPr>
                <w:sz w:val="18"/>
              </w:rPr>
              <w:t>Posisi pergelangan saat mengetik</w:t>
            </w:r>
          </w:p>
        </w:tc>
        <w:tc>
          <w:tcPr>
            <w:tcW w:type="dxa" w:w="8050"/>
          </w:tcPr>
          <w:p>
            <w:pPr>
              <w:spacing w:after="0"/>
            </w:pPr>
            <w:r/>
            <w:r>
              <w:rPr>
                <w:sz w:val="18"/>
              </w:rPr>
              <w:t>Netral, lurus sejajar lengan bawah; hindari ekstensi, fleksi, deviasi ulnar/radial; siku sekitar 90 derajat</w:t>
            </w:r>
          </w:p>
        </w:tc>
      </w:tr>
      <w:tr>
        <w:tc>
          <w:tcPr>
            <w:tcW w:type="dxa" w:w="1701"/>
          </w:tcPr>
          <w:p>
            <w:pPr>
              <w:spacing w:after="0"/>
            </w:pPr>
            <w:r/>
            <w:r>
              <w:rPr>
                <w:sz w:val="18"/>
              </w:rPr>
              <w:t>Kecukupan pencahayaan</w:t>
            </w:r>
          </w:p>
        </w:tc>
        <w:tc>
          <w:tcPr>
            <w:tcW w:type="dxa" w:w="8050"/>
          </w:tcPr>
          <w:p>
            <w:pPr>
              <w:spacing w:after="0"/>
            </w:pPr>
            <w:r/>
            <w:r>
              <w:rPr>
                <w:sz w:val="18"/>
              </w:rPr>
              <w:t>Permenaker 5/2018 Lampiran 2: kantor menulis dan membaca 300 lux; mengetik/kantor lama 500 sampai 1.000 lux; ukur 0,75 m dari lantai; ruang komputer sekitar 500 lux dengan rasio layar maksimal 1:3</w:t>
            </w:r>
          </w:p>
        </w:tc>
      </w:tr>
      <w:tr>
        <w:tc>
          <w:tcPr>
            <w:tcW w:type="dxa" w:w="1701"/>
          </w:tcPr>
          <w:p>
            <w:pPr>
              <w:spacing w:after="0"/>
            </w:pPr>
            <w:r/>
            <w:r>
              <w:rPr>
                <w:sz w:val="18"/>
              </w:rPr>
              <w:t>Tinggi kursi ditentukan antropometri apa</w:t>
            </w:r>
          </w:p>
        </w:tc>
        <w:tc>
          <w:tcPr>
            <w:tcW w:type="dxa" w:w="8050"/>
          </w:tcPr>
          <w:p>
            <w:pPr>
              <w:spacing w:after="0"/>
            </w:pPr>
            <w:r/>
            <w:r>
              <w:rPr>
                <w:b/>
                <w:sz w:val="18"/>
              </w:rPr>
              <w:t>Tinggi popliteal</w:t>
            </w:r>
            <w:r>
              <w:rPr>
                <w:sz w:val="18"/>
              </w:rPr>
              <w:t>; kursi yang dapat disetel P5 wanita sampai P95 pria (380 sampai 535 mm), kursi tetap P5 wanita</w:t>
            </w:r>
          </w:p>
        </w:tc>
      </w:tr>
      <w:tr>
        <w:tc>
          <w:tcPr>
            <w:tcW w:type="dxa" w:w="1701"/>
          </w:tcPr>
          <w:p>
            <w:pPr>
              <w:spacing w:after="0"/>
            </w:pPr>
            <w:r/>
            <w:r>
              <w:rPr>
                <w:sz w:val="18"/>
              </w:rPr>
              <w:t>Clearance (pintu, manhole)</w:t>
            </w:r>
          </w:p>
        </w:tc>
        <w:tc>
          <w:tcPr>
            <w:tcW w:type="dxa" w:w="8050"/>
          </w:tcPr>
          <w:p>
            <w:pPr>
              <w:spacing w:after="0"/>
            </w:pPr>
            <w:r/>
            <w:r>
              <w:rPr>
                <w:sz w:val="18"/>
              </w:rPr>
              <w:t xml:space="preserve">Untuk </w:t>
            </w:r>
            <w:r>
              <w:rPr>
                <w:b/>
                <w:sz w:val="18"/>
              </w:rPr>
              <w:t>pekerja terbesar</w:t>
            </w:r>
            <w:r>
              <w:rPr>
                <w:sz w:val="18"/>
              </w:rPr>
              <w:t xml:space="preserve">: persentil 95 (atau 99) </w:t>
            </w:r>
            <w:r>
              <w:rPr>
                <w:b/>
                <w:sz w:val="18"/>
              </w:rPr>
              <w:t>pria</w:t>
            </w:r>
            <w:r>
              <w:rPr>
                <w:sz w:val="18"/>
              </w:rPr>
              <w:t>, ditambah kelonggaran APD, sepatu, helm</w:t>
            </w:r>
          </w:p>
        </w:tc>
      </w:tr>
    </w:tbl>
    <w:p>
      <w:pPr>
        <w:spacing w:after="40"/>
      </w:pPr>
    </w:p>
    <w:p>
      <w:pPr>
        <w:pStyle w:val="Heading3"/>
      </w:pPr>
      <w:r>
        <w:t>Latihan hitung (rumus, substitusi, hasil, interpretasi)</w:t>
      </w:r>
    </w:p>
    <w:p>
      <w:pPr>
        <w:spacing w:after="80"/>
      </w:pPr>
      <w:r>
        <w:rPr>
          <w:b/>
        </w:rPr>
        <w:t>1. Persentil tinggi popliteal.</w:t>
      </w:r>
      <w:r>
        <w:rPr/>
        <w:t xml:space="preserve"> Rerata unisex dewasa bersepatu 455 mm, SD 30 mm.</w:t>
      </w:r>
    </w:p>
    <w:p>
      <w:pPr>
        <w:pStyle w:val="ListBullet"/>
        <w:spacing w:after="20"/>
      </w:pPr>
      <w:r>
        <w:rPr/>
        <w:t>Rumus: X_p = mean + (z x SD). P5: z = -1,64; P95: z = +1,64.</w:t>
      </w:r>
    </w:p>
    <w:p>
      <w:pPr>
        <w:pStyle w:val="ListBullet"/>
        <w:spacing w:after="20"/>
      </w:pPr>
      <w:r>
        <w:rPr/>
        <w:t xml:space="preserve">P5 = 455 - (1,64 x 30) = 455 - 49,2 = </w:t>
      </w:r>
      <w:r>
        <w:rPr>
          <w:b/>
        </w:rPr>
        <w:t>405,8 mm</w:t>
      </w:r>
      <w:r>
        <w:rPr/>
        <w:t xml:space="preserve">. P95 = 455 + 49,2 = </w:t>
      </w:r>
      <w:r>
        <w:rPr>
          <w:b/>
        </w:rPr>
        <w:t>504,2 mm</w:t>
      </w:r>
      <w:r>
        <w:rPr/>
        <w:t>.</w:t>
      </w:r>
    </w:p>
    <w:p>
      <w:pPr>
        <w:pStyle w:val="ListBullet"/>
        <w:spacing w:after="20"/>
      </w:pPr>
      <w:r>
        <w:rPr/>
        <w:t>Interpretasi: kursi dapat disetel harus mencakup sekitar 406 sampai 504 mm untuk 90% populasi ini. (Rentang Bodyspace 380 sampai 535 mm lebih lebar karena memakai P5 wanita dan P95 pria, bukan campuran.)</w:t>
      </w:r>
    </w:p>
    <w:p>
      <w:pPr>
        <w:spacing w:after="80"/>
      </w:pPr>
      <w:r>
        <w:rPr>
          <w:b/>
        </w:rPr>
        <w:t>2. SD dan P99 dari data pria.</w:t>
      </w:r>
      <w:r>
        <w:rPr/>
        <w:t xml:space="preserve"> Stature pria rerata 1.740 mm, P95 1.855 mm.</w:t>
      </w:r>
    </w:p>
    <w:p>
      <w:pPr>
        <w:pStyle w:val="ListBullet"/>
        <w:spacing w:after="20"/>
      </w:pPr>
      <w:r>
        <w:rPr/>
        <w:t xml:space="preserve">SD = (P95 - mean) / z = (1.855 - 1.740) / 1,64 = 115 / 1,64 = </w:t>
      </w:r>
      <w:r>
        <w:rPr>
          <w:b/>
        </w:rPr>
        <w:t>70,1 mm</w:t>
      </w:r>
      <w:r>
        <w:rPr/>
        <w:t>.</w:t>
      </w:r>
    </w:p>
    <w:p>
      <w:pPr>
        <w:pStyle w:val="ListBullet"/>
        <w:spacing w:after="20"/>
      </w:pPr>
      <w:r>
        <w:rPr/>
        <w:t xml:space="preserve">P99 = 1.740 + (2,33 x 70,1) = 1.740 + 163,3 = </w:t>
      </w:r>
      <w:r>
        <w:rPr>
          <w:b/>
        </w:rPr>
        <w:t>1.903 mm</w:t>
      </w:r>
      <w:r>
        <w:rPr/>
        <w:t>.</w:t>
      </w:r>
    </w:p>
    <w:p>
      <w:pPr>
        <w:pStyle w:val="ListBullet"/>
        <w:spacing w:after="20"/>
      </w:pPr>
      <w:r>
        <w:rPr/>
        <w:t xml:space="preserve">Kosen pintu darurat: 1.903 + 30 (sepatu) + 35 (helm) = 1.968 mm. Bukaan bersih minimal dibulatkan </w:t>
      </w:r>
      <w:r>
        <w:rPr>
          <w:b/>
        </w:rPr>
        <w:t>2.000 mm atau lebih</w:t>
      </w:r>
      <w:r>
        <w:rPr/>
        <w:t xml:space="preserve"> (sumber: 2.000 sampai 2.100 mm).</w:t>
      </w:r>
    </w:p>
    <w:p>
      <w:pPr>
        <w:pStyle w:val="ListBullet"/>
        <w:spacing w:after="20"/>
      </w:pPr>
      <w:r>
        <w:rPr/>
        <w:t>Interpretasi: clearance memakai persentil besar pria, bukan rata-rata.</w:t>
      </w:r>
    </w:p>
    <w:p>
      <w:pPr>
        <w:spacing w:after="80"/>
      </w:pPr>
      <w:r>
        <w:rPr>
          <w:b/>
        </w:rPr>
        <w:t>3. Eksklusi pada banyak dimensi.</w:t>
      </w:r>
      <w:r>
        <w:rPr/>
        <w:t xml:space="preserve"> Jika P5 sampai P95 dipakai pada 13 dimensi yang saling bebas:</w:t>
      </w:r>
    </w:p>
    <w:p>
      <w:pPr>
        <w:pStyle w:val="ListBullet"/>
        <w:spacing w:after="20"/>
      </w:pPr>
      <w:r>
        <w:rPr/>
        <w:t xml:space="preserve">Proporsi terakomodasi = 0,90^13 = 0,254; dieksklusi = 1 - 0,254 = </w:t>
      </w:r>
      <w:r>
        <w:rPr>
          <w:b/>
        </w:rPr>
        <w:t>74,6%</w:t>
      </w:r>
      <w:r>
        <w:rPr/>
        <w:t>.</w:t>
      </w:r>
    </w:p>
    <w:p>
      <w:pPr>
        <w:pStyle w:val="ListBullet"/>
        <w:spacing w:after="20"/>
      </w:pPr>
      <w:r>
        <w:rPr/>
        <w:t xml:space="preserve">Sumber melaporkan sekitar 52% karena dimensi berkorelasi sebagian. Interpretasi: P5 sampai P95 per dimensi </w:t>
      </w:r>
      <w:r>
        <w:rPr>
          <w:b/>
        </w:rPr>
        <w:t>tidak</w:t>
      </w:r>
      <w:r>
        <w:rPr/>
        <w:t xml:space="preserve"> berarti 90% pengguna terakomodasi pada desain multidimensi.</w:t>
      </w:r>
    </w:p>
    <w:p>
      <w:pPr>
        <w:spacing w:after="80"/>
      </w:pPr>
      <w:r>
        <w:rPr>
          <w:b/>
        </w:rPr>
        <w:t>4. Konversi jarak monitor.</w:t>
      </w:r>
      <w:r>
        <w:rPr/>
        <w:t xml:space="preserve"> 20 inci x 2,54 = 50,8 cm; 40 inci x 2,54 = </w:t>
      </w:r>
      <w:r>
        <w:rPr>
          <w:b/>
        </w:rPr>
        <w:t>101,6 cm</w:t>
      </w:r>
      <w:r>
        <w:rPr/>
        <w:t>. Jadi 20 sampai 40 inci setara 50 sampai 100 cm.</w:t>
      </w:r>
    </w:p>
    <w:p>
      <w:pPr>
        <w:spacing w:after="80"/>
      </w:pPr>
      <w:r>
        <w:rPr>
          <w:b/>
        </w:rPr>
        <w:t>5. Kecukupan lux.</w:t>
      </w:r>
      <w:r>
        <w:rPr/>
        <w:t xml:space="preserve"> Staf arsip yang bergantian menulis dan membaca, luxmeter pada 0,75 m dari lantai membaca 250 lux.</w:t>
      </w:r>
    </w:p>
    <w:p>
      <w:pPr>
        <w:pStyle w:val="ListBullet"/>
        <w:spacing w:after="20"/>
      </w:pPr>
      <w:r>
        <w:rPr/>
        <w:t xml:space="preserve">Standar: Permenaker 5/2018 Lampiran 2 baris 6 = </w:t>
      </w:r>
      <w:r>
        <w:rPr>
          <w:b/>
        </w:rPr>
        <w:t>300 lux</w:t>
      </w:r>
      <w:r>
        <w:rPr/>
        <w:t>.</w:t>
      </w:r>
    </w:p>
    <w:p>
      <w:pPr>
        <w:pStyle w:val="ListBullet"/>
        <w:spacing w:after="20"/>
      </w:pPr>
      <w:r>
        <w:rPr/>
        <w:t xml:space="preserve">250 &lt; 300: </w:t>
      </w:r>
      <w:r>
        <w:rPr>
          <w:b/>
        </w:rPr>
        <w:t>tidak memenuhi</w:t>
      </w:r>
      <w:r>
        <w:rPr/>
        <w:t>; kurang 50 lux. Tindakan: tambah atau ganti armatur, lampu meja terarah, periksa distribusi (grid) dan silau. Bila stafnya mengetik lama atau pembukuan, standarnya baris 7 (500 sampai 1.000 lux).</w:t>
      </w:r>
    </w:p>
    <w:p>
      <w:pPr>
        <w:spacing w:after="80"/>
      </w:pPr>
      <w:r>
        <w:rPr>
          <w:b/>
        </w:rPr>
        <w:t>6. Tinggi bangku kerja duduk (Lampiran 6).</w:t>
      </w:r>
      <w:r>
        <w:rPr/>
        <w:t xml:space="preserve"> Pria: 550 + 25 + 25 = </w:t>
      </w:r>
      <w:r>
        <w:rPr>
          <w:b/>
        </w:rPr>
        <w:t>600 mm</w:t>
      </w:r>
      <w:r>
        <w:rPr/>
        <w:t xml:space="preserve">. Wanita: 540 + 40 + 25 = </w:t>
      </w:r>
      <w:r>
        <w:rPr>
          <w:b/>
        </w:rPr>
        <w:t>645 mm</w:t>
      </w:r>
      <w:r>
        <w:rPr/>
        <w:t>.</w:t>
      </w:r>
    </w:p>
    <w:p>
      <w:pPr>
        <w:pStyle w:val="Heading3"/>
      </w:pPr>
      <w:r>
        <w:t>Soal vignette (MCQ)</w:t>
      </w:r>
    </w:p>
    <w:p>
      <w:pPr>
        <w:spacing w:after="80"/>
      </w:pPr>
      <w:r>
        <w:rPr>
          <w:b/>
        </w:rPr>
        <w:t>Soal 1.</w:t>
      </w:r>
      <w:r>
        <w:rPr/>
        <w:t xml:space="preserve"> Seorang staf administrasi (7 jam per hari di depan komputer) mengeluh mata perih, kabur menjelang sore, dan sakit kepala di belakang kepala. Monitornya diletakkan menghadap langsung jendela besar tanpa tirai; tepi atas layar setinggi mata. Perbaikan yang paling tepat adalah:</w:t>
      </w:r>
    </w:p>
    <w:p>
      <w:pPr>
        <w:pStyle w:val="ListBullet"/>
        <w:spacing w:after="20"/>
      </w:pPr>
      <w:r>
        <w:rPr/>
        <w:t>A. Mengganti monitor dengan layar yang lebih terang</w:t>
      </w:r>
    </w:p>
    <w:p>
      <w:pPr>
        <w:pStyle w:val="ListBullet"/>
        <w:spacing w:after="20"/>
      </w:pPr>
      <w:r>
        <w:rPr/>
        <w:t>B. Memutar posisi layar tegak lurus jendela, menjauhkannya lebih dari 2 m, dan memasang tirai</w:t>
      </w:r>
    </w:p>
    <w:p>
      <w:pPr>
        <w:pStyle w:val="ListBullet"/>
        <w:spacing w:after="20"/>
      </w:pPr>
      <w:r>
        <w:rPr/>
        <w:t>C. Menurunkan monitor 45 derajat di bawah mata</w:t>
      </w:r>
    </w:p>
    <w:p>
      <w:pPr>
        <w:pStyle w:val="ListBullet"/>
        <w:spacing w:after="20"/>
      </w:pPr>
      <w:r>
        <w:rPr/>
        <w:t>D. Memindahkan monitor membelakangi jendela</w:t>
      </w:r>
    </w:p>
    <w:p>
      <w:pPr>
        <w:pStyle w:val="ListBullet"/>
        <w:spacing w:after="20"/>
      </w:pPr>
      <w:r>
        <w:rPr/>
        <w:t>E. Menambah iluminasi ruangan hingga 1.000 lux</w:t>
      </w:r>
    </w:p>
    <w:p>
      <w:pPr>
        <w:spacing w:after="80"/>
      </w:pPr>
      <w:r>
        <w:rPr>
          <w:b/>
        </w:rPr>
        <w:t>Soal 2.</w:t>
      </w:r>
      <w:r>
        <w:rPr/>
        <w:t xml:space="preserve"> Perusahaan mendesain stasiun kerja kantor dan hendak menentukan </w:t>
      </w:r>
      <w:r>
        <w:rPr>
          <w:b/>
        </w:rPr>
        <w:t>kedalaman dudukan kursi tetap</w:t>
      </w:r>
      <w:r>
        <w:rPr/>
        <w:t xml:space="preserve"> untuk seluruh karyawan campuran pria dan wanita. Dimensi dan persentil yang dipakai adalah:</w:t>
      </w:r>
    </w:p>
    <w:p>
      <w:pPr>
        <w:pStyle w:val="ListBullet"/>
        <w:spacing w:after="20"/>
      </w:pPr>
      <w:r>
        <w:rPr/>
        <w:t>A. Tinggi popliteal, P95 pria</w:t>
      </w:r>
    </w:p>
    <w:p>
      <w:pPr>
        <w:pStyle w:val="ListBullet"/>
        <w:spacing w:after="20"/>
      </w:pPr>
      <w:r>
        <w:rPr/>
        <w:t>B. Panjang bokong-popliteal, P5 wanita</w:t>
      </w:r>
    </w:p>
    <w:p>
      <w:pPr>
        <w:pStyle w:val="ListBullet"/>
        <w:spacing w:after="20"/>
      </w:pPr>
      <w:r>
        <w:rPr/>
        <w:t>C. Panjang bokong-popliteal, P95 pria</w:t>
      </w:r>
    </w:p>
    <w:p>
      <w:pPr>
        <w:pStyle w:val="ListBullet"/>
        <w:spacing w:after="20"/>
      </w:pPr>
      <w:r>
        <w:rPr/>
        <w:t>D. Lebar pinggul, P5 wanita</w:t>
      </w:r>
    </w:p>
    <w:p>
      <w:pPr>
        <w:pStyle w:val="ListBullet"/>
        <w:spacing w:after="20"/>
      </w:pPr>
      <w:r>
        <w:rPr/>
        <w:t>E. Tinggi siku duduk, P50</w:t>
      </w:r>
    </w:p>
    <w:p>
      <w:pPr>
        <w:spacing w:after="80"/>
      </w:pPr>
      <w:r>
        <w:rPr>
          <w:b/>
        </w:rPr>
        <w:t>Soal 3.</w:t>
      </w:r>
      <w:r>
        <w:rPr/>
        <w:t xml:space="preserve"> Seorang wanita (tinggi badan 156 cm) bekerja di meja kerja tetap setinggi 72 cm. Agar siku sejajar keyboard, kursi dinaikkan, tetapi kakinya menggantung, tungkai bawah bengkak dan kesemutan sore hari. Intervensi yang paling tepat adalah:</w:t>
      </w:r>
    </w:p>
    <w:p>
      <w:pPr>
        <w:pStyle w:val="ListBullet"/>
        <w:spacing w:after="20"/>
      </w:pPr>
      <w:r>
        <w:rPr/>
        <w:t>A. Menurunkan kursi hingga siku di bawah meja</w:t>
      </w:r>
    </w:p>
    <w:p>
      <w:pPr>
        <w:pStyle w:val="ListBullet"/>
        <w:spacing w:after="20"/>
      </w:pPr>
      <w:r>
        <w:rPr/>
        <w:t>B. Mengganti kursi dengan sandaran tinggi</w:t>
      </w:r>
    </w:p>
    <w:p>
      <w:pPr>
        <w:pStyle w:val="ListBullet"/>
        <w:spacing w:after="20"/>
      </w:pPr>
      <w:r>
        <w:rPr/>
        <w:t>C. Menyediakan injakan kaki (footrest) yang kokoh, miring, dan dapat disetel</w:t>
      </w:r>
    </w:p>
    <w:p>
      <w:pPr>
        <w:pStyle w:val="ListBullet"/>
        <w:spacing w:after="20"/>
      </w:pPr>
      <w:r>
        <w:rPr/>
        <w:t>D. Memberi wrist rest setebal 5 cm</w:t>
      </w:r>
    </w:p>
    <w:p>
      <w:pPr>
        <w:pStyle w:val="ListBullet"/>
        <w:spacing w:after="20"/>
      </w:pPr>
      <w:r>
        <w:rPr/>
        <w:t>E. Menyarankan berdiri 8 jam per hari</w:t>
      </w:r>
    </w:p>
    <w:p>
      <w:pPr>
        <w:spacing w:after="80"/>
      </w:pPr>
      <w:r>
        <w:rPr>
          <w:b/>
        </w:rPr>
        <w:t>Kunci dan pembahasan</w:t>
      </w:r>
    </w:p>
    <w:p>
      <w:pPr>
        <w:pStyle w:val="ListBullet"/>
        <w:spacing w:after="20"/>
      </w:pPr>
      <w:r>
        <w:rPr>
          <w:b/>
        </w:rPr>
        <w:t>Soal 1: B.</w:t>
      </w:r>
      <w:r>
        <w:rPr/>
        <w:t xml:space="preserve"> Pekerja menghadap jendela menimbulkan silau langsung dan kontras ekstrem. Layar dipasang tegak lurus (90 derajat) jendela, lebih dari 2 m, dengan tirai. (A memperparah kontras; C untuk bifokal; D menimbulkan silau pantulan pada layar; E menambah silau.)</w:t>
      </w:r>
    </w:p>
    <w:p>
      <w:pPr>
        <w:pStyle w:val="ListBullet"/>
        <w:spacing w:after="20"/>
      </w:pPr>
      <w:r>
        <w:rPr>
          <w:b/>
        </w:rPr>
        <w:t>Soal 2: B.</w:t>
      </w:r>
      <w:r>
        <w:rPr/>
        <w:t xml:space="preserve"> Kedalaman dudukan dibatasi panjang bokong-popliteal terpendek, yaitu </w:t>
      </w:r>
      <w:r>
        <w:rPr>
          <w:b/>
        </w:rPr>
        <w:t>P5 wanita</w:t>
      </w:r>
      <w:r>
        <w:rPr/>
        <w:t xml:space="preserve"> (maksimum sekitar 435 mm), supaya tepi kursi tidak menekan fosa poplitea. (A dan C memakai ekstrem yang salah; D dan E tidak menentukan kedalaman dudukan.)</w:t>
      </w:r>
    </w:p>
    <w:p>
      <w:pPr>
        <w:pStyle w:val="ListBullet"/>
        <w:spacing w:after="20"/>
      </w:pPr>
      <w:r>
        <w:rPr>
          <w:b/>
        </w:rPr>
        <w:t>Soal 3: C.</w:t>
      </w:r>
      <w:r>
        <w:rPr/>
        <w:t xml:space="preserve"> Kaki menggantung menyebabkan tekanan popliteal dan edema. Meja tetap + pekerja pendek (sekitar 160 cm atau kurang) = indikasi footrest kokoh, miring, dapat disetel. (A membuat bahu terangkat atau lengan salah posisi; D memperburuk contact stress; E melanggar prinsip variasi postur, bukan berdiri terus.)</w:t>
      </w:r>
    </w:p>
    <w:p>
      <w:pPr>
        <w:pStyle w:val="Heading2"/>
      </w:pPr>
      <w:r>
        <w:t>A.10 Catatan kualitas dan sumber</w:t>
      </w:r>
    </w:p>
    <w:tbl>
      <w:tblPr>
        <w:tblStyle w:val="TableGrid"/>
        <w:tblW w:type="auto" w:w="0"/>
        <w:tblLook w:firstColumn="1" w:firstRow="1" w:lastColumn="0" w:lastRow="0" w:noHBand="0" w:noVBand="1" w:val="04A0"/>
      </w:tblPr>
      <w:tblGrid>
        <w:gridCol w:w="4876"/>
        <w:gridCol w:w="4876"/>
      </w:tblGrid>
      <w:tr>
        <w:tc>
          <w:tcPr>
            <w:tcW w:type="dxa" w:w="1701"/>
            <w:shd w:val="clear" w:color="auto" w:fill="DCE6F1"/>
          </w:tcPr>
          <w:p>
            <w:pPr>
              <w:spacing w:after="0"/>
            </w:pPr>
            <w:r/>
            <w:r>
              <w:rPr>
                <w:b/>
                <w:sz w:val="18"/>
              </w:rPr>
              <w:t>Temuan</w:t>
            </w:r>
          </w:p>
        </w:tc>
        <w:tc>
          <w:tcPr>
            <w:tcW w:type="dxa" w:w="8050"/>
            <w:shd w:val="clear" w:color="auto" w:fill="DCE6F1"/>
          </w:tcPr>
          <w:p>
            <w:pPr>
              <w:spacing w:after="0"/>
            </w:pPr>
            <w:r/>
            <w:r>
              <w:rPr>
                <w:b/>
                <w:sz w:val="18"/>
              </w:rPr>
              <w:t>Tindakan di catatan</w:t>
            </w:r>
          </w:p>
        </w:tc>
      </w:tr>
      <w:tr>
        <w:tc>
          <w:tcPr>
            <w:tcW w:type="dxa" w:w="1701"/>
          </w:tcPr>
          <w:p>
            <w:pPr>
              <w:spacing w:after="0"/>
            </w:pPr>
            <w:r/>
            <w:r>
              <w:rPr>
                <w:b/>
                <w:sz w:val="18"/>
              </w:rPr>
              <w:t>Audit tumpang tindih</w:t>
            </w:r>
            <w:r>
              <w:rPr>
                <w:sz w:val="18"/>
              </w:rPr>
              <w:t xml:space="preserve"> dengan 8 catatan lama (2026-10-19)</w:t>
            </w:r>
          </w:p>
        </w:tc>
        <w:tc>
          <w:tcPr>
            <w:tcW w:type="dxa" w:w="8050"/>
          </w:tcPr>
          <w:p>
            <w:pPr>
              <w:spacing w:after="0"/>
            </w:pPr>
            <w:r/>
            <w:r>
              <w:rPr>
                <w:sz w:val="18"/>
              </w:rPr>
              <w:t>Bagian A tidak diulang bila sudah ada: ROSA/RULA/REBA/OWAS/NIOSH/OCRA/BRIEF ada di catatan 'Catatan_JSA - Job Safety Analysis'; A.8 hanya memuat alat yang belum ada. A.1 sampai A.7 belum ada di catatan lama (hanya hit sambil lalu di Muskuloskeletal, mis. micro-break dan keyboard tray)</w:t>
            </w:r>
          </w:p>
        </w:tc>
      </w:tr>
      <w:tr>
        <w:tc>
          <w:tcPr>
            <w:tcW w:type="dxa" w:w="1701"/>
          </w:tcPr>
          <w:p>
            <w:pPr>
              <w:spacing w:after="0"/>
            </w:pPr>
            <w:r/>
            <w:r>
              <w:rPr>
                <w:sz w:val="18"/>
              </w:rPr>
              <w:t>Lampiran Permenaker 5/2018 (lux, antropometri, stasiun kerja, ergonomi komputer) tidak terbaca di notebook karena salinan hasil pindai</w:t>
            </w:r>
          </w:p>
        </w:tc>
        <w:tc>
          <w:tcPr>
            <w:tcW w:type="dxa" w:w="8050"/>
          </w:tcPr>
          <w:p>
            <w:pPr>
              <w:spacing w:after="0"/>
            </w:pPr>
            <w:r/>
            <w:r>
              <w:rPr>
                <w:sz w:val="18"/>
              </w:rPr>
              <w:t>Dibaca dari salinan teks (llg-bwi.org) dan dicek ke gambar halaman. Tabel lux, Lampiran 6 (A, B, B6), dan gambar B2, B3 bersumber dari sana. Sebaiknya salinan itu ditambahkan ke notebook</w:t>
            </w:r>
          </w:p>
        </w:tc>
      </w:tr>
      <w:tr>
        <w:tc>
          <w:tcPr>
            <w:tcW w:type="dxa" w:w="1701"/>
          </w:tcPr>
          <w:p>
            <w:pPr>
              <w:spacing w:after="0"/>
            </w:pPr>
            <w:r/>
            <w:r>
              <w:rPr>
                <w:sz w:val="18"/>
              </w:rPr>
              <w:t>NotebookLM merujuk Pasal 8 ayat 1 huruf g untuk pencahayaan</w:t>
            </w:r>
          </w:p>
        </w:tc>
        <w:tc>
          <w:tcPr>
            <w:tcW w:type="dxa" w:w="8050"/>
          </w:tcPr>
          <w:p>
            <w:pPr>
              <w:spacing w:after="0"/>
            </w:pPr>
            <w:r/>
            <w:r>
              <w:rPr>
                <w:sz w:val="18"/>
              </w:rPr>
              <w:t>Teks resmi: pencahayaan huruf h (Pasal 16 ayat 1 salah rujuk ke huruf g)</w:t>
            </w:r>
          </w:p>
        </w:tc>
      </w:tr>
      <w:tr>
        <w:tc>
          <w:tcPr>
            <w:tcW w:type="dxa" w:w="1701"/>
          </w:tcPr>
          <w:p>
            <w:pPr>
              <w:spacing w:after="0"/>
            </w:pPr>
            <w:r/>
            <w:r>
              <w:rPr>
                <w:sz w:val="18"/>
              </w:rPr>
              <w:t xml:space="preserve">Lampiran 6 menyebut jarak monitor </w:t>
            </w:r>
            <w:r>
              <w:rPr>
                <w:b/>
                <w:sz w:val="18"/>
              </w:rPr>
              <w:t>45 sampai 60 cm</w:t>
            </w:r>
            <w:r>
              <w:rPr>
                <w:sz w:val="18"/>
              </w:rPr>
              <w:t>, literatur internasional 50 sampai 100 cm</w:t>
            </w:r>
          </w:p>
        </w:tc>
        <w:tc>
          <w:tcPr>
            <w:tcW w:type="dxa" w:w="8050"/>
          </w:tcPr>
          <w:p>
            <w:pPr>
              <w:spacing w:after="0"/>
            </w:pPr>
            <w:r/>
            <w:r>
              <w:rPr>
                <w:sz w:val="18"/>
              </w:rPr>
              <w:t>Standar Indonesia diletakkan pertama; kedua angka dicatat</w:t>
            </w:r>
          </w:p>
        </w:tc>
      </w:tr>
      <w:tr>
        <w:tc>
          <w:tcPr>
            <w:tcW w:type="dxa" w:w="1701"/>
          </w:tcPr>
          <w:p>
            <w:pPr>
              <w:spacing w:after="0"/>
            </w:pPr>
            <w:r/>
            <w:r>
              <w:rPr>
                <w:sz w:val="18"/>
              </w:rPr>
              <w:t>Lampiran 6 tidak konsisten internal (persentil kursi di daftar pengantar vs Tabel B6.1; tinggi meja berdiri B4 vs Tabel B6.2)</w:t>
            </w:r>
          </w:p>
        </w:tc>
        <w:tc>
          <w:tcPr>
            <w:tcW w:type="dxa" w:w="8050"/>
          </w:tcPr>
          <w:p>
            <w:pPr>
              <w:spacing w:after="0"/>
            </w:pPr>
            <w:r/>
            <w:r>
              <w:rPr>
                <w:sz w:val="18"/>
              </w:rPr>
              <w:t>Kedua versi dicatat, hafal isi tabel</w:t>
            </w:r>
          </w:p>
        </w:tc>
      </w:tr>
      <w:tr>
        <w:tc>
          <w:tcPr>
            <w:tcW w:type="dxa" w:w="1701"/>
          </w:tcPr>
          <w:p>
            <w:pPr>
              <w:spacing w:after="0"/>
            </w:pPr>
            <w:r/>
            <w:r>
              <w:rPr>
                <w:sz w:val="18"/>
              </w:rPr>
              <w:t>Rentang jarak LaDou ditulis "48 sampai 72 cm (20 sampai 30 inci)"</w:t>
            </w:r>
          </w:p>
        </w:tc>
        <w:tc>
          <w:tcPr>
            <w:tcW w:type="dxa" w:w="8050"/>
          </w:tcPr>
          <w:p>
            <w:pPr>
              <w:spacing w:after="0"/>
            </w:pPr>
            <w:r/>
            <w:r>
              <w:rPr>
                <w:sz w:val="18"/>
              </w:rPr>
              <w:t>Konversi tidak cocok; dicatat</w:t>
            </w:r>
          </w:p>
        </w:tc>
      </w:tr>
      <w:tr>
        <w:tc>
          <w:tcPr>
            <w:tcW w:type="dxa" w:w="1701"/>
          </w:tcPr>
          <w:p>
            <w:pPr>
              <w:spacing w:after="0"/>
            </w:pPr>
            <w:r/>
            <w:r>
              <w:rPr>
                <w:sz w:val="18"/>
              </w:rPr>
              <w:t>Rentang OSHA 50 sampai 100 cm (20 sampai 40 inci) dari outline</w:t>
            </w:r>
          </w:p>
        </w:tc>
        <w:tc>
          <w:tcPr>
            <w:tcW w:type="dxa" w:w="8050"/>
          </w:tcPr>
          <w:p>
            <w:pPr>
              <w:spacing w:after="0"/>
            </w:pPr>
            <w:r/>
            <w:r>
              <w:rPr>
                <w:sz w:val="18"/>
              </w:rPr>
              <w:t>Tidak muncul di jawaban NotebookLM; cek halaman OSHA</w:t>
            </w:r>
          </w:p>
        </w:tc>
      </w:tr>
      <w:tr>
        <w:tc>
          <w:tcPr>
            <w:tcW w:type="dxa" w:w="1701"/>
          </w:tcPr>
          <w:p>
            <w:pPr>
              <w:spacing w:after="0"/>
            </w:pPr>
            <w:r/>
            <w:r>
              <w:rPr>
                <w:sz w:val="18"/>
              </w:rPr>
              <w:t>Angka tekanan intradiskal (Newton) dan lebar bebas 790 mm (ISO 14738)</w:t>
            </w:r>
          </w:p>
        </w:tc>
        <w:tc>
          <w:tcPr>
            <w:tcW w:type="dxa" w:w="8050"/>
          </w:tcPr>
          <w:p>
            <w:pPr>
              <w:spacing w:after="0"/>
            </w:pPr>
            <w:r/>
            <w:r>
              <w:rPr>
                <w:sz w:val="18"/>
              </w:rPr>
              <w:t>Tidak dikutip karena tidak konsisten</w:t>
            </w:r>
          </w:p>
        </w:tc>
      </w:tr>
      <w:tr>
        <w:tc>
          <w:tcPr>
            <w:tcW w:type="dxa" w:w="1701"/>
          </w:tcPr>
          <w:p>
            <w:pPr>
              <w:spacing w:after="0"/>
            </w:pPr>
            <w:r/>
            <w:r>
              <w:rPr>
                <w:sz w:val="18"/>
              </w:rPr>
              <w:t>Angka Oxenburgh (70%, RR 2,6), Onishi (30% MVC), Daniels, McConville &amp; Churchill</w:t>
            </w:r>
          </w:p>
        </w:tc>
        <w:tc>
          <w:tcPr>
            <w:tcW w:type="dxa" w:w="8050"/>
          </w:tcPr>
          <w:p>
            <w:pPr>
              <w:spacing w:after="0"/>
            </w:pPr>
            <w:r/>
            <w:r>
              <w:rPr>
                <w:sz w:val="18"/>
              </w:rPr>
              <w:t>Dikutip dari jawaban NotebookLM atas Bodyspace; verifikasi bila perlu angka pasti</w:t>
            </w:r>
          </w:p>
        </w:tc>
      </w:tr>
      <w:tr>
        <w:tc>
          <w:tcPr>
            <w:tcW w:type="dxa" w:w="1701"/>
          </w:tcPr>
          <w:p>
            <w:pPr>
              <w:spacing w:after="0"/>
            </w:pPr>
            <w:r/>
            <w:r>
              <w:rPr>
                <w:sz w:val="18"/>
              </w:rPr>
              <w:t>Data antropometri Indonesia tidak ada di sumber</w:t>
            </w:r>
          </w:p>
        </w:tc>
        <w:tc>
          <w:tcPr>
            <w:tcW w:type="dxa" w:w="8050"/>
          </w:tcPr>
          <w:p>
            <w:pPr>
              <w:spacing w:after="0"/>
            </w:pPr>
            <w:r/>
            <w:r>
              <w:rPr>
                <w:sz w:val="18"/>
              </w:rPr>
              <w:t>Pencarian web hanya menemukan studi kecil; F6 tetap terbuka</w:t>
            </w:r>
          </w:p>
        </w:tc>
      </w:tr>
      <w:tr>
        <w:tc>
          <w:tcPr>
            <w:tcW w:type="dxa" w:w="1701"/>
          </w:tcPr>
          <w:p>
            <w:pPr>
              <w:spacing w:after="0"/>
            </w:pPr>
            <w:r/>
            <w:r>
              <w:rPr>
                <w:sz w:val="18"/>
              </w:rPr>
              <w:t>Jawaban NotebookLM menyebut "ACGIH 2026" dan "Permenkes 11/2022" sebagai sumber ergonomi</w:t>
            </w:r>
          </w:p>
        </w:tc>
        <w:tc>
          <w:tcPr>
            <w:tcW w:type="dxa" w:w="8050"/>
          </w:tcPr>
          <w:p>
            <w:pPr>
              <w:spacing w:after="0"/>
            </w:pPr>
            <w:r/>
            <w:r>
              <w:rPr>
                <w:sz w:val="18"/>
              </w:rPr>
              <w:t>Tidak ada angka dari keduanya dipakai dalam bab A</w:t>
            </w:r>
          </w:p>
        </w:tc>
      </w:tr>
    </w:tbl>
    <w:p>
      <w:pPr>
        <w:spacing w:after="40"/>
      </w:pPr>
    </w:p>
    <w:sectPr w:rsidR="00FC693F" w:rsidRPr="0006063C" w:rsidSect="00034616">
      <w:footerReference w:type="default" r:id="rId9"/>
      <w:pgSz w:w="12246" w:h="15817"/>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