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A6" w:rsidRDefault="00BE52D3">
      <w:r>
        <w:t>La sequenza di analisi illustrata nella sezione precedente è stata applicata su un campione di dati ottici ottenuti dal gruppo LENS</w:t>
      </w:r>
      <w:r w:rsidR="00A7568D">
        <w:t xml:space="preserve"> di Firenze</w:t>
      </w:r>
      <w:r>
        <w:t xml:space="preserve">. I dati si presentano come una </w:t>
      </w:r>
      <w:r w:rsidR="009F4ECF">
        <w:t>raccolta</w:t>
      </w:r>
      <w:r>
        <w:t xml:space="preserve"> di immagini 100</w:t>
      </w:r>
      <w:r w:rsidR="009F4ECF">
        <w:t>pixel x 100</w:t>
      </w:r>
      <w:r>
        <w:t>pixel distanziate da un passo temporale di 40ms (frequenza di campionamento 25Hz). Le immagini coprono un’area di 25 mm^</w:t>
      </w:r>
      <w:r w:rsidR="009F4ECF">
        <w:t>2 (5mm * 5mm) e offrono una prospettiva dall’a</w:t>
      </w:r>
      <w:r w:rsidR="00A7568D">
        <w:t>lto sulla corteccia del topolino</w:t>
      </w:r>
      <w:r w:rsidR="009F4ECF">
        <w:t>. Si vedono chiaramente  buona parte del</w:t>
      </w:r>
      <w:r>
        <w:t xml:space="preserve">l’emisfero sinistro del topolino, il corpo calloso che collega gli emisferi e </w:t>
      </w:r>
      <w:r w:rsidR="009F4ECF">
        <w:t xml:space="preserve">una piccola </w:t>
      </w:r>
      <w:r>
        <w:t>parte dell’emisfero destro; contornati da uno sfondo nero che è stato mascherato in fase di analisi poiché privo di informazioni sull’attività nervosa.</w:t>
      </w:r>
      <w:r w:rsidR="00404AC3">
        <w:t xml:space="preserve"> I topolini sono stati anest</w:t>
      </w:r>
      <w:r w:rsidR="009B2652">
        <w:t xml:space="preserve">etizzati con un mix di Ketamina e </w:t>
      </w:r>
      <w:proofErr w:type="spellStart"/>
      <w:r w:rsidR="00404AC3">
        <w:t>Xilazina</w:t>
      </w:r>
      <w:proofErr w:type="spellEnd"/>
      <w:r w:rsidR="00404AC3">
        <w:t xml:space="preserve"> in dos</w:t>
      </w:r>
      <w:r w:rsidR="009B2652">
        <w:t xml:space="preserve">i, rispettivamente, di 100 e </w:t>
      </w:r>
      <w:r w:rsidR="0048073E">
        <w:t>10 mg/kg (milligrammi di medicinale per kg del soggetto)</w:t>
      </w:r>
      <w:r w:rsidR="00FD1BA6">
        <w:t xml:space="preserve">. </w:t>
      </w:r>
    </w:p>
    <w:p w:rsidR="00383077" w:rsidRDefault="00FD1BA6" w:rsidP="00FD1BA6">
      <w:r>
        <w:t>Il segnale</w:t>
      </w:r>
      <w:r w:rsidR="00205BE3">
        <w:t xml:space="preserve"> luminoso che si osserva</w:t>
      </w:r>
      <w:r>
        <w:t xml:space="preserve"> è originato dalla proteina fluorescente CGaMP6f</w:t>
      </w:r>
      <w:r w:rsidR="009F4ECF">
        <w:t xml:space="preserve"> </w:t>
      </w:r>
      <w:r>
        <w:t xml:space="preserve">, </w:t>
      </w:r>
      <w:r w:rsidR="00205BE3">
        <w:t xml:space="preserve">ultrasensibile </w:t>
      </w:r>
      <w:r>
        <w:t>alla presenza del Calcio</w:t>
      </w:r>
      <w:r w:rsidR="005F552D">
        <w:t xml:space="preserve">, e raccolto tramite la tecnica di </w:t>
      </w:r>
      <w:proofErr w:type="spellStart"/>
      <w:r w:rsidR="005F552D">
        <w:t>wide-field</w:t>
      </w:r>
      <w:proofErr w:type="spellEnd"/>
      <w:r w:rsidR="005F552D">
        <w:t xml:space="preserve"> </w:t>
      </w:r>
      <w:proofErr w:type="spellStart"/>
      <w:r w:rsidR="005F552D">
        <w:t>microscopy</w:t>
      </w:r>
      <w:proofErr w:type="spellEnd"/>
      <w:r w:rsidR="005F552D">
        <w:t xml:space="preserve"> ( </w:t>
      </w:r>
      <w:r w:rsidR="005F552D" w:rsidRPr="005F552D">
        <w:rPr>
          <w:color w:val="FF0000"/>
        </w:rPr>
        <w:t xml:space="preserve">o </w:t>
      </w:r>
      <w:proofErr w:type="spellStart"/>
      <w:r w:rsidR="005F552D" w:rsidRPr="005F552D">
        <w:rPr>
          <w:color w:val="FF0000"/>
        </w:rPr>
        <w:t>two-photon</w:t>
      </w:r>
      <w:proofErr w:type="spellEnd"/>
      <w:r w:rsidR="005F552D" w:rsidRPr="005F552D">
        <w:rPr>
          <w:color w:val="FF0000"/>
        </w:rPr>
        <w:t xml:space="preserve"> </w:t>
      </w:r>
      <w:proofErr w:type="spellStart"/>
      <w:r w:rsidR="005F552D">
        <w:rPr>
          <w:color w:val="FF0000"/>
        </w:rPr>
        <w:t>microscopy</w:t>
      </w:r>
      <w:proofErr w:type="spellEnd"/>
      <w:r w:rsidR="005F552D" w:rsidRPr="005F552D">
        <w:rPr>
          <w:color w:val="FF0000"/>
        </w:rPr>
        <w:t>?</w:t>
      </w:r>
      <w:r w:rsidR="005F552D">
        <w:t>)</w:t>
      </w:r>
      <w:r w:rsidR="0053302A">
        <w:t xml:space="preserve"> [</w:t>
      </w:r>
      <w:proofErr w:type="spellStart"/>
      <w:r w:rsidR="0053302A">
        <w:t>Murakami</w:t>
      </w:r>
      <w:proofErr w:type="spellEnd"/>
      <w:r w:rsidR="0053302A">
        <w:t xml:space="preserve"> 2015]</w:t>
      </w:r>
      <w:r>
        <w:t xml:space="preserve">. </w:t>
      </w:r>
      <w:r w:rsidR="00462190">
        <w:t>Infatti</w:t>
      </w:r>
      <w:commentRangeStart w:id="0"/>
      <w:r w:rsidR="00462190">
        <w:t xml:space="preserve">, così come in </w:t>
      </w:r>
      <w:r w:rsidR="00925984">
        <w:t>buona parte delle cellule</w:t>
      </w:r>
      <w:r w:rsidR="00462190" w:rsidRPr="00462190">
        <w:t xml:space="preserve"> dell’</w:t>
      </w:r>
      <w:r w:rsidR="00462190">
        <w:t>organismo</w:t>
      </w:r>
      <w:r w:rsidR="00925984">
        <w:t xml:space="preserve">, </w:t>
      </w:r>
      <w:r w:rsidR="00462190" w:rsidRPr="00462190">
        <w:t xml:space="preserve"> gli ioni Ca2+ generano un segnale intercellulare che determina una grande varietà di funzioni</w:t>
      </w:r>
      <w:r w:rsidR="00462190">
        <w:t xml:space="preserve">, </w:t>
      </w:r>
      <w:commentRangeEnd w:id="0"/>
      <w:r w:rsidR="00AF636C">
        <w:rPr>
          <w:rStyle w:val="Rimandocommento"/>
        </w:rPr>
        <w:commentReference w:id="0"/>
      </w:r>
      <w:r w:rsidR="00462190">
        <w:t xml:space="preserve">l’attività neuronale provoca flussi molto rapidi di ioni Ca2+ </w:t>
      </w:r>
      <w:r w:rsidR="005F552D">
        <w:t xml:space="preserve">intercellulari </w:t>
      </w:r>
      <w:r w:rsidR="00462190">
        <w:t>liberi</w:t>
      </w:r>
      <w:r w:rsidR="00FE7E0B">
        <w:t xml:space="preserve"> (</w:t>
      </w:r>
      <w:proofErr w:type="spellStart"/>
      <w:r w:rsidR="00FE7E0B">
        <w:t>Chen</w:t>
      </w:r>
      <w:proofErr w:type="spellEnd"/>
      <w:r w:rsidR="00FE7E0B">
        <w:t xml:space="preserve"> 2013,  </w:t>
      </w:r>
      <w:proofErr w:type="spellStart"/>
      <w:r w:rsidR="00FE7E0B">
        <w:t>Grienberger</w:t>
      </w:r>
      <w:proofErr w:type="spellEnd"/>
      <w:r w:rsidR="00FE7E0B">
        <w:t xml:space="preserve"> 2012). </w:t>
      </w:r>
    </w:p>
    <w:p w:rsidR="00383077" w:rsidRDefault="00FE7E0B" w:rsidP="00383077">
      <w:pPr>
        <w:spacing w:after="0"/>
        <w:rPr>
          <w:rFonts w:cstheme="minorHAnsi"/>
        </w:rPr>
      </w:pPr>
      <w:commentRangeStart w:id="1"/>
      <w:r>
        <w:t xml:space="preserve">Nei </w:t>
      </w:r>
      <w:proofErr w:type="spellStart"/>
      <w:r>
        <w:t>teminali</w:t>
      </w:r>
      <w:proofErr w:type="spellEnd"/>
      <w:r>
        <w:t xml:space="preserve"> </w:t>
      </w:r>
      <w:proofErr w:type="spellStart"/>
      <w:r>
        <w:t>presinaptici</w:t>
      </w:r>
      <w:proofErr w:type="spellEnd"/>
      <w:r>
        <w:t xml:space="preserve"> i flussi di calcio</w:t>
      </w:r>
      <w:r w:rsidR="00462190" w:rsidRPr="00462190">
        <w:rPr>
          <w:rFonts w:cstheme="minorHAnsi"/>
        </w:rPr>
        <w:t xml:space="preserve"> </w:t>
      </w:r>
      <w:r>
        <w:rPr>
          <w:rFonts w:cstheme="minorHAnsi"/>
        </w:rPr>
        <w:t xml:space="preserve">provocano la liberazione dei neurotrasmettitori contenuti nei </w:t>
      </w:r>
      <w:proofErr w:type="spellStart"/>
      <w:r>
        <w:rPr>
          <w:rFonts w:cstheme="minorHAnsi"/>
        </w:rPr>
        <w:t>vescicoli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sinaptici</w:t>
      </w:r>
      <w:proofErr w:type="spellEnd"/>
      <w:r>
        <w:rPr>
          <w:rFonts w:cstheme="minorHAnsi"/>
        </w:rPr>
        <w:t xml:space="preserve">. </w:t>
      </w:r>
    </w:p>
    <w:p w:rsidR="00205BE3" w:rsidRDefault="00FE7E0B" w:rsidP="00383077">
      <w:pPr>
        <w:spacing w:after="0"/>
        <w:rPr>
          <w:rFonts w:cstheme="minorHAnsi"/>
        </w:rPr>
      </w:pPr>
      <w:r w:rsidRPr="00FE7E0B">
        <w:rPr>
          <w:rFonts w:cstheme="minorHAnsi"/>
        </w:rPr>
        <w:t xml:space="preserve">A livello </w:t>
      </w:r>
      <w:proofErr w:type="spellStart"/>
      <w:r w:rsidRPr="00FE7E0B">
        <w:rPr>
          <w:rFonts w:cstheme="minorHAnsi"/>
        </w:rPr>
        <w:t>postsinaptico</w:t>
      </w:r>
      <w:proofErr w:type="spellEnd"/>
      <w:r w:rsidRPr="00FE7E0B">
        <w:rPr>
          <w:rFonts w:cstheme="minorHAnsi"/>
        </w:rPr>
        <w:t xml:space="preserve"> l’aumento transiente del livello di </w:t>
      </w:r>
      <w:r w:rsidR="00AF636C">
        <w:rPr>
          <w:rFonts w:cstheme="minorHAnsi"/>
        </w:rPr>
        <w:t>calci</w:t>
      </w:r>
      <w:r w:rsidRPr="00FE7E0B">
        <w:rPr>
          <w:rFonts w:cstheme="minorHAnsi"/>
        </w:rPr>
        <w:t>o nelle sinaps</w:t>
      </w:r>
      <w:r>
        <w:rPr>
          <w:rFonts w:cstheme="minorHAnsi"/>
        </w:rPr>
        <w:t xml:space="preserve">i dendritiche è essenziale in molte forme di plasticità </w:t>
      </w:r>
      <w:proofErr w:type="spellStart"/>
      <w:r>
        <w:rPr>
          <w:rFonts w:cstheme="minorHAnsi"/>
        </w:rPr>
        <w:t>sinaptica</w:t>
      </w:r>
      <w:proofErr w:type="spellEnd"/>
      <w:r w:rsidR="00462190" w:rsidRPr="00FE7E0B">
        <w:rPr>
          <w:rFonts w:cstheme="minorHAnsi"/>
        </w:rPr>
        <w:t xml:space="preserve"> (</w:t>
      </w:r>
      <w:bookmarkStart w:id="2" w:name="bbib328"/>
      <w:proofErr w:type="spellStart"/>
      <w:r w:rsidR="00423174" w:rsidRPr="00462190">
        <w:rPr>
          <w:rFonts w:cstheme="minorHAnsi"/>
        </w:rPr>
        <w:fldChar w:fldCharType="begin"/>
      </w:r>
      <w:r w:rsidR="00462190" w:rsidRPr="00FE7E0B">
        <w:rPr>
          <w:rFonts w:cstheme="minorHAnsi"/>
        </w:rPr>
        <w:instrText xml:space="preserve"> HYPERLINK "https://www.sciencedirect.com/science/article/pii/S0896627312001729" \l "bib328" </w:instrText>
      </w:r>
      <w:r w:rsidR="00423174" w:rsidRPr="00462190">
        <w:rPr>
          <w:rFonts w:cstheme="minorHAnsi"/>
        </w:rPr>
        <w:fldChar w:fldCharType="separate"/>
      </w:r>
      <w:r w:rsidR="00462190" w:rsidRPr="00FE7E0B">
        <w:rPr>
          <w:rStyle w:val="Collegamentoipertestuale"/>
          <w:rFonts w:cstheme="minorHAnsi"/>
          <w:color w:val="auto"/>
          <w:u w:val="none"/>
        </w:rPr>
        <w:t>Zucker</w:t>
      </w:r>
      <w:proofErr w:type="spellEnd"/>
      <w:r w:rsidR="00462190" w:rsidRPr="00FE7E0B">
        <w:rPr>
          <w:rStyle w:val="Collegamentoipertestuale"/>
          <w:rFonts w:cstheme="minorHAnsi"/>
          <w:color w:val="auto"/>
          <w:u w:val="none"/>
        </w:rPr>
        <w:t>, 1999</w:t>
      </w:r>
      <w:r w:rsidR="00423174" w:rsidRPr="00462190">
        <w:rPr>
          <w:rFonts w:cstheme="minorHAnsi"/>
        </w:rPr>
        <w:fldChar w:fldCharType="end"/>
      </w:r>
      <w:bookmarkEnd w:id="2"/>
      <w:r w:rsidR="00462190" w:rsidRPr="00FE7E0B">
        <w:rPr>
          <w:rFonts w:cstheme="minorHAnsi"/>
        </w:rPr>
        <w:t>).</w:t>
      </w:r>
    </w:p>
    <w:p w:rsidR="00383077" w:rsidRPr="00383077" w:rsidRDefault="00383077" w:rsidP="00FD1BA6">
      <w:pPr>
        <w:rPr>
          <w:rFonts w:cstheme="minorHAnsi"/>
          <w:lang w:val="en-US"/>
        </w:rPr>
      </w:pPr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Calcium ions (Ca</w:t>
      </w:r>
      <w:r w:rsidRPr="00383077"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2+</w:t>
      </w:r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) enter neurons during action potential (AP) firing and synaptic input. AP firing and synaptic inputs can therefore be assessed, sometimes quantitatively, by measuring changes in intracellular [Ca</w:t>
      </w:r>
      <w:r w:rsidRPr="00383077">
        <w:rPr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2+</w:t>
      </w:r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] (</w:t>
      </w:r>
      <w:hyperlink r:id="rId6" w:anchor="ref-85" w:history="1">
        <w:r w:rsidRPr="00383077">
          <w:rPr>
            <w:rStyle w:val="Collegamentoipertestuale"/>
            <w:rFonts w:ascii="Helvetica" w:hAnsi="Helvetica" w:cs="Helvetica"/>
            <w:b/>
            <w:bCs/>
            <w:color w:val="0077C0"/>
            <w:sz w:val="14"/>
            <w:szCs w:val="14"/>
            <w:u w:val="none"/>
            <w:bdr w:val="none" w:sz="0" w:space="0" w:color="auto" w:frame="1"/>
            <w:shd w:val="clear" w:color="auto" w:fill="FFFFFF"/>
            <w:lang w:val="en-US"/>
          </w:rPr>
          <w:t>Yasuda et al., 2004</w:t>
        </w:r>
      </w:hyperlink>
      <w:r w:rsidRPr="00383077">
        <w:rPr>
          <w:rFonts w:ascii="Helvetica" w:hAnsi="Helvetica" w:cs="Helvetica"/>
          <w:color w:val="000000"/>
          <w:sz w:val="14"/>
          <w:szCs w:val="14"/>
          <w:shd w:val="clear" w:color="auto" w:fill="FFFFFF"/>
          <w:lang w:val="en-US"/>
        </w:rPr>
        <w:t>).</w:t>
      </w:r>
    </w:p>
    <w:commentRangeEnd w:id="1"/>
    <w:p w:rsidR="00FD1BA6" w:rsidRDefault="00383077" w:rsidP="00FD1BA6">
      <w:r>
        <w:rPr>
          <w:rStyle w:val="Rimandocommento"/>
        </w:rPr>
        <w:commentReference w:id="1"/>
      </w:r>
      <w:r w:rsidR="009F4ECF">
        <w:t xml:space="preserve">Tra le proteine </w:t>
      </w:r>
      <w:r w:rsidR="00C64C08">
        <w:t xml:space="preserve">geneticamente codificate </w:t>
      </w:r>
      <w:r w:rsidR="009F4ECF">
        <w:t>della famiglia CGaMP</w:t>
      </w:r>
      <w:r>
        <w:t>6</w:t>
      </w:r>
      <w:r w:rsidR="009F4ECF">
        <w:t xml:space="preserve"> (ottenute assemblando proteine verdi fluoresce</w:t>
      </w:r>
      <w:r>
        <w:t xml:space="preserve">nti (GFP), </w:t>
      </w:r>
      <w:proofErr w:type="spellStart"/>
      <w:r>
        <w:t>calmodulin</w:t>
      </w:r>
      <w:proofErr w:type="spellEnd"/>
      <w:r>
        <w:t xml:space="preserve"> e M13</w:t>
      </w:r>
      <w:r w:rsidR="00C64C08">
        <w:t xml:space="preserve"> [</w:t>
      </w:r>
      <w:proofErr w:type="spellStart"/>
      <w:r w:rsidR="00C64C08">
        <w:t>Chen</w:t>
      </w:r>
      <w:proofErr w:type="spellEnd"/>
      <w:r w:rsidR="00C64C08">
        <w:t xml:space="preserve"> 2013]</w:t>
      </w:r>
      <w:r w:rsidR="009F4ECF">
        <w:t xml:space="preserve">) </w:t>
      </w:r>
      <w:r w:rsidR="00C64C08">
        <w:t>l</w:t>
      </w:r>
      <w:r w:rsidR="00FD1BA6">
        <w:t xml:space="preserve">a CGaMP6f  </w:t>
      </w:r>
      <w:r w:rsidR="00205BE3">
        <w:t xml:space="preserve">è </w:t>
      </w:r>
      <w:r w:rsidR="00C64C08">
        <w:t xml:space="preserve">quella </w:t>
      </w:r>
      <w:r w:rsidR="00205BE3">
        <w:t>che gode del miglior compromesso tra sensitività e velocità cinetica nella risposta alla presenza di Calcio. Infatti essa presenta una sensibilità e una velocità di risposta comparabili a quelle di un colorante sintetico di Calcio come l’ OGB1-AM.</w:t>
      </w:r>
      <w:r w:rsidR="00581FE3">
        <w:t xml:space="preserve"> Tuttavia la proteina, geneticamente codificata è molto meno invasiva rispetto ai coloranti sintetici, che vengono iniettati direttamente nel tessuto cerebrale e sono poi </w:t>
      </w:r>
      <w:r w:rsidR="00581FE3" w:rsidRPr="00581FE3">
        <w:rPr>
          <w:color w:val="FF0000"/>
        </w:rPr>
        <w:t>difficili da smaltire</w:t>
      </w:r>
      <w:r w:rsidR="00A7568D">
        <w:rPr>
          <w:color w:val="FF0000"/>
        </w:rPr>
        <w:t xml:space="preserve"> per l’organismo (</w:t>
      </w:r>
      <w:proofErr w:type="spellStart"/>
      <w:r w:rsidR="00A7568D">
        <w:rPr>
          <w:color w:val="FF0000"/>
        </w:rPr>
        <w:t>add</w:t>
      </w:r>
      <w:proofErr w:type="spellEnd"/>
      <w:r w:rsidR="00A7568D">
        <w:rPr>
          <w:color w:val="FF0000"/>
        </w:rPr>
        <w:t xml:space="preserve"> </w:t>
      </w:r>
      <w:proofErr w:type="spellStart"/>
      <w:r w:rsidR="00A7568D">
        <w:rPr>
          <w:color w:val="FF0000"/>
        </w:rPr>
        <w:t>ref</w:t>
      </w:r>
      <w:proofErr w:type="spellEnd"/>
      <w:r w:rsidR="00A7568D">
        <w:rPr>
          <w:color w:val="FF0000"/>
        </w:rPr>
        <w:t xml:space="preserve"> ??)</w:t>
      </w:r>
      <w:r w:rsidR="00205BE3" w:rsidRPr="00581FE3">
        <w:rPr>
          <w:color w:val="FF0000"/>
        </w:rPr>
        <w:t xml:space="preserve"> </w:t>
      </w:r>
      <w:r w:rsidR="00581FE3">
        <w:t>.</w:t>
      </w:r>
    </w:p>
    <w:p w:rsidR="00581FE3" w:rsidRDefault="00581FE3" w:rsidP="00FD1BA6">
      <w:r>
        <w:t xml:space="preserve">L’espressione </w:t>
      </w:r>
      <w:commentRangeStart w:id="3"/>
      <w:r>
        <w:t>genetica della CGaMP6f</w:t>
      </w:r>
      <w:commentRangeEnd w:id="3"/>
      <w:r w:rsidR="004C28F9">
        <w:rPr>
          <w:rStyle w:val="Rimandocommento"/>
        </w:rPr>
        <w:commentReference w:id="3"/>
      </w:r>
      <w:r>
        <w:t xml:space="preserve"> è pari al *** [Dana 2014], l’attività nervosa che si osserva tramite questa tecnica di </w:t>
      </w:r>
      <w:proofErr w:type="spellStart"/>
      <w:r>
        <w:t>imaging</w:t>
      </w:r>
      <w:proofErr w:type="spellEnd"/>
      <w:r>
        <w:t xml:space="preserve"> è dunque superiore alla metà di quella totale. Attenendoci ai risultati di densità di neuroni nella corteccia dei topolini [</w:t>
      </w:r>
      <w:proofErr w:type="spellStart"/>
      <w:r>
        <w:t>Schuz</w:t>
      </w:r>
      <w:proofErr w:type="spellEnd"/>
      <w:r>
        <w:t xml:space="preserve"> 1989] quello che registriamo per singolo pixel è un segnale di popolazione proveniente da circa ***** neuroni. Del resto la scala temporale su cui osserviamo il fenomeno non consente di essere sensibili al singolo </w:t>
      </w:r>
      <w:proofErr w:type="spellStart"/>
      <w:r>
        <w:t>spike</w:t>
      </w:r>
      <w:proofErr w:type="spellEnd"/>
      <w:r>
        <w:t xml:space="preserve"> neurale (circa 2Hz * numero neuroni) ma permette di osservare le modulazioni collettive nella frequenza di </w:t>
      </w:r>
      <w:proofErr w:type="spellStart"/>
      <w:r>
        <w:t>spiking</w:t>
      </w:r>
      <w:proofErr w:type="spellEnd"/>
      <w:r>
        <w:t xml:space="preserve"> dovute al passaggio delle onde delta. Il fenomeno in analisi avviene in un </w:t>
      </w:r>
      <w:proofErr w:type="spellStart"/>
      <w:r>
        <w:t>range</w:t>
      </w:r>
      <w:proofErr w:type="spellEnd"/>
      <w:r>
        <w:t xml:space="preserve"> di frequenze compreso tra 0.5 Hz e 4 Hz, ci aspettiamo dunque che risulti visibile anche con una frequenza di campionamento di 25 Hz</w:t>
      </w:r>
      <w:r w:rsidR="009B2652">
        <w:t xml:space="preserve"> (che per il teorema di </w:t>
      </w:r>
      <w:proofErr w:type="spellStart"/>
      <w:r w:rsidR="009B2652">
        <w:t>Nyquist-Shannon</w:t>
      </w:r>
      <w:proofErr w:type="spellEnd"/>
      <w:r w:rsidR="009B2652">
        <w:t xml:space="preserve"> permette di ricostruire i segnali in una banda fino a 12.5Hz) </w:t>
      </w:r>
      <w:r>
        <w:t>.</w:t>
      </w:r>
      <w:r w:rsidR="004B107D">
        <w:t xml:space="preserve"> D’altra sappiamo che il segnale di popolazione sarà convoluto con la funzione di trasferimento che intercorre tra la liberazione del calcio e il segnale di fluorescenza osservato</w:t>
      </w:r>
      <w:r w:rsidR="009B2652">
        <w:t>;</w:t>
      </w:r>
      <w:r w:rsidR="004B107D">
        <w:t xml:space="preserve"> date le informazioni a nostra disposizione sui tempi di risposta [</w:t>
      </w:r>
      <w:proofErr w:type="spellStart"/>
      <w:r w:rsidR="004B107D">
        <w:t>Chen</w:t>
      </w:r>
      <w:proofErr w:type="spellEnd"/>
      <w:r w:rsidR="004B107D">
        <w:t xml:space="preserve"> 2013 fig.1 – 3], ci aspettiamo che </w:t>
      </w:r>
      <w:r w:rsidR="009B2652">
        <w:t>la dinamica di</w:t>
      </w:r>
      <w:r w:rsidR="004B107D">
        <w:t xml:space="preserve"> </w:t>
      </w:r>
      <w:r w:rsidR="009B2652">
        <w:t xml:space="preserve">oscillazione del segnale sia dominata </w:t>
      </w:r>
      <w:r w:rsidR="004B107D">
        <w:t>dal tempo di risposta della funzione di trasferimento</w:t>
      </w:r>
      <w:r w:rsidR="009B2652">
        <w:t xml:space="preserve">. Ne deduciamo </w:t>
      </w:r>
      <w:r w:rsidR="004B107D">
        <w:t xml:space="preserve">, perciò, </w:t>
      </w:r>
      <w:r w:rsidR="009B2652">
        <w:t xml:space="preserve">che </w:t>
      </w:r>
      <w:r w:rsidR="004B107D">
        <w:t>una frequenza di campionamento più elevata risulterebbe poco utile.</w:t>
      </w:r>
    </w:p>
    <w:p w:rsidR="00F10342" w:rsidRPr="00581FE3" w:rsidRDefault="00F10342" w:rsidP="00FD1BA6">
      <w:r>
        <w:t xml:space="preserve">Già ad occhio è possibile osservare una modulazione nell’intensità </w:t>
      </w:r>
      <w:r w:rsidR="009B2652">
        <w:t>dei pixel delle immagini;</w:t>
      </w:r>
      <w:r>
        <w:t xml:space="preserve"> lo scopo di ques</w:t>
      </w:r>
      <w:r w:rsidR="004C28F9">
        <w:t>to lavoro è quello di</w:t>
      </w:r>
      <w:r>
        <w:t xml:space="preserve"> quantificare questo segnale e osservare in esso una dinamica collettiva identificabile con il passaggio delle onde lente.</w:t>
      </w:r>
    </w:p>
    <w:p w:rsidR="00FD1BA6" w:rsidRDefault="00FD1BA6"/>
    <w:sectPr w:rsidR="00FD1BA6" w:rsidSect="00D025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co" w:date="2018-05-06T17:30:00Z" w:initials="M">
    <w:p w:rsidR="00AF636C" w:rsidRDefault="00AF636C">
      <w:pPr>
        <w:pStyle w:val="Testocommento"/>
      </w:pPr>
      <w:r>
        <w:rPr>
          <w:rStyle w:val="Rimandocommento"/>
        </w:rPr>
        <w:annotationRef/>
      </w:r>
      <w:r>
        <w:t>Taglia?</w:t>
      </w:r>
    </w:p>
  </w:comment>
  <w:comment w:id="1" w:author="Marco" w:date="2018-05-06T16:48:00Z" w:initials="M">
    <w:p w:rsidR="00383077" w:rsidRDefault="00383077">
      <w:pPr>
        <w:pStyle w:val="Testocommento"/>
      </w:pPr>
      <w:r>
        <w:rPr>
          <w:rStyle w:val="Rimandocommento"/>
        </w:rPr>
        <w:annotationRef/>
      </w:r>
      <w:r>
        <w:t xml:space="preserve">Dove si trovano le </w:t>
      </w:r>
      <w:proofErr w:type="spellStart"/>
      <w:r>
        <w:t>CGaMP</w:t>
      </w:r>
      <w:proofErr w:type="spellEnd"/>
      <w:r>
        <w:t xml:space="preserve"> nel sistema nervoso?</w:t>
      </w:r>
    </w:p>
  </w:comment>
  <w:comment w:id="3" w:author="Marco" w:date="2018-05-06T17:18:00Z" w:initials="M">
    <w:p w:rsidR="004C28F9" w:rsidRDefault="004C28F9">
      <w:pPr>
        <w:pStyle w:val="Testocommento"/>
      </w:pPr>
      <w:r>
        <w:rPr>
          <w:rStyle w:val="Rimandocommento"/>
        </w:rPr>
        <w:annotationRef/>
      </w:r>
      <w:r>
        <w:t xml:space="preserve">Dall’articolo di Dana 2014 sembra estremamente variabile tra </w:t>
      </w:r>
      <w:proofErr w:type="spellStart"/>
      <w:r>
        <w:t>founders</w:t>
      </w:r>
      <w:proofErr w:type="spellEnd"/>
      <w:r>
        <w:t xml:space="preserve"> (campioni?)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/>
  <w:rsids>
    <w:rsidRoot w:val="00BE52D3"/>
    <w:rsid w:val="00205BE3"/>
    <w:rsid w:val="00383077"/>
    <w:rsid w:val="00404AC3"/>
    <w:rsid w:val="00423174"/>
    <w:rsid w:val="00462190"/>
    <w:rsid w:val="0048073E"/>
    <w:rsid w:val="004B107D"/>
    <w:rsid w:val="004C28F9"/>
    <w:rsid w:val="0053302A"/>
    <w:rsid w:val="00581FE3"/>
    <w:rsid w:val="005C675D"/>
    <w:rsid w:val="005F552D"/>
    <w:rsid w:val="00925984"/>
    <w:rsid w:val="009B2652"/>
    <w:rsid w:val="009F4ECF"/>
    <w:rsid w:val="00A7568D"/>
    <w:rsid w:val="00AF636C"/>
    <w:rsid w:val="00BE52D3"/>
    <w:rsid w:val="00C64C08"/>
    <w:rsid w:val="00D0256D"/>
    <w:rsid w:val="00F10342"/>
    <w:rsid w:val="00FD1BA6"/>
    <w:rsid w:val="00FE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5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62190"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8307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8307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8307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8307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83077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3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neurosci.org/content/32/40/13819" TargetMode="Externa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02FBF-97EF-4CA7-BD81-EB6E2F8E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12</cp:revision>
  <dcterms:created xsi:type="dcterms:W3CDTF">2018-05-06T11:53:00Z</dcterms:created>
  <dcterms:modified xsi:type="dcterms:W3CDTF">2018-05-07T22:54:00Z</dcterms:modified>
</cp:coreProperties>
</file>