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Grounding Indian Land-Dispute Facts in Law: Predicting Statutes and Precedents, and the Limits of Symbolic Fact Representations</w:t>
      </w:r>
    </w:p>
    <w:p>
      <w:pPr>
        <w:jc w:val="center"/>
      </w:pPr>
      <w:r>
        <w:rPr>
          <w:i/>
        </w:rPr>
        <w:t>Project Proposal — CSE 573: Semantic Web Mining, Fall 2026</w:t>
      </w:r>
    </w:p>
    <w:p>
      <w:r>
        <w:rPr>
          <w:b/>
          <w:color w:val="C00000"/>
        </w:rPr>
        <w:t>[TODO — team roster: replace with the four members' names and ASU IDs]</w:t>
      </w:r>
    </w:p>
    <w:p>
      <w:r>
        <w:rPr>
          <w:b/>
          <w:color w:val="C00000"/>
        </w:rPr>
        <w:t>[TODO — submission date]</w:t>
      </w:r>
    </w:p>
    <w:p>
      <w:r>
        <w:rPr>
          <w:b/>
          <w:color w:val="C00000"/>
        </w:rPr>
        <w:t>[TODO — check against the official proposal template on Canvas before submitting; the professor said one would be posted. Formatting rule already applied: A4, 1in margins, 12pt Times New Roman, single column, export to PDF]</w:t>
      </w:r>
    </w:p>
    <w:p>
      <w:r>
        <w:rPr>
          <w:sz w:val="22"/>
        </w:rPr>
        <w:t>Instructor: Prof. Hasan Davulcu  ·  CSE 573 Semantic Web Mining, Fall 2026  ·  Assigned topic P15, Legal AI – Agentic Law</w:t>
      </w:r>
    </w:p>
    <w:p>
      <w:pPr>
        <w:pStyle w:val="Heading1"/>
      </w:pPr>
      <w:r>
        <w:t>1. Motivation and problem statement</w:t>
      </w:r>
    </w:p>
    <w:p>
      <w:r>
        <w:t>A lawyer handed a dispute does not hold a decided judgment. They hold facts and evidence, and the first question is which rules and authorities apply. Most extraction-based legal AI inverts this: it takes a finished judgment as input and recovers structure the court has already supplied, which solves a problem nobody has.</w:t>
      </w:r>
    </w:p>
    <w:p>
      <w:r>
        <w:t>This project therefore takes the facts of a dispute as input and predicts the law that governs it — the statutory provisions a court will invoke and the precedents it will cite — with every prediction accompanied by a trace from the conclusion back to the facts it rests on. We then ask the harder question of whether those same facts predict the outcome, and report, with a controlled benchmark behind it, that largely they do not.</w:t>
      </w:r>
    </w:p>
    <w:p>
      <w:r>
        <w:t>Three commitments shape the work. Authorities the court cites in its reasoning are chosen knowing the outcome, so they are targets and never inputs. Every reported figure is measured on this corpus rather than cited from elsewhere. And where a result is negative, it is reported as a result: the most substantial finding below is that mapping extracted facts onto a controlled vocabulary destroys their predictive signal, which has a direct consequence for ontology-based legal AI.</w:t>
      </w:r>
    </w:p>
    <w:p>
      <w:pPr>
        <w:pStyle w:val="Heading1"/>
      </w:pPr>
      <w:r>
        <w:t>2. Related work</w:t>
      </w:r>
    </w:p>
    <w:p>
      <w:r>
        <w:t>Legal knowledge representation has long separated legal concepts from the logic of their application, from LKIF-Core onwards, and the canonical demonstration that a statute can be executed as a logic program is Sergot et al.'s formalisation of the British Nationality Act (1986). Several of its lessons bear directly on this project and we adopt them explicitly: vague predicates are handled as qualified conclusions rather than forced decisions; negation as failure is distinguished from classical negation, so that a fact not proved is not recorded as proved false; and parameters are dated from the outset, since limitation and adverse possession both turn on time.</w:t>
      </w:r>
    </w:p>
    <w:p>
      <w:r>
        <w:t>Legal judgment prediction has an extensive literature, much of it reporting high accuracy on inputs that include the court's own reasoning. Our contribution is partly a response to that: we measure what the task looks like once the outcome is genuinely removed, and the difference is large.</w:t>
      </w:r>
    </w:p>
    <w:p>
      <w:r>
        <w:rPr>
          <w:b/>
          <w:color w:val="C00000"/>
        </w:rPr>
        <w:t>[TODO — add 8–12 full citations with venues and years; the related-work section currently names works without formatted references]</w:t>
      </w:r>
    </w:p>
    <w:p>
      <w:pPr>
        <w:pStyle w:val="Heading1"/>
      </w:pPr>
      <w:r>
        <w:t>3. Dataset</w:t>
      </w:r>
    </w:p>
    <w:p>
      <w:r>
        <w:t>The provided archive holds 26,688 Indian Supreme Court judgments (1950–2025) as year-organised PDFs, with citation metadata for 7,497 cases and a spreadsheet of 6,954 filtered to immovable-property disputes. We work on that land/property subset.</w:t>
      </w:r>
    </w:p>
    <w:p>
      <w:r>
        <w:t>Identifier join. Nothing in the dataset links Indian Kanoon document identifiers to PDFs across the corpus. The land-dispute spreadsheet, however, carries a filename column, so the join for our subset is exact rather than fuzzy: all 6,954 rows resolve to a file on disk (100%). The join rate is asserted in code, so a change in the archive's naming fails loudly instead of silently producing an unusable corpus.</w:t>
      </w:r>
    </w:p>
    <w:p>
      <w:r>
        <w:t>Extraction. Judgment text for every case is cached once with page and numbered-paragraph offsets, from which 79,496 atomic fact propositions are extracted over 4,581 cases. Every fact carries a source span verified to round-trip against the quote it was extracted from.</w:t>
      </w:r>
    </w:p>
    <w:p>
      <w:r>
        <w:t>Three properties of the corpus constrain what can be measured, and all three were discovered rather than assumed:</w:t>
      </w:r>
    </w:p>
    <w:p>
      <w:pPr>
        <w:pStyle w:val="ListBullet"/>
      </w:pPr>
      <w:r>
        <w:t>No section headers. The dataset documentation describes judgments as containing Facts, Issue, Arguments, Reasoning and Judgement sections. Sampled across six decades, an ORDER header appears in 3.7% of judgments and a FACTS header in 29.7%. Segmentation therefore runs on numbered paragraphs, present in 92.7% of post-2000 judgments at a median of 32 per judgment, falling back to sentence windows.</w:t>
      </w:r>
    </w:p>
    <w:p>
      <w:pPr>
        <w:pStyle w:val="ListBullet"/>
      </w:pPr>
      <w:r>
        <w:t>A hard pre-2000 boundary. The HEADNOTE convention, which lists a judgment's cited authorities at the top, appears in 79.5% of pre-2000 judgments and 0.0% of post-2000 ones. It is pure leakage and is removed; but because its presence is almost perfectly determined by era, any temporal split also separates two structurally different document types.</w:t>
      </w:r>
    </w:p>
    <w:p>
      <w:pPr>
        <w:pStyle w:val="ListBullet"/>
      </w:pPr>
      <w:r>
        <w:t>A reachability ceiling. Of 46,904 case-to-case citation edges only 22.1% point at a case this corpus contains, since it is Supreme Court only while judgments cite High Courts, the Privy Council and English decisions. Retrieval recall is therefore reported against reachable authorities with the raw total beside it.</w:t>
      </w:r>
    </w:p>
    <w:p>
      <w:r>
        <w:t>Outcome labels. A rules pass over the operative order region, cross-checked by an LLM that must quote the disposition verbatim, yields 5,329 binary WIN/LOSE labels at 44.4% WIN, with 87.0% agreement between the two labellers where both decided and the quote verified. Conflicts are held unresolved rather than broken by coin-flip, which would manufacture label noise.</w:t>
      </w:r>
    </w:p>
    <w:p>
      <w:pPr>
        <w:pStyle w:val="Heading1"/>
      </w:pPr>
      <w:r>
        <w:t>4. Approach</w:t>
      </w:r>
    </w:p>
    <w:p>
      <w:r>
        <w:t>The pipeline runs facts → canonical labels → claim families → authorities → outcome, with a trace emitted at the end. Stages are evaluated independently, because a pipeline reported only end-to-end hides which stage is responsible for its performance.</w:t>
      </w:r>
    </w:p>
    <w:p>
      <w:pPr>
        <w:pStyle w:val="Heading2"/>
      </w:pPr>
      <w:r>
        <w:t>Leakage control</w:t>
      </w:r>
    </w:p>
    <w:p>
      <w:r>
        <w:t>A judgment states its own outcome, so the single largest threat to this project is that a predictor reads the answer rather than inferring it. The masking step keeps only the facts narrative, the pleadings and each side's arguments, and removes the analysis, the operative order, the HEADNOTE, and any sentence carrying an outcome cue.</w:t>
      </w:r>
    </w:p>
    <w:p>
      <w:r>
        <w:t>Whether that worked is itself measured. A TF-IDF and logistic-regression probe is run on four inputs, and the arm that matters most is the sensitivity control:</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r>
              <w:rPr>
                <w:rFonts w:ascii="Times New Roman" w:hAnsi="Times New Roman"/>
                <w:b/>
                <w:sz w:val="20"/>
              </w:rPr>
              <w:t>probe input</w:t>
            </w:r>
          </w:p>
        </w:tc>
        <w:tc>
          <w:tcPr>
            <w:tcW w:type="dxa" w:w="2257"/>
          </w:tcPr>
          <w:p>
            <w:r/>
            <w:r>
              <w:rPr>
                <w:rFonts w:ascii="Times New Roman" w:hAnsi="Times New Roman"/>
                <w:b/>
                <w:sz w:val="20"/>
              </w:rPr>
              <w:t>macro-F1</w:t>
            </w:r>
          </w:p>
        </w:tc>
        <w:tc>
          <w:tcPr>
            <w:tcW w:type="dxa" w:w="2257"/>
          </w:tcPr>
          <w:p>
            <w:r/>
            <w:r>
              <w:rPr>
                <w:rFonts w:ascii="Times New Roman" w:hAnsi="Times New Roman"/>
                <w:b/>
                <w:sz w:val="20"/>
              </w:rPr>
              <w:t>AUROC</w:t>
            </w:r>
          </w:p>
        </w:tc>
        <w:tc>
          <w:tcPr>
            <w:tcW w:type="dxa" w:w="2257"/>
          </w:tcPr>
          <w:p>
            <w:r/>
            <w:r>
              <w:rPr>
                <w:rFonts w:ascii="Times New Roman" w:hAnsi="Times New Roman"/>
                <w:b/>
                <w:sz w:val="20"/>
              </w:rPr>
              <w:t>what it establishes</w:t>
            </w:r>
          </w:p>
        </w:tc>
      </w:tr>
      <w:tr>
        <w:tc>
          <w:tcPr>
            <w:tcW w:type="dxa" w:w="2257"/>
          </w:tcPr>
          <w:p>
            <w:r/>
            <w:r>
              <w:rPr>
                <w:rFonts w:ascii="Times New Roman" w:hAnsi="Times New Roman"/>
                <w:sz w:val="20"/>
              </w:rPr>
              <w:t>operative order only</w:t>
            </w:r>
          </w:p>
        </w:tc>
        <w:tc>
          <w:tcPr>
            <w:tcW w:type="dxa" w:w="2257"/>
          </w:tcPr>
          <w:p>
            <w:r/>
            <w:r>
              <w:rPr>
                <w:rFonts w:ascii="Times New Roman" w:hAnsi="Times New Roman"/>
                <w:sz w:val="20"/>
              </w:rPr>
              <w:t>0.932</w:t>
            </w:r>
          </w:p>
        </w:tc>
        <w:tc>
          <w:tcPr>
            <w:tcW w:type="dxa" w:w="2257"/>
          </w:tcPr>
          <w:p>
            <w:r/>
            <w:r>
              <w:rPr>
                <w:rFonts w:ascii="Times New Roman" w:hAnsi="Times New Roman"/>
                <w:sz w:val="20"/>
              </w:rPr>
              <w:t>0.983</w:t>
            </w:r>
          </w:p>
        </w:tc>
        <w:tc>
          <w:tcPr>
            <w:tcW w:type="dxa" w:w="2257"/>
          </w:tcPr>
          <w:p>
            <w:r/>
            <w:r>
              <w:rPr>
                <w:rFonts w:ascii="Times New Roman" w:hAnsi="Times New Roman"/>
                <w:sz w:val="20"/>
              </w:rPr>
              <w:t>the probe detects the outcome easily when present</w:t>
            </w:r>
          </w:p>
        </w:tc>
      </w:tr>
      <w:tr>
        <w:tc>
          <w:tcPr>
            <w:tcW w:type="dxa" w:w="2257"/>
          </w:tcPr>
          <w:p>
            <w:r/>
            <w:r>
              <w:rPr>
                <w:rFonts w:ascii="Times New Roman" w:hAnsi="Times New Roman"/>
                <w:sz w:val="20"/>
              </w:rPr>
              <w:t>unmasked judgment</w:t>
            </w:r>
          </w:p>
        </w:tc>
        <w:tc>
          <w:tcPr>
            <w:tcW w:type="dxa" w:w="2257"/>
          </w:tcPr>
          <w:p>
            <w:r/>
            <w:r>
              <w:rPr>
                <w:rFonts w:ascii="Times New Roman" w:hAnsi="Times New Roman"/>
                <w:sz w:val="20"/>
              </w:rPr>
              <w:t>0.745</w:t>
            </w:r>
          </w:p>
        </w:tc>
        <w:tc>
          <w:tcPr>
            <w:tcW w:type="dxa" w:w="2257"/>
          </w:tcPr>
          <w:p>
            <w:r/>
            <w:r>
              <w:rPr>
                <w:rFonts w:ascii="Times New Roman" w:hAnsi="Times New Roman"/>
                <w:sz w:val="20"/>
              </w:rPr>
              <w:t>0.827</w:t>
            </w:r>
          </w:p>
        </w:tc>
        <w:tc>
          <w:tcPr>
            <w:tcW w:type="dxa" w:w="2257"/>
          </w:tcPr>
          <w:p>
            <w:r/>
            <w:r>
              <w:rPr>
                <w:rFonts w:ascii="Times New Roman" w:hAnsi="Times New Roman"/>
                <w:sz w:val="20"/>
              </w:rPr>
              <w:t>upper bound on a full document</w:t>
            </w:r>
          </w:p>
        </w:tc>
      </w:tr>
      <w:tr>
        <w:tc>
          <w:tcPr>
            <w:tcW w:type="dxa" w:w="2257"/>
          </w:tcPr>
          <w:p>
            <w:r/>
            <w:r>
              <w:rPr>
                <w:rFonts w:ascii="Times New Roman" w:hAnsi="Times New Roman"/>
                <w:sz w:val="20"/>
              </w:rPr>
              <w:t>masked text (what we use)</w:t>
            </w:r>
          </w:p>
        </w:tc>
        <w:tc>
          <w:tcPr>
            <w:tcW w:type="dxa" w:w="2257"/>
          </w:tcPr>
          <w:p>
            <w:r/>
            <w:r>
              <w:rPr>
                <w:rFonts w:ascii="Times New Roman" w:hAnsi="Times New Roman"/>
                <w:sz w:val="20"/>
              </w:rPr>
              <w:t>0.598</w:t>
            </w:r>
          </w:p>
        </w:tc>
        <w:tc>
          <w:tcPr>
            <w:tcW w:type="dxa" w:w="2257"/>
          </w:tcPr>
          <w:p>
            <w:r/>
            <w:r>
              <w:rPr>
                <w:rFonts w:ascii="Times New Roman" w:hAnsi="Times New Roman"/>
                <w:sz w:val="20"/>
              </w:rPr>
              <w:t>0.655</w:t>
            </w:r>
          </w:p>
        </w:tc>
        <w:tc>
          <w:tcPr>
            <w:tcW w:type="dxa" w:w="2257"/>
          </w:tcPr>
          <w:p>
            <w:r/>
            <w:r>
              <w:rPr>
                <w:rFonts w:ascii="Times New Roman" w:hAnsi="Times New Roman"/>
                <w:sz w:val="20"/>
              </w:rPr>
              <w:t>the honest operating range</w:t>
            </w:r>
          </w:p>
        </w:tc>
      </w:tr>
      <w:tr>
        <w:tc>
          <w:tcPr>
            <w:tcW w:type="dxa" w:w="2257"/>
          </w:tcPr>
          <w:p>
            <w:r/>
            <w:r>
              <w:rPr>
                <w:rFonts w:ascii="Times New Roman" w:hAnsi="Times New Roman"/>
                <w:sz w:val="20"/>
              </w:rPr>
              <w:t>prior-court disposition only</w:t>
            </w:r>
          </w:p>
        </w:tc>
        <w:tc>
          <w:tcPr>
            <w:tcW w:type="dxa" w:w="2257"/>
          </w:tcPr>
          <w:p>
            <w:r/>
            <w:r>
              <w:rPr>
                <w:rFonts w:ascii="Times New Roman" w:hAnsi="Times New Roman"/>
                <w:sz w:val="20"/>
              </w:rPr>
              <w:t>0.563</w:t>
            </w:r>
          </w:p>
        </w:tc>
        <w:tc>
          <w:tcPr>
            <w:tcW w:type="dxa" w:w="2257"/>
          </w:tcPr>
          <w:p>
            <w:r/>
            <w:r>
              <w:rPr>
                <w:rFonts w:ascii="Times New Roman" w:hAnsi="Times New Roman"/>
                <w:sz w:val="20"/>
              </w:rPr>
              <w:t>0.581</w:t>
            </w:r>
          </w:p>
        </w:tc>
        <w:tc>
          <w:tcPr>
            <w:tcW w:type="dxa" w:w="2257"/>
          </w:tcPr>
          <w:p>
            <w:r/>
            <w:r>
              <w:rPr>
                <w:rFonts w:ascii="Times New Roman" w:hAnsi="Times New Roman"/>
                <w:sz w:val="20"/>
              </w:rPr>
              <w:t>the procedural shortcut, alone</w:t>
            </w:r>
          </w:p>
        </w:tc>
      </w:tr>
      <w:tr>
        <w:tc>
          <w:tcPr>
            <w:tcW w:type="dxa" w:w="2257"/>
          </w:tcPr>
          <w:p>
            <w:r/>
            <w:r>
              <w:rPr>
                <w:rFonts w:ascii="Times New Roman" w:hAnsi="Times New Roman"/>
                <w:sz w:val="20"/>
              </w:rPr>
              <w:t>majority class</w:t>
            </w:r>
          </w:p>
        </w:tc>
        <w:tc>
          <w:tcPr>
            <w:tcW w:type="dxa" w:w="2257"/>
          </w:tcPr>
          <w:p>
            <w:r/>
            <w:r>
              <w:rPr>
                <w:rFonts w:ascii="Times New Roman" w:hAnsi="Times New Roman"/>
                <w:sz w:val="20"/>
              </w:rPr>
              <w:t>0.345</w:t>
            </w:r>
          </w:p>
        </w:tc>
        <w:tc>
          <w:tcPr>
            <w:tcW w:type="dxa" w:w="2257"/>
          </w:tcPr>
          <w:p>
            <w:r/>
            <w:r>
              <w:rPr>
                <w:rFonts w:ascii="Times New Roman" w:hAnsi="Times New Roman"/>
                <w:sz w:val="20"/>
              </w:rPr>
              <w:t>0.500</w:t>
            </w:r>
          </w:p>
        </w:tc>
        <w:tc>
          <w:tcPr>
            <w:tcW w:type="dxa" w:w="2257"/>
          </w:tcPr>
          <w:p>
            <w:r/>
            <w:r>
              <w:rPr>
                <w:rFonts w:ascii="Times New Roman" w:hAnsi="Times New Roman"/>
                <w:sz w:val="20"/>
              </w:rPr>
              <w:t>floor</w:t>
            </w:r>
          </w:p>
        </w:tc>
      </w:tr>
    </w:tbl>
    <w:p>
      <w:r>
        <w:rPr>
          <w:i/>
          <w:sz w:val="20"/>
        </w:rPr>
        <w:t>Table: leakage probe, 902 test cases. Read AUROC, not macro-F1: with balanced class weights a model that merely emits both classes beats the majority baseline's macro-F1 while carrying no signal.</w:t>
      </w:r>
    </w:p>
    <w:p>
      <w:r>
        <w:t>The order-only arm reaching 0.983 is what licenses every other number: a low score on masked text is then evidence about the mask rather than about a blind probe. Masked text at 0.655 is the headroom any predictor is competing for — not the ~0.9 figures reported by legal-judgment-prediction work that does not control leakage.</w:t>
      </w:r>
    </w:p>
    <w:p>
      <w:r>
        <w:t>Two further controls follow from the same concern. Authorities a court cites in its analysis are chosen knowing the outcome, so they are prediction targets and never inputs; and precedent retrieval is time-respecting, which is asserted per result rather than left to a filter.</w:t>
      </w:r>
    </w:p>
    <w:p>
      <w:pPr>
        <w:pStyle w:val="Heading1"/>
      </w:pPr>
      <w:r>
        <w:t>5. Preliminary results</w:t>
      </w:r>
    </w:p>
    <w:p>
      <w:r>
        <w:t>All figures are measured on this corpus. Splits are frozen with content hashes, intervals are 1,000-sample bootstraps, and every number in this section is generated directly from the experiment files rather than transcribed.</w:t>
      </w:r>
    </w:p>
    <w:p>
      <w:pPr>
        <w:pStyle w:val="Heading2"/>
      </w:pPr>
      <w:r>
        <w:t>Grounding facts in law</w:t>
      </w:r>
    </w:p>
    <w:p>
      <w:r>
        <w:t>Statute prediction. Given only the masked facts, predict the statutory provisions the court will rely on. The well-posed version of this task predicts only the provisions the court INTRODUCED — those absent from the facts and pleadings — because a provision already pleaded sits in the input as well as the target. A control that simply copies provisions out of the input scores micro-F1 0.713 on the naive version, beating every learned model, which is how we know the naive version is an extraction task rather than a prediction one.</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505"/>
          </w:tcPr>
          <w:p>
            <w:r/>
            <w:r>
              <w:rPr>
                <w:rFonts w:ascii="Times New Roman" w:hAnsi="Times New Roman"/>
                <w:b/>
                <w:sz w:val="20"/>
              </w:rPr>
              <w:t>system</w:t>
            </w:r>
          </w:p>
        </w:tc>
        <w:tc>
          <w:tcPr>
            <w:tcW w:type="dxa" w:w="1505"/>
          </w:tcPr>
          <w:p>
            <w:r/>
            <w:r>
              <w:rPr>
                <w:rFonts w:ascii="Times New Roman" w:hAnsi="Times New Roman"/>
                <w:b/>
                <w:sz w:val="20"/>
              </w:rPr>
              <w:t>micro-F1</w:t>
            </w:r>
          </w:p>
        </w:tc>
        <w:tc>
          <w:tcPr>
            <w:tcW w:type="dxa" w:w="1505"/>
          </w:tcPr>
          <w:p>
            <w:r/>
            <w:r>
              <w:rPr>
                <w:rFonts w:ascii="Times New Roman" w:hAnsi="Times New Roman"/>
                <w:b/>
                <w:sz w:val="20"/>
              </w:rPr>
              <w:t>macro-F1</w:t>
            </w:r>
          </w:p>
        </w:tc>
        <w:tc>
          <w:tcPr>
            <w:tcW w:type="dxa" w:w="1505"/>
          </w:tcPr>
          <w:p>
            <w:r/>
            <w:r>
              <w:rPr>
                <w:rFonts w:ascii="Times New Roman" w:hAnsi="Times New Roman"/>
                <w:b/>
                <w:sz w:val="20"/>
              </w:rPr>
              <w:t>P@1</w:t>
            </w:r>
          </w:p>
        </w:tc>
        <w:tc>
          <w:tcPr>
            <w:tcW w:type="dxa" w:w="1505"/>
          </w:tcPr>
          <w:p>
            <w:r/>
            <w:r>
              <w:rPr>
                <w:rFonts w:ascii="Times New Roman" w:hAnsi="Times New Roman"/>
                <w:b/>
                <w:sz w:val="20"/>
              </w:rPr>
              <w:t>R@5</w:t>
            </w:r>
          </w:p>
        </w:tc>
        <w:tc>
          <w:tcPr>
            <w:tcW w:type="dxa" w:w="1505"/>
          </w:tcPr>
          <w:p>
            <w:r/>
            <w:r>
              <w:rPr>
                <w:rFonts w:ascii="Times New Roman" w:hAnsi="Times New Roman"/>
                <w:b/>
                <w:sz w:val="20"/>
              </w:rPr>
              <w:t>R@10</w:t>
            </w:r>
          </w:p>
        </w:tc>
      </w:tr>
      <w:tr>
        <w:tc>
          <w:tcPr>
            <w:tcW w:type="dxa" w:w="1505"/>
          </w:tcPr>
          <w:p>
            <w:r/>
            <w:r>
              <w:rPr>
                <w:rFonts w:ascii="Times New Roman" w:hAnsi="Times New Roman"/>
                <w:sz w:val="20"/>
              </w:rPr>
              <w:t>prior (top-5 global)</w:t>
            </w:r>
          </w:p>
        </w:tc>
        <w:tc>
          <w:tcPr>
            <w:tcW w:type="dxa" w:w="1505"/>
          </w:tcPr>
          <w:p>
            <w:r/>
            <w:r>
              <w:rPr>
                <w:rFonts w:ascii="Times New Roman" w:hAnsi="Times New Roman"/>
                <w:sz w:val="20"/>
              </w:rPr>
              <w:t>0.069</w:t>
            </w:r>
          </w:p>
        </w:tc>
        <w:tc>
          <w:tcPr>
            <w:tcW w:type="dxa" w:w="1505"/>
          </w:tcPr>
          <w:p>
            <w:r/>
            <w:r>
              <w:rPr>
                <w:rFonts w:ascii="Times New Roman" w:hAnsi="Times New Roman"/>
                <w:sz w:val="20"/>
              </w:rPr>
              <w:t>0.008</w:t>
            </w:r>
          </w:p>
        </w:tc>
        <w:tc>
          <w:tcPr>
            <w:tcW w:type="dxa" w:w="1505"/>
          </w:tcPr>
          <w:p>
            <w:r/>
            <w:r>
              <w:rPr>
                <w:rFonts w:ascii="Times New Roman" w:hAnsi="Times New Roman"/>
                <w:sz w:val="20"/>
              </w:rPr>
              <w:t>0.134</w:t>
            </w:r>
          </w:p>
        </w:tc>
        <w:tc>
          <w:tcPr>
            <w:tcW w:type="dxa" w:w="1505"/>
          </w:tcPr>
          <w:p>
            <w:r/>
            <w:r>
              <w:rPr>
                <w:rFonts w:ascii="Times New Roman" w:hAnsi="Times New Roman"/>
                <w:sz w:val="20"/>
              </w:rPr>
              <w:t>0.281</w:t>
            </w:r>
          </w:p>
        </w:tc>
        <w:tc>
          <w:tcPr>
            <w:tcW w:type="dxa" w:w="1505"/>
          </w:tcPr>
          <w:p>
            <w:r/>
            <w:r>
              <w:rPr>
                <w:rFonts w:ascii="Times New Roman" w:hAnsi="Times New Roman"/>
                <w:sz w:val="20"/>
              </w:rPr>
              <w:t>0.418</w:t>
            </w:r>
          </w:p>
        </w:tc>
      </w:tr>
      <w:tr>
        <w:tc>
          <w:tcPr>
            <w:tcW w:type="dxa" w:w="1505"/>
          </w:tcPr>
          <w:p>
            <w:r/>
            <w:r>
              <w:rPr>
                <w:rFonts w:ascii="Times New Roman" w:hAnsi="Times New Roman"/>
                <w:sz w:val="20"/>
              </w:rPr>
              <w:t>family prior (top-5)</w:t>
            </w:r>
          </w:p>
        </w:tc>
        <w:tc>
          <w:tcPr>
            <w:tcW w:type="dxa" w:w="1505"/>
          </w:tcPr>
          <w:p>
            <w:r/>
            <w:r>
              <w:rPr>
                <w:rFonts w:ascii="Times New Roman" w:hAnsi="Times New Roman"/>
                <w:sz w:val="20"/>
              </w:rPr>
              <w:t>0.093</w:t>
            </w:r>
          </w:p>
        </w:tc>
        <w:tc>
          <w:tcPr>
            <w:tcW w:type="dxa" w:w="1505"/>
          </w:tcPr>
          <w:p>
            <w:r/>
            <w:r>
              <w:rPr>
                <w:rFonts w:ascii="Times New Roman" w:hAnsi="Times New Roman"/>
                <w:sz w:val="20"/>
              </w:rPr>
              <w:t>0.036</w:t>
            </w:r>
          </w:p>
        </w:tc>
        <w:tc>
          <w:tcPr>
            <w:tcW w:type="dxa" w:w="1505"/>
          </w:tcPr>
          <w:p>
            <w:r/>
            <w:r>
              <w:rPr>
                <w:rFonts w:ascii="Times New Roman" w:hAnsi="Times New Roman"/>
                <w:sz w:val="20"/>
              </w:rPr>
              <w:t>0.173</w:t>
            </w:r>
          </w:p>
        </w:tc>
        <w:tc>
          <w:tcPr>
            <w:tcW w:type="dxa" w:w="1505"/>
          </w:tcPr>
          <w:p>
            <w:r/>
            <w:r>
              <w:rPr>
                <w:rFonts w:ascii="Times New Roman" w:hAnsi="Times New Roman"/>
                <w:sz w:val="20"/>
              </w:rPr>
              <w:t>0.342</w:t>
            </w:r>
          </w:p>
        </w:tc>
        <w:tc>
          <w:tcPr>
            <w:tcW w:type="dxa" w:w="1505"/>
          </w:tcPr>
          <w:p>
            <w:r/>
            <w:r>
              <w:rPr>
                <w:rFonts w:ascii="Times New Roman" w:hAnsi="Times New Roman"/>
                <w:sz w:val="20"/>
              </w:rPr>
              <w:t>0.503</w:t>
            </w:r>
          </w:p>
        </w:tc>
      </w:tr>
      <w:tr>
        <w:tc>
          <w:tcPr>
            <w:tcW w:type="dxa" w:w="1505"/>
          </w:tcPr>
          <w:p>
            <w:r/>
            <w:r>
              <w:rPr>
                <w:rFonts w:ascii="Times New Roman" w:hAnsi="Times New Roman"/>
                <w:sz w:val="20"/>
              </w:rPr>
              <w:t>copy from masked text</w:t>
            </w:r>
          </w:p>
        </w:tc>
        <w:tc>
          <w:tcPr>
            <w:tcW w:type="dxa" w:w="1505"/>
          </w:tcPr>
          <w:p>
            <w:r/>
            <w:r>
              <w:rPr>
                <w:rFonts w:ascii="Times New Roman" w:hAnsi="Times New Roman"/>
                <w:sz w:val="20"/>
              </w:rPr>
              <w:t>0.000</w:t>
            </w:r>
          </w:p>
        </w:tc>
        <w:tc>
          <w:tcPr>
            <w:tcW w:type="dxa" w:w="1505"/>
          </w:tcPr>
          <w:p>
            <w:r/>
            <w:r>
              <w:rPr>
                <w:rFonts w:ascii="Times New Roman" w:hAnsi="Times New Roman"/>
                <w:sz w:val="20"/>
              </w:rPr>
              <w:t>0.000</w:t>
            </w:r>
          </w:p>
        </w:tc>
        <w:tc>
          <w:tcPr>
            <w:tcW w:type="dxa" w:w="1505"/>
          </w:tcPr>
          <w:p>
            <w:r/>
            <w:r>
              <w:rPr>
                <w:rFonts w:ascii="Times New Roman" w:hAnsi="Times New Roman"/>
                <w:sz w:val="20"/>
              </w:rPr>
              <w:t>0.081</w:t>
            </w:r>
          </w:p>
        </w:tc>
        <w:tc>
          <w:tcPr>
            <w:tcW w:type="dxa" w:w="1505"/>
          </w:tcPr>
          <w:p>
            <w:r/>
            <w:r>
              <w:rPr>
                <w:rFonts w:ascii="Times New Roman" w:hAnsi="Times New Roman"/>
                <w:sz w:val="20"/>
              </w:rPr>
              <w:t>0.256</w:t>
            </w:r>
          </w:p>
        </w:tc>
        <w:tc>
          <w:tcPr>
            <w:tcW w:type="dxa" w:w="1505"/>
          </w:tcPr>
          <w:p>
            <w:r/>
            <w:r>
              <w:rPr>
                <w:rFonts w:ascii="Times New Roman" w:hAnsi="Times New Roman"/>
                <w:sz w:val="20"/>
              </w:rPr>
              <w:t>0.385</w:t>
            </w:r>
          </w:p>
        </w:tc>
      </w:tr>
      <w:tr>
        <w:tc>
          <w:tcPr>
            <w:tcW w:type="dxa" w:w="1505"/>
          </w:tcPr>
          <w:p>
            <w:r/>
            <w:r>
              <w:rPr>
                <w:rFonts w:ascii="Times New Roman" w:hAnsi="Times New Roman"/>
                <w:sz w:val="20"/>
              </w:rPr>
              <w:t>masked text</w:t>
            </w:r>
          </w:p>
        </w:tc>
        <w:tc>
          <w:tcPr>
            <w:tcW w:type="dxa" w:w="1505"/>
          </w:tcPr>
          <w:p>
            <w:r/>
            <w:r>
              <w:rPr>
                <w:rFonts w:ascii="Times New Roman" w:hAnsi="Times New Roman"/>
                <w:sz w:val="20"/>
              </w:rPr>
              <w:t>0.173</w:t>
            </w:r>
          </w:p>
        </w:tc>
        <w:tc>
          <w:tcPr>
            <w:tcW w:type="dxa" w:w="1505"/>
          </w:tcPr>
          <w:p>
            <w:r/>
            <w:r>
              <w:rPr>
                <w:rFonts w:ascii="Times New Roman" w:hAnsi="Times New Roman"/>
                <w:sz w:val="20"/>
              </w:rPr>
              <w:t>0.099</w:t>
            </w:r>
          </w:p>
        </w:tc>
        <w:tc>
          <w:tcPr>
            <w:tcW w:type="dxa" w:w="1505"/>
          </w:tcPr>
          <w:p>
            <w:r/>
            <w:r>
              <w:rPr>
                <w:rFonts w:ascii="Times New Roman" w:hAnsi="Times New Roman"/>
                <w:sz w:val="20"/>
              </w:rPr>
              <w:t>0.236</w:t>
            </w:r>
          </w:p>
        </w:tc>
        <w:tc>
          <w:tcPr>
            <w:tcW w:type="dxa" w:w="1505"/>
          </w:tcPr>
          <w:p>
            <w:r/>
            <w:r>
              <w:rPr>
                <w:rFonts w:ascii="Times New Roman" w:hAnsi="Times New Roman"/>
                <w:sz w:val="20"/>
              </w:rPr>
              <w:t>0.491</w:t>
            </w:r>
          </w:p>
        </w:tc>
        <w:tc>
          <w:tcPr>
            <w:tcW w:type="dxa" w:w="1505"/>
          </w:tcPr>
          <w:p>
            <w:r/>
            <w:r>
              <w:rPr>
                <w:rFonts w:ascii="Times New Roman" w:hAnsi="Times New Roman"/>
                <w:sz w:val="20"/>
              </w:rPr>
              <w:t>0.660</w:t>
            </w:r>
          </w:p>
        </w:tc>
      </w:tr>
      <w:tr>
        <w:tc>
          <w:tcPr>
            <w:tcW w:type="dxa" w:w="1505"/>
          </w:tcPr>
          <w:p>
            <w:r/>
            <w:r>
              <w:rPr>
                <w:rFonts w:ascii="Times New Roman" w:hAnsi="Times New Roman"/>
                <w:sz w:val="20"/>
              </w:rPr>
              <w:t>extracted fact text</w:t>
            </w:r>
          </w:p>
        </w:tc>
        <w:tc>
          <w:tcPr>
            <w:tcW w:type="dxa" w:w="1505"/>
          </w:tcPr>
          <w:p>
            <w:r/>
            <w:r>
              <w:rPr>
                <w:rFonts w:ascii="Times New Roman" w:hAnsi="Times New Roman"/>
                <w:sz w:val="20"/>
              </w:rPr>
              <w:t>0.159</w:t>
            </w:r>
          </w:p>
        </w:tc>
        <w:tc>
          <w:tcPr>
            <w:tcW w:type="dxa" w:w="1505"/>
          </w:tcPr>
          <w:p>
            <w:r/>
            <w:r>
              <w:rPr>
                <w:rFonts w:ascii="Times New Roman" w:hAnsi="Times New Roman"/>
                <w:sz w:val="20"/>
              </w:rPr>
              <w:t>0.093</w:t>
            </w:r>
          </w:p>
        </w:tc>
        <w:tc>
          <w:tcPr>
            <w:tcW w:type="dxa" w:w="1505"/>
          </w:tcPr>
          <w:p>
            <w:r/>
            <w:r>
              <w:rPr>
                <w:rFonts w:ascii="Times New Roman" w:hAnsi="Times New Roman"/>
                <w:sz w:val="20"/>
              </w:rPr>
              <w:t>0.206</w:t>
            </w:r>
          </w:p>
        </w:tc>
        <w:tc>
          <w:tcPr>
            <w:tcW w:type="dxa" w:w="1505"/>
          </w:tcPr>
          <w:p>
            <w:r/>
            <w:r>
              <w:rPr>
                <w:rFonts w:ascii="Times New Roman" w:hAnsi="Times New Roman"/>
                <w:sz w:val="20"/>
              </w:rPr>
              <w:t>0.451</w:t>
            </w:r>
          </w:p>
        </w:tc>
        <w:tc>
          <w:tcPr>
            <w:tcW w:type="dxa" w:w="1505"/>
          </w:tcPr>
          <w:p>
            <w:r/>
            <w:r>
              <w:rPr>
                <w:rFonts w:ascii="Times New Roman" w:hAnsi="Times New Roman"/>
                <w:sz w:val="20"/>
              </w:rPr>
              <w:t>0.581</w:t>
            </w:r>
          </w:p>
        </w:tc>
      </w:tr>
      <w:tr>
        <w:tc>
          <w:tcPr>
            <w:tcW w:type="dxa" w:w="1505"/>
          </w:tcPr>
          <w:p>
            <w:r/>
            <w:r>
              <w:rPr>
                <w:rFonts w:ascii="Times New Roman" w:hAnsi="Times New Roman"/>
                <w:sz w:val="20"/>
              </w:rPr>
              <w:t>canonical atoms</w:t>
            </w:r>
          </w:p>
        </w:tc>
        <w:tc>
          <w:tcPr>
            <w:tcW w:type="dxa" w:w="1505"/>
          </w:tcPr>
          <w:p>
            <w:r/>
            <w:r>
              <w:rPr>
                <w:rFonts w:ascii="Times New Roman" w:hAnsi="Times New Roman"/>
                <w:sz w:val="20"/>
              </w:rPr>
              <w:t>0.109</w:t>
            </w:r>
          </w:p>
        </w:tc>
        <w:tc>
          <w:tcPr>
            <w:tcW w:type="dxa" w:w="1505"/>
          </w:tcPr>
          <w:p>
            <w:r/>
            <w:r>
              <w:rPr>
                <w:rFonts w:ascii="Times New Roman" w:hAnsi="Times New Roman"/>
                <w:sz w:val="20"/>
              </w:rPr>
              <w:t>0.076</w:t>
            </w:r>
          </w:p>
        </w:tc>
        <w:tc>
          <w:tcPr>
            <w:tcW w:type="dxa" w:w="1505"/>
          </w:tcPr>
          <w:p>
            <w:r/>
            <w:r>
              <w:rPr>
                <w:rFonts w:ascii="Times New Roman" w:hAnsi="Times New Roman"/>
                <w:sz w:val="20"/>
              </w:rPr>
              <w:t>0.161</w:t>
            </w:r>
          </w:p>
        </w:tc>
        <w:tc>
          <w:tcPr>
            <w:tcW w:type="dxa" w:w="1505"/>
          </w:tcPr>
          <w:p>
            <w:r/>
            <w:r>
              <w:rPr>
                <w:rFonts w:ascii="Times New Roman" w:hAnsi="Times New Roman"/>
                <w:sz w:val="20"/>
              </w:rPr>
              <w:t>0.296</w:t>
            </w:r>
          </w:p>
        </w:tc>
        <w:tc>
          <w:tcPr>
            <w:tcW w:type="dxa" w:w="1505"/>
          </w:tcPr>
          <w:p>
            <w:r/>
            <w:r>
              <w:rPr>
                <w:rFonts w:ascii="Times New Roman" w:hAnsi="Times New Roman"/>
                <w:sz w:val="20"/>
              </w:rPr>
              <w:t>0.464</w:t>
            </w:r>
          </w:p>
        </w:tc>
      </w:tr>
    </w:tbl>
    <w:p>
      <w:r>
        <w:rPr>
          <w:i/>
          <w:sz w:val="20"/>
        </w:rPr>
        <w:t>Table: statute prediction, 46 provisions clearing a 30-train-case floor, 2,615 train / 702 test. The copy control scores exactly 0.000 by construction, confirming the targets are disjoint from the inputs.</w:t>
      </w:r>
    </w:p>
    <w:p>
      <w:r>
        <w:t>Masked text reaches micro-F1 0.173 against the strongest baseline's 0.093 — 1.9 times — and R@5 0.491 against 0.342. The margin over the FAMILY prior is the part that reads the facts rather than learning that land-acquisition cases cite the Land Acquisition Act.</w:t>
      </w:r>
    </w:p>
    <w:p>
      <w:r>
        <w:t>Precedent retrieval. Rank earlier cases by how likely the court was to cite them, on 150 queries holding 1,035 reachable targets of 2,113 citations. Queries are masked text with citation-bearing sentences removed, so a precedent cannot be read off the input.</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
              <w:rPr>
                <w:rFonts w:ascii="Times New Roman" w:hAnsi="Times New Roman"/>
                <w:b/>
                <w:sz w:val="20"/>
              </w:rPr>
              <w:t>retriever</w:t>
            </w:r>
          </w:p>
        </w:tc>
        <w:tc>
          <w:tcPr>
            <w:tcW w:type="dxa" w:w="1806"/>
          </w:tcPr>
          <w:p>
            <w:r/>
            <w:r>
              <w:rPr>
                <w:rFonts w:ascii="Times New Roman" w:hAnsi="Times New Roman"/>
                <w:b/>
                <w:sz w:val="20"/>
              </w:rPr>
              <w:t>R@10</w:t>
            </w:r>
          </w:p>
        </w:tc>
        <w:tc>
          <w:tcPr>
            <w:tcW w:type="dxa" w:w="1806"/>
          </w:tcPr>
          <w:p>
            <w:r/>
            <w:r>
              <w:rPr>
                <w:rFonts w:ascii="Times New Roman" w:hAnsi="Times New Roman"/>
                <w:b/>
                <w:sz w:val="20"/>
              </w:rPr>
              <w:t>R@50</w:t>
            </w:r>
          </w:p>
        </w:tc>
        <w:tc>
          <w:tcPr>
            <w:tcW w:type="dxa" w:w="1806"/>
          </w:tcPr>
          <w:p>
            <w:r/>
            <w:r>
              <w:rPr>
                <w:rFonts w:ascii="Times New Roman" w:hAnsi="Times New Roman"/>
                <w:b/>
                <w:sz w:val="20"/>
              </w:rPr>
              <w:t>MRR</w:t>
            </w:r>
          </w:p>
        </w:tc>
        <w:tc>
          <w:tcPr>
            <w:tcW w:type="dxa" w:w="1806"/>
          </w:tcPr>
          <w:p>
            <w:r/>
            <w:r>
              <w:rPr>
                <w:rFonts w:ascii="Times New Roman" w:hAnsi="Times New Roman"/>
                <w:b/>
                <w:sz w:val="20"/>
              </w:rPr>
              <w:t>nDCG@10</w:t>
            </w:r>
          </w:p>
        </w:tc>
      </w:tr>
      <w:tr>
        <w:tc>
          <w:tcPr>
            <w:tcW w:type="dxa" w:w="1806"/>
          </w:tcPr>
          <w:p>
            <w:r/>
            <w:r>
              <w:rPr>
                <w:rFonts w:ascii="Times New Roman" w:hAnsi="Times New Roman"/>
                <w:sz w:val="20"/>
              </w:rPr>
              <w:t>mention</w:t>
            </w:r>
          </w:p>
        </w:tc>
        <w:tc>
          <w:tcPr>
            <w:tcW w:type="dxa" w:w="1806"/>
          </w:tcPr>
          <w:p>
            <w:r/>
            <w:r>
              <w:rPr>
                <w:rFonts w:ascii="Times New Roman" w:hAnsi="Times New Roman"/>
                <w:sz w:val="20"/>
              </w:rPr>
              <w:t>0.022</w:t>
            </w:r>
          </w:p>
        </w:tc>
        <w:tc>
          <w:tcPr>
            <w:tcW w:type="dxa" w:w="1806"/>
          </w:tcPr>
          <w:p>
            <w:r/>
            <w:r>
              <w:rPr>
                <w:rFonts w:ascii="Times New Roman" w:hAnsi="Times New Roman"/>
                <w:sz w:val="20"/>
              </w:rPr>
              <w:t>0.112</w:t>
            </w:r>
          </w:p>
        </w:tc>
        <w:tc>
          <w:tcPr>
            <w:tcW w:type="dxa" w:w="1806"/>
          </w:tcPr>
          <w:p>
            <w:r/>
            <w:r>
              <w:rPr>
                <w:rFonts w:ascii="Times New Roman" w:hAnsi="Times New Roman"/>
                <w:sz w:val="20"/>
              </w:rPr>
              <w:t>0.037</w:t>
            </w:r>
          </w:p>
        </w:tc>
        <w:tc>
          <w:tcPr>
            <w:tcW w:type="dxa" w:w="1806"/>
          </w:tcPr>
          <w:p>
            <w:r/>
            <w:r>
              <w:rPr>
                <w:rFonts w:ascii="Times New Roman" w:hAnsi="Times New Roman"/>
                <w:sz w:val="20"/>
              </w:rPr>
              <w:t>0.014</w:t>
            </w:r>
          </w:p>
        </w:tc>
      </w:tr>
      <w:tr>
        <w:tc>
          <w:tcPr>
            <w:tcW w:type="dxa" w:w="1806"/>
          </w:tcPr>
          <w:p>
            <w:r/>
            <w:r>
              <w:rPr>
                <w:rFonts w:ascii="Times New Roman" w:hAnsi="Times New Roman"/>
                <w:sz w:val="20"/>
              </w:rPr>
              <w:t>popularity</w:t>
            </w:r>
          </w:p>
        </w:tc>
        <w:tc>
          <w:tcPr>
            <w:tcW w:type="dxa" w:w="1806"/>
          </w:tcPr>
          <w:p>
            <w:r/>
            <w:r>
              <w:rPr>
                <w:rFonts w:ascii="Times New Roman" w:hAnsi="Times New Roman"/>
                <w:sz w:val="20"/>
              </w:rPr>
              <w:t>0.032</w:t>
            </w:r>
          </w:p>
        </w:tc>
        <w:tc>
          <w:tcPr>
            <w:tcW w:type="dxa" w:w="1806"/>
          </w:tcPr>
          <w:p>
            <w:r/>
            <w:r>
              <w:rPr>
                <w:rFonts w:ascii="Times New Roman" w:hAnsi="Times New Roman"/>
                <w:sz w:val="20"/>
              </w:rPr>
              <w:t>0.103</w:t>
            </w:r>
          </w:p>
        </w:tc>
        <w:tc>
          <w:tcPr>
            <w:tcW w:type="dxa" w:w="1806"/>
          </w:tcPr>
          <w:p>
            <w:r/>
            <w:r>
              <w:rPr>
                <w:rFonts w:ascii="Times New Roman" w:hAnsi="Times New Roman"/>
                <w:sz w:val="20"/>
              </w:rPr>
              <w:t>0.071</w:t>
            </w:r>
          </w:p>
        </w:tc>
        <w:tc>
          <w:tcPr>
            <w:tcW w:type="dxa" w:w="1806"/>
          </w:tcPr>
          <w:p>
            <w:r/>
            <w:r>
              <w:rPr>
                <w:rFonts w:ascii="Times New Roman" w:hAnsi="Times New Roman"/>
                <w:sz w:val="20"/>
              </w:rPr>
              <w:t>0.032</w:t>
            </w:r>
          </w:p>
        </w:tc>
      </w:tr>
      <w:tr>
        <w:tc>
          <w:tcPr>
            <w:tcW w:type="dxa" w:w="1806"/>
          </w:tcPr>
          <w:p>
            <w:r/>
            <w:r>
              <w:rPr>
                <w:rFonts w:ascii="Times New Roman" w:hAnsi="Times New Roman"/>
                <w:sz w:val="20"/>
              </w:rPr>
              <w:t>bm25</w:t>
            </w:r>
          </w:p>
        </w:tc>
        <w:tc>
          <w:tcPr>
            <w:tcW w:type="dxa" w:w="1806"/>
          </w:tcPr>
          <w:p>
            <w:r/>
            <w:r>
              <w:rPr>
                <w:rFonts w:ascii="Times New Roman" w:hAnsi="Times New Roman"/>
                <w:sz w:val="20"/>
              </w:rPr>
              <w:t>0.207</w:t>
            </w:r>
          </w:p>
        </w:tc>
        <w:tc>
          <w:tcPr>
            <w:tcW w:type="dxa" w:w="1806"/>
          </w:tcPr>
          <w:p>
            <w:r/>
            <w:r>
              <w:rPr>
                <w:rFonts w:ascii="Times New Roman" w:hAnsi="Times New Roman"/>
                <w:sz w:val="20"/>
              </w:rPr>
              <w:t>0.350</w:t>
            </w:r>
          </w:p>
        </w:tc>
        <w:tc>
          <w:tcPr>
            <w:tcW w:type="dxa" w:w="1806"/>
          </w:tcPr>
          <w:p>
            <w:r/>
            <w:r>
              <w:rPr>
                <w:rFonts w:ascii="Times New Roman" w:hAnsi="Times New Roman"/>
                <w:sz w:val="20"/>
              </w:rPr>
              <w:t>0.431</w:t>
            </w:r>
          </w:p>
        </w:tc>
        <w:tc>
          <w:tcPr>
            <w:tcW w:type="dxa" w:w="1806"/>
          </w:tcPr>
          <w:p>
            <w:r/>
            <w:r>
              <w:rPr>
                <w:rFonts w:ascii="Times New Roman" w:hAnsi="Times New Roman"/>
                <w:sz w:val="20"/>
              </w:rPr>
              <w:t>0.225</w:t>
            </w:r>
          </w:p>
        </w:tc>
      </w:tr>
      <w:tr>
        <w:tc>
          <w:tcPr>
            <w:tcW w:type="dxa" w:w="1806"/>
          </w:tcPr>
          <w:p>
            <w:r/>
            <w:r>
              <w:rPr>
                <w:rFonts w:ascii="Times New Roman" w:hAnsi="Times New Roman"/>
                <w:sz w:val="20"/>
              </w:rPr>
              <w:t>dense_meanpool</w:t>
            </w:r>
          </w:p>
        </w:tc>
        <w:tc>
          <w:tcPr>
            <w:tcW w:type="dxa" w:w="1806"/>
          </w:tcPr>
          <w:p>
            <w:r/>
            <w:r>
              <w:rPr>
                <w:rFonts w:ascii="Times New Roman" w:hAnsi="Times New Roman"/>
                <w:sz w:val="20"/>
              </w:rPr>
              <w:t>0.053</w:t>
            </w:r>
          </w:p>
        </w:tc>
        <w:tc>
          <w:tcPr>
            <w:tcW w:type="dxa" w:w="1806"/>
          </w:tcPr>
          <w:p>
            <w:r/>
            <w:r>
              <w:rPr>
                <w:rFonts w:ascii="Times New Roman" w:hAnsi="Times New Roman"/>
                <w:sz w:val="20"/>
              </w:rPr>
              <w:t>0.130</w:t>
            </w:r>
          </w:p>
        </w:tc>
        <w:tc>
          <w:tcPr>
            <w:tcW w:type="dxa" w:w="1806"/>
          </w:tcPr>
          <w:p>
            <w:r/>
            <w:r>
              <w:rPr>
                <w:rFonts w:ascii="Times New Roman" w:hAnsi="Times New Roman"/>
                <w:sz w:val="20"/>
              </w:rPr>
              <w:t>0.114</w:t>
            </w:r>
          </w:p>
        </w:tc>
        <w:tc>
          <w:tcPr>
            <w:tcW w:type="dxa" w:w="1806"/>
          </w:tcPr>
          <w:p>
            <w:r/>
            <w:r>
              <w:rPr>
                <w:rFonts w:ascii="Times New Roman" w:hAnsi="Times New Roman"/>
                <w:sz w:val="20"/>
              </w:rPr>
              <w:t>0.054</w:t>
            </w:r>
          </w:p>
        </w:tc>
      </w:tr>
      <w:tr>
        <w:tc>
          <w:tcPr>
            <w:tcW w:type="dxa" w:w="1806"/>
          </w:tcPr>
          <w:p>
            <w:r/>
            <w:r>
              <w:rPr>
                <w:rFonts w:ascii="Times New Roman" w:hAnsi="Times New Roman"/>
                <w:sz w:val="20"/>
              </w:rPr>
              <w:t>dense_masked_text</w:t>
            </w:r>
          </w:p>
        </w:tc>
        <w:tc>
          <w:tcPr>
            <w:tcW w:type="dxa" w:w="1806"/>
          </w:tcPr>
          <w:p>
            <w:r/>
            <w:r>
              <w:rPr>
                <w:rFonts w:ascii="Times New Roman" w:hAnsi="Times New Roman"/>
                <w:sz w:val="20"/>
              </w:rPr>
              <w:t>0.229</w:t>
            </w:r>
          </w:p>
        </w:tc>
        <w:tc>
          <w:tcPr>
            <w:tcW w:type="dxa" w:w="1806"/>
          </w:tcPr>
          <w:p>
            <w:r/>
            <w:r>
              <w:rPr>
                <w:rFonts w:ascii="Times New Roman" w:hAnsi="Times New Roman"/>
                <w:sz w:val="20"/>
              </w:rPr>
              <w:t>0.390</w:t>
            </w:r>
          </w:p>
        </w:tc>
        <w:tc>
          <w:tcPr>
            <w:tcW w:type="dxa" w:w="1806"/>
          </w:tcPr>
          <w:p>
            <w:r/>
            <w:r>
              <w:rPr>
                <w:rFonts w:ascii="Times New Roman" w:hAnsi="Times New Roman"/>
                <w:sz w:val="20"/>
              </w:rPr>
              <w:t>0.380</w:t>
            </w:r>
          </w:p>
        </w:tc>
        <w:tc>
          <w:tcPr>
            <w:tcW w:type="dxa" w:w="1806"/>
          </w:tcPr>
          <w:p>
            <w:r/>
            <w:r>
              <w:rPr>
                <w:rFonts w:ascii="Times New Roman" w:hAnsi="Times New Roman"/>
                <w:sz w:val="20"/>
              </w:rPr>
              <w:t>0.221</w:t>
            </w:r>
          </w:p>
        </w:tc>
      </w:tr>
      <w:tr>
        <w:tc>
          <w:tcPr>
            <w:tcW w:type="dxa" w:w="1806"/>
          </w:tcPr>
          <w:p>
            <w:r/>
            <w:r>
              <w:rPr>
                <w:rFonts w:ascii="Times New Roman" w:hAnsi="Times New Roman"/>
                <w:sz w:val="20"/>
              </w:rPr>
              <w:t>rrf(bm25+dense_masked_text)</w:t>
            </w:r>
          </w:p>
        </w:tc>
        <w:tc>
          <w:tcPr>
            <w:tcW w:type="dxa" w:w="1806"/>
          </w:tcPr>
          <w:p>
            <w:r/>
            <w:r>
              <w:rPr>
                <w:rFonts w:ascii="Times New Roman" w:hAnsi="Times New Roman"/>
                <w:sz w:val="20"/>
              </w:rPr>
              <w:t>0.238</w:t>
            </w:r>
          </w:p>
        </w:tc>
        <w:tc>
          <w:tcPr>
            <w:tcW w:type="dxa" w:w="1806"/>
          </w:tcPr>
          <w:p>
            <w:r/>
            <w:r>
              <w:rPr>
                <w:rFonts w:ascii="Times New Roman" w:hAnsi="Times New Roman"/>
                <w:sz w:val="20"/>
              </w:rPr>
              <w:t>0.453</w:t>
            </w:r>
          </w:p>
        </w:tc>
        <w:tc>
          <w:tcPr>
            <w:tcW w:type="dxa" w:w="1806"/>
          </w:tcPr>
          <w:p>
            <w:r/>
            <w:r>
              <w:rPr>
                <w:rFonts w:ascii="Times New Roman" w:hAnsi="Times New Roman"/>
                <w:sz w:val="20"/>
              </w:rPr>
              <w:t>0.428</w:t>
            </w:r>
          </w:p>
        </w:tc>
        <w:tc>
          <w:tcPr>
            <w:tcW w:type="dxa" w:w="1806"/>
          </w:tcPr>
          <w:p>
            <w:r/>
            <w:r>
              <w:rPr>
                <w:rFonts w:ascii="Times New Roman" w:hAnsi="Times New Roman"/>
                <w:sz w:val="20"/>
              </w:rPr>
              <w:t>0.242</w:t>
            </w:r>
          </w:p>
        </w:tc>
      </w:tr>
    </w:tbl>
    <w:p>
      <w:r>
        <w:rPr>
          <w:i/>
          <w:sz w:val="20"/>
        </w:rPr>
        <w:t>Table: precedent retrieval. Recall is against the reachable target set. Time-respecting retrieval is asserted per result; zero returned cases post-date their query.</w:t>
      </w:r>
    </w:p>
    <w:p>
      <w:r>
        <w:t>Fusing lexical and dense retrieval over masked text gives R@10 0.238 and MRR 0.428 — 7.4 times the popularity control's 0.032, with the first correct precedent typically around rank two or three. Two negative details are worth recording: dense retrieval over extracted FACTS fails under every pooling tried (0.053) while dense over the TEXT succeeds, and reciprocal-rank fusion actively hurt until the dense arm was strong enough to fuse with.</w:t>
      </w:r>
    </w:p>
    <w:p>
      <w:pPr>
        <w:pStyle w:val="Heading2"/>
      </w:pPr>
      <w:r>
        <w:t>Where the predictive signal is lost</w:t>
      </w:r>
    </w:p>
    <w:p>
      <w:r>
        <w:t>Each stage of the pipeline replaces one representation with a more structured one. Holding the classifier, the split, the labels and the case set fixed and varying only the representation isolates what each stage costs:</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b/>
                <w:sz w:val="20"/>
              </w:rPr>
              <w:t>representation</w:t>
            </w:r>
          </w:p>
        </w:tc>
        <w:tc>
          <w:tcPr>
            <w:tcW w:type="dxa" w:w="3010"/>
          </w:tcPr>
          <w:p>
            <w:r/>
            <w:r>
              <w:rPr>
                <w:rFonts w:ascii="Times New Roman" w:hAnsi="Times New Roman"/>
                <w:b/>
                <w:sz w:val="20"/>
              </w:rPr>
              <w:t>features</w:t>
            </w:r>
          </w:p>
        </w:tc>
        <w:tc>
          <w:tcPr>
            <w:tcW w:type="dxa" w:w="3010"/>
          </w:tcPr>
          <w:p>
            <w:r/>
            <w:r>
              <w:rPr>
                <w:rFonts w:ascii="Times New Roman" w:hAnsi="Times New Roman"/>
                <w:b/>
                <w:sz w:val="20"/>
              </w:rPr>
              <w:t>AUROC</w:t>
            </w:r>
          </w:p>
        </w:tc>
      </w:tr>
      <w:tr>
        <w:tc>
          <w:tcPr>
            <w:tcW w:type="dxa" w:w="3010"/>
          </w:tcPr>
          <w:p>
            <w:r/>
            <w:r>
              <w:rPr>
                <w:rFonts w:ascii="Times New Roman" w:hAnsi="Times New Roman"/>
                <w:sz w:val="20"/>
              </w:rPr>
              <w:t>masked text</w:t>
            </w:r>
          </w:p>
        </w:tc>
        <w:tc>
          <w:tcPr>
            <w:tcW w:type="dxa" w:w="3010"/>
          </w:tcPr>
          <w:p>
            <w:r/>
            <w:r>
              <w:rPr>
                <w:rFonts w:ascii="Times New Roman" w:hAnsi="Times New Roman"/>
                <w:sz w:val="20"/>
              </w:rPr>
              <w:t>50,000</w:t>
            </w:r>
          </w:p>
        </w:tc>
        <w:tc>
          <w:tcPr>
            <w:tcW w:type="dxa" w:w="3010"/>
          </w:tcPr>
          <w:p>
            <w:r/>
            <w:r>
              <w:rPr>
                <w:rFonts w:ascii="Times New Roman" w:hAnsi="Times New Roman"/>
                <w:sz w:val="20"/>
              </w:rPr>
              <w:t>0.657</w:t>
            </w:r>
          </w:p>
        </w:tc>
      </w:tr>
      <w:tr>
        <w:tc>
          <w:tcPr>
            <w:tcW w:type="dxa" w:w="3010"/>
          </w:tcPr>
          <w:p>
            <w:r/>
            <w:r>
              <w:rPr>
                <w:rFonts w:ascii="Times New Roman" w:hAnsi="Times New Roman"/>
                <w:sz w:val="20"/>
              </w:rPr>
              <w:t>extracted fact text</w:t>
            </w:r>
          </w:p>
        </w:tc>
        <w:tc>
          <w:tcPr>
            <w:tcW w:type="dxa" w:w="3010"/>
          </w:tcPr>
          <w:p>
            <w:r/>
            <w:r>
              <w:rPr>
                <w:rFonts w:ascii="Times New Roman" w:hAnsi="Times New Roman"/>
                <w:sz w:val="20"/>
              </w:rPr>
              <w:t>41,142</w:t>
            </w:r>
          </w:p>
        </w:tc>
        <w:tc>
          <w:tcPr>
            <w:tcW w:type="dxa" w:w="3010"/>
          </w:tcPr>
          <w:p>
            <w:r/>
            <w:r>
              <w:rPr>
                <w:rFonts w:ascii="Times New Roman" w:hAnsi="Times New Roman"/>
                <w:sz w:val="20"/>
              </w:rPr>
              <w:t>0.614</w:t>
            </w:r>
          </w:p>
        </w:tc>
      </w:tr>
      <w:tr>
        <w:tc>
          <w:tcPr>
            <w:tcW w:type="dxa" w:w="3010"/>
          </w:tcPr>
          <w:p>
            <w:r/>
            <w:r>
              <w:rPr>
                <w:rFonts w:ascii="Times New Roman" w:hAnsi="Times New Roman"/>
                <w:sz w:val="20"/>
              </w:rPr>
              <w:t>canonical fact labels</w:t>
            </w:r>
          </w:p>
        </w:tc>
        <w:tc>
          <w:tcPr>
            <w:tcW w:type="dxa" w:w="3010"/>
          </w:tcPr>
          <w:p>
            <w:r/>
            <w:r>
              <w:rPr>
                <w:rFonts w:ascii="Times New Roman" w:hAnsi="Times New Roman"/>
                <w:sz w:val="20"/>
              </w:rPr>
              <w:t>1,313</w:t>
            </w:r>
          </w:p>
        </w:tc>
        <w:tc>
          <w:tcPr>
            <w:tcW w:type="dxa" w:w="3010"/>
          </w:tcPr>
          <w:p>
            <w:r/>
            <w:r>
              <w:rPr>
                <w:rFonts w:ascii="Times New Roman" w:hAnsi="Times New Roman"/>
                <w:sz w:val="20"/>
              </w:rPr>
              <w:t>0.517</w:t>
            </w:r>
          </w:p>
        </w:tc>
      </w:tr>
      <w:tr>
        <w:tc>
          <w:tcPr>
            <w:tcW w:type="dxa" w:w="3010"/>
          </w:tcPr>
          <w:p>
            <w:r/>
            <w:r>
              <w:rPr>
                <w:rFonts w:ascii="Times New Roman" w:hAnsi="Times New Roman"/>
                <w:sz w:val="20"/>
              </w:rPr>
              <w:t>chance</w:t>
            </w:r>
          </w:p>
        </w:tc>
        <w:tc>
          <w:tcPr>
            <w:tcW w:type="dxa" w:w="3010"/>
          </w:tcPr>
          <w:p>
            <w:r/>
            <w:r>
              <w:rPr>
                <w:rFonts w:ascii="Times New Roman" w:hAnsi="Times New Roman"/>
                <w:sz w:val="20"/>
              </w:rPr>
              <w:t>—</w:t>
            </w:r>
          </w:p>
        </w:tc>
        <w:tc>
          <w:tcPr>
            <w:tcW w:type="dxa" w:w="3010"/>
          </w:tcPr>
          <w:p>
            <w:r/>
            <w:r>
              <w:rPr>
                <w:rFonts w:ascii="Times New Roman" w:hAnsi="Times New Roman"/>
                <w:sz w:val="20"/>
              </w:rPr>
              <w:t>0.500</w:t>
            </w:r>
          </w:p>
        </w:tc>
      </w:tr>
    </w:tbl>
    <w:p>
      <w:r>
        <w:rPr>
          <w:i/>
          <w:sz w:val="20"/>
        </w:rPr>
        <w:t>Table: representation ladder, identical 3,258 train / 881 test cases at every rung.</w:t>
      </w:r>
    </w:p>
    <w:p>
      <w:r>
        <w:t>Extraction costs 0.043 AUROC. Mapping those facts onto the ontology's controlled vocabulary costs a further 0.097 and lands at chance. Three independent checks say the second loss is caused by discretisation itself rather than by this ontology's particular labels: sweeping the atom-frequency threshold leaves the result at chance at every setting; an INDUCED vocabulary clustered bottom-up from the corpus at the same granularity is no better (paired difference -0.025, P=0.846); and raising the atom count from 345 to 1,000 does not close the gap. Against the text, both vocabularies lose significantly (ontology +0.089, 95% CI [0.043, 0.1352]).</w:t>
      </w:r>
    </w:p>
    <w:p>
      <w:r>
        <w:t>This explains the pattern-mining result rather than leaving it a puzzle. FP-Growth over those labels, per claim family, yields 498 closed itemsets of which 311 are stable across 20 bootstrap resamples — and 0 survive Benjamini–Hochberg correction in any family. Ten pass an uncorrected threshold against 17.6 expected by chance alone, so this is not a weak effect awaiting more data. No pattern over uninformative atoms can be significant.</w:t>
      </w:r>
    </w:p>
    <w:p>
      <w:pPr>
        <w:pStyle w:val="Heading2"/>
      </w:pPr>
      <w:r>
        <w:t>Outcome prediction</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r>
              <w:rPr>
                <w:rFonts w:ascii="Times New Roman" w:hAnsi="Times New Roman"/>
                <w:b/>
                <w:sz w:val="20"/>
              </w:rPr>
              <w:t>system</w:t>
            </w:r>
          </w:p>
        </w:tc>
        <w:tc>
          <w:tcPr>
            <w:tcW w:type="dxa" w:w="1806"/>
          </w:tcPr>
          <w:p>
            <w:r/>
            <w:r>
              <w:rPr>
                <w:rFonts w:ascii="Times New Roman" w:hAnsi="Times New Roman"/>
                <w:b/>
                <w:sz w:val="20"/>
              </w:rPr>
              <w:t>accuracy</w:t>
            </w:r>
          </w:p>
        </w:tc>
        <w:tc>
          <w:tcPr>
            <w:tcW w:type="dxa" w:w="1806"/>
          </w:tcPr>
          <w:p>
            <w:r/>
            <w:r>
              <w:rPr>
                <w:rFonts w:ascii="Times New Roman" w:hAnsi="Times New Roman"/>
                <w:b/>
                <w:sz w:val="20"/>
              </w:rPr>
              <w:t>macro-F1 (95% CI)</w:t>
            </w:r>
          </w:p>
        </w:tc>
        <w:tc>
          <w:tcPr>
            <w:tcW w:type="dxa" w:w="1806"/>
          </w:tcPr>
          <w:p>
            <w:r/>
            <w:r>
              <w:rPr>
                <w:rFonts w:ascii="Times New Roman" w:hAnsi="Times New Roman"/>
                <w:b/>
                <w:sz w:val="20"/>
              </w:rPr>
              <w:t>AUROC</w:t>
            </w:r>
          </w:p>
        </w:tc>
        <w:tc>
          <w:tcPr>
            <w:tcW w:type="dxa" w:w="1806"/>
          </w:tcPr>
          <w:p>
            <w:r/>
            <w:r>
              <w:rPr>
                <w:rFonts w:ascii="Times New Roman" w:hAnsi="Times New Roman"/>
                <w:b/>
                <w:sz w:val="20"/>
              </w:rPr>
              <w:t>ECE</w:t>
            </w:r>
          </w:p>
        </w:tc>
      </w:tr>
      <w:tr>
        <w:tc>
          <w:tcPr>
            <w:tcW w:type="dxa" w:w="1806"/>
          </w:tcPr>
          <w:p>
            <w:r/>
            <w:r>
              <w:rPr>
                <w:rFonts w:ascii="Times New Roman" w:hAnsi="Times New Roman"/>
                <w:sz w:val="20"/>
              </w:rPr>
              <w:t>structured gbm F+P+E+S+R+C</w:t>
            </w:r>
          </w:p>
        </w:tc>
        <w:tc>
          <w:tcPr>
            <w:tcW w:type="dxa" w:w="1806"/>
          </w:tcPr>
          <w:p>
            <w:r/>
            <w:r>
              <w:rPr>
                <w:rFonts w:ascii="Times New Roman" w:hAnsi="Times New Roman"/>
                <w:sz w:val="20"/>
              </w:rPr>
              <w:t>0.603</w:t>
            </w:r>
          </w:p>
        </w:tc>
        <w:tc>
          <w:tcPr>
            <w:tcW w:type="dxa" w:w="1806"/>
          </w:tcPr>
          <w:p>
            <w:r/>
            <w:r>
              <w:rPr>
                <w:rFonts w:ascii="Times New Roman" w:hAnsi="Times New Roman"/>
                <w:sz w:val="20"/>
              </w:rPr>
              <w:t>0.599 [0.544, 0.654]</w:t>
            </w:r>
          </w:p>
        </w:tc>
        <w:tc>
          <w:tcPr>
            <w:tcW w:type="dxa" w:w="1806"/>
          </w:tcPr>
          <w:p>
            <w:r/>
            <w:r>
              <w:rPr>
                <w:rFonts w:ascii="Times New Roman" w:hAnsi="Times New Roman"/>
                <w:sz w:val="20"/>
              </w:rPr>
              <w:t>0.628</w:t>
            </w:r>
          </w:p>
        </w:tc>
        <w:tc>
          <w:tcPr>
            <w:tcW w:type="dxa" w:w="1806"/>
          </w:tcPr>
          <w:p>
            <w:r/>
            <w:r>
              <w:rPr>
                <w:rFonts w:ascii="Times New Roman" w:hAnsi="Times New Roman"/>
                <w:sz w:val="20"/>
              </w:rPr>
              <w:t>0.109</w:t>
            </w:r>
          </w:p>
        </w:tc>
      </w:tr>
      <w:tr>
        <w:tc>
          <w:tcPr>
            <w:tcW w:type="dxa" w:w="1806"/>
          </w:tcPr>
          <w:p>
            <w:r/>
            <w:r>
              <w:rPr>
                <w:rFonts w:ascii="Times New Roman" w:hAnsi="Times New Roman"/>
                <w:sz w:val="20"/>
              </w:rPr>
              <w:t>structured lr S only</w:t>
            </w:r>
          </w:p>
        </w:tc>
        <w:tc>
          <w:tcPr>
            <w:tcW w:type="dxa" w:w="1806"/>
          </w:tcPr>
          <w:p>
            <w:r/>
            <w:r>
              <w:rPr>
                <w:rFonts w:ascii="Times New Roman" w:hAnsi="Times New Roman"/>
                <w:sz w:val="20"/>
              </w:rPr>
              <w:t>0.603</w:t>
            </w:r>
          </w:p>
        </w:tc>
        <w:tc>
          <w:tcPr>
            <w:tcW w:type="dxa" w:w="1806"/>
          </w:tcPr>
          <w:p>
            <w:r/>
            <w:r>
              <w:rPr>
                <w:rFonts w:ascii="Times New Roman" w:hAnsi="Times New Roman"/>
                <w:sz w:val="20"/>
              </w:rPr>
              <w:t>0.601 [0.541, 0.654]</w:t>
            </w:r>
          </w:p>
        </w:tc>
        <w:tc>
          <w:tcPr>
            <w:tcW w:type="dxa" w:w="1806"/>
          </w:tcPr>
          <w:p>
            <w:r/>
            <w:r>
              <w:rPr>
                <w:rFonts w:ascii="Times New Roman" w:hAnsi="Times New Roman"/>
                <w:sz w:val="20"/>
              </w:rPr>
              <w:t>0.612</w:t>
            </w:r>
          </w:p>
        </w:tc>
        <w:tc>
          <w:tcPr>
            <w:tcW w:type="dxa" w:w="1806"/>
          </w:tcPr>
          <w:p>
            <w:r/>
            <w:r>
              <w:rPr>
                <w:rFonts w:ascii="Times New Roman" w:hAnsi="Times New Roman"/>
                <w:sz w:val="20"/>
              </w:rPr>
              <w:t>0.050</w:t>
            </w:r>
          </w:p>
        </w:tc>
      </w:tr>
      <w:tr>
        <w:tc>
          <w:tcPr>
            <w:tcW w:type="dxa" w:w="1806"/>
          </w:tcPr>
          <w:p>
            <w:r/>
            <w:r>
              <w:rPr>
                <w:rFonts w:ascii="Times New Roman" w:hAnsi="Times New Roman"/>
                <w:sz w:val="20"/>
              </w:rPr>
              <w:t>TF-IDF on masked text</w:t>
            </w:r>
          </w:p>
        </w:tc>
        <w:tc>
          <w:tcPr>
            <w:tcW w:type="dxa" w:w="1806"/>
          </w:tcPr>
          <w:p>
            <w:r/>
            <w:r>
              <w:rPr>
                <w:rFonts w:ascii="Times New Roman" w:hAnsi="Times New Roman"/>
                <w:sz w:val="20"/>
              </w:rPr>
              <w:t>0.597</w:t>
            </w:r>
          </w:p>
        </w:tc>
        <w:tc>
          <w:tcPr>
            <w:tcW w:type="dxa" w:w="1806"/>
          </w:tcPr>
          <w:p>
            <w:r/>
            <w:r>
              <w:rPr>
                <w:rFonts w:ascii="Times New Roman" w:hAnsi="Times New Roman"/>
                <w:sz w:val="20"/>
              </w:rPr>
              <w:t>0.593 [0.535, 0.649]</w:t>
            </w:r>
          </w:p>
        </w:tc>
        <w:tc>
          <w:tcPr>
            <w:tcW w:type="dxa" w:w="1806"/>
          </w:tcPr>
          <w:p>
            <w:r/>
            <w:r>
              <w:rPr>
                <w:rFonts w:ascii="Times New Roman" w:hAnsi="Times New Roman"/>
                <w:sz w:val="20"/>
              </w:rPr>
              <w:t>0.645</w:t>
            </w:r>
          </w:p>
        </w:tc>
        <w:tc>
          <w:tcPr>
            <w:tcW w:type="dxa" w:w="1806"/>
          </w:tcPr>
          <w:p>
            <w:r/>
            <w:r>
              <w:rPr>
                <w:rFonts w:ascii="Times New Roman" w:hAnsi="Times New Roman"/>
                <w:sz w:val="20"/>
              </w:rPr>
              <w:t>0.045</w:t>
            </w:r>
          </w:p>
        </w:tc>
      </w:tr>
      <w:tr>
        <w:tc>
          <w:tcPr>
            <w:tcW w:type="dxa" w:w="1806"/>
          </w:tcPr>
          <w:p>
            <w:r/>
            <w:r>
              <w:rPr>
                <w:rFonts w:ascii="Times New Roman" w:hAnsi="Times New Roman"/>
                <w:sz w:val="20"/>
              </w:rPr>
              <w:t>majority (per decade)</w:t>
            </w:r>
          </w:p>
        </w:tc>
        <w:tc>
          <w:tcPr>
            <w:tcW w:type="dxa" w:w="1806"/>
          </w:tcPr>
          <w:p>
            <w:r/>
            <w:r>
              <w:rPr>
                <w:rFonts w:ascii="Times New Roman" w:hAnsi="Times New Roman"/>
                <w:sz w:val="20"/>
              </w:rPr>
              <w:t>0.587</w:t>
            </w:r>
          </w:p>
        </w:tc>
        <w:tc>
          <w:tcPr>
            <w:tcW w:type="dxa" w:w="1806"/>
          </w:tcPr>
          <w:p>
            <w:r/>
            <w:r>
              <w:rPr>
                <w:rFonts w:ascii="Times New Roman" w:hAnsi="Times New Roman"/>
                <w:sz w:val="20"/>
              </w:rPr>
              <w:t>0.571 [0.515, 0.625]</w:t>
            </w:r>
          </w:p>
        </w:tc>
        <w:tc>
          <w:tcPr>
            <w:tcW w:type="dxa" w:w="1806"/>
          </w:tcPr>
          <w:p>
            <w:r/>
            <w:r>
              <w:rPr>
                <w:rFonts w:ascii="Times New Roman" w:hAnsi="Times New Roman"/>
                <w:sz w:val="20"/>
              </w:rPr>
              <w:t>—</w:t>
            </w:r>
          </w:p>
        </w:tc>
        <w:tc>
          <w:tcPr>
            <w:tcW w:type="dxa" w:w="1806"/>
          </w:tcPr>
          <w:p>
            <w:r/>
            <w:r>
              <w:rPr>
                <w:rFonts w:ascii="Times New Roman" w:hAnsi="Times New Roman"/>
                <w:sz w:val="20"/>
              </w:rPr>
              <w:t>—</w:t>
            </w:r>
          </w:p>
        </w:tc>
      </w:tr>
      <w:tr>
        <w:tc>
          <w:tcPr>
            <w:tcW w:type="dxa" w:w="1806"/>
          </w:tcPr>
          <w:p>
            <w:r/>
            <w:r>
              <w:rPr>
                <w:rFonts w:ascii="Times New Roman" w:hAnsi="Times New Roman"/>
                <w:sz w:val="20"/>
              </w:rPr>
              <w:t>LLM-CoT</w:t>
            </w:r>
          </w:p>
        </w:tc>
        <w:tc>
          <w:tcPr>
            <w:tcW w:type="dxa" w:w="1806"/>
          </w:tcPr>
          <w:p>
            <w:r/>
            <w:r>
              <w:rPr>
                <w:rFonts w:ascii="Times New Roman" w:hAnsi="Times New Roman"/>
                <w:sz w:val="20"/>
              </w:rPr>
              <w:t>0.583</w:t>
            </w:r>
          </w:p>
        </w:tc>
        <w:tc>
          <w:tcPr>
            <w:tcW w:type="dxa" w:w="1806"/>
          </w:tcPr>
          <w:p>
            <w:r/>
            <w:r>
              <w:rPr>
                <w:rFonts w:ascii="Times New Roman" w:hAnsi="Times New Roman"/>
                <w:sz w:val="20"/>
              </w:rPr>
              <w:t>0.582 [0.526, 0.633]</w:t>
            </w:r>
          </w:p>
        </w:tc>
        <w:tc>
          <w:tcPr>
            <w:tcW w:type="dxa" w:w="1806"/>
          </w:tcPr>
          <w:p>
            <w:r/>
            <w:r>
              <w:rPr>
                <w:rFonts w:ascii="Times New Roman" w:hAnsi="Times New Roman"/>
                <w:sz w:val="20"/>
              </w:rPr>
              <w:t>0.610</w:t>
            </w:r>
          </w:p>
        </w:tc>
        <w:tc>
          <w:tcPr>
            <w:tcW w:type="dxa" w:w="1806"/>
          </w:tcPr>
          <w:p>
            <w:r/>
            <w:r>
              <w:rPr>
                <w:rFonts w:ascii="Times New Roman" w:hAnsi="Times New Roman"/>
                <w:sz w:val="20"/>
              </w:rPr>
              <w:t>0.207</w:t>
            </w:r>
          </w:p>
        </w:tc>
      </w:tr>
      <w:tr>
        <w:tc>
          <w:tcPr>
            <w:tcW w:type="dxa" w:w="1806"/>
          </w:tcPr>
          <w:p>
            <w:r/>
            <w:r>
              <w:rPr>
                <w:rFonts w:ascii="Times New Roman" w:hAnsi="Times New Roman"/>
                <w:sz w:val="20"/>
              </w:rPr>
              <w:t>LLM-0</w:t>
            </w:r>
          </w:p>
        </w:tc>
        <w:tc>
          <w:tcPr>
            <w:tcW w:type="dxa" w:w="1806"/>
          </w:tcPr>
          <w:p>
            <w:r/>
            <w:r>
              <w:rPr>
                <w:rFonts w:ascii="Times New Roman" w:hAnsi="Times New Roman"/>
                <w:sz w:val="20"/>
              </w:rPr>
              <w:t>0.577</w:t>
            </w:r>
          </w:p>
        </w:tc>
        <w:tc>
          <w:tcPr>
            <w:tcW w:type="dxa" w:w="1806"/>
          </w:tcPr>
          <w:p>
            <w:r/>
            <w:r>
              <w:rPr>
                <w:rFonts w:ascii="Times New Roman" w:hAnsi="Times New Roman"/>
                <w:sz w:val="20"/>
              </w:rPr>
              <w:t>0.491 [0.434, 0.546]</w:t>
            </w:r>
          </w:p>
        </w:tc>
        <w:tc>
          <w:tcPr>
            <w:tcW w:type="dxa" w:w="1806"/>
          </w:tcPr>
          <w:p>
            <w:r/>
            <w:r>
              <w:rPr>
                <w:rFonts w:ascii="Times New Roman" w:hAnsi="Times New Roman"/>
                <w:sz w:val="20"/>
              </w:rPr>
              <w:t>0.579</w:t>
            </w:r>
          </w:p>
        </w:tc>
        <w:tc>
          <w:tcPr>
            <w:tcW w:type="dxa" w:w="1806"/>
          </w:tcPr>
          <w:p>
            <w:r/>
            <w:r>
              <w:rPr>
                <w:rFonts w:ascii="Times New Roman" w:hAnsi="Times New Roman"/>
                <w:sz w:val="20"/>
              </w:rPr>
              <w:t>0.265</w:t>
            </w:r>
          </w:p>
        </w:tc>
      </w:tr>
      <w:tr>
        <w:tc>
          <w:tcPr>
            <w:tcW w:type="dxa" w:w="1806"/>
          </w:tcPr>
          <w:p>
            <w:r/>
            <w:r>
              <w:rPr>
                <w:rFonts w:ascii="Times New Roman" w:hAnsi="Times New Roman"/>
                <w:sz w:val="20"/>
              </w:rPr>
              <w:t>LLM-CF</w:t>
            </w:r>
          </w:p>
        </w:tc>
        <w:tc>
          <w:tcPr>
            <w:tcW w:type="dxa" w:w="1806"/>
          </w:tcPr>
          <w:p>
            <w:r/>
            <w:r>
              <w:rPr>
                <w:rFonts w:ascii="Times New Roman" w:hAnsi="Times New Roman"/>
                <w:sz w:val="20"/>
              </w:rPr>
              <w:t>0.560</w:t>
            </w:r>
          </w:p>
        </w:tc>
        <w:tc>
          <w:tcPr>
            <w:tcW w:type="dxa" w:w="1806"/>
          </w:tcPr>
          <w:p>
            <w:r/>
            <w:r>
              <w:rPr>
                <w:rFonts w:ascii="Times New Roman" w:hAnsi="Times New Roman"/>
                <w:sz w:val="20"/>
              </w:rPr>
              <w:t>0.469 [0.419, 0.525]</w:t>
            </w:r>
          </w:p>
        </w:tc>
        <w:tc>
          <w:tcPr>
            <w:tcW w:type="dxa" w:w="1806"/>
          </w:tcPr>
          <w:p>
            <w:r/>
            <w:r>
              <w:rPr>
                <w:rFonts w:ascii="Times New Roman" w:hAnsi="Times New Roman"/>
                <w:sz w:val="20"/>
              </w:rPr>
              <w:t>0.545</w:t>
            </w:r>
          </w:p>
        </w:tc>
        <w:tc>
          <w:tcPr>
            <w:tcW w:type="dxa" w:w="1806"/>
          </w:tcPr>
          <w:p>
            <w:r/>
            <w:r>
              <w:rPr>
                <w:rFonts w:ascii="Times New Roman" w:hAnsi="Times New Roman"/>
                <w:sz w:val="20"/>
              </w:rPr>
              <w:t>0.062</w:t>
            </w:r>
          </w:p>
        </w:tc>
      </w:tr>
      <w:tr>
        <w:tc>
          <w:tcPr>
            <w:tcW w:type="dxa" w:w="1806"/>
          </w:tcPr>
          <w:p>
            <w:r/>
            <w:r>
              <w:rPr>
                <w:rFonts w:ascii="Times New Roman" w:hAnsi="Times New Roman"/>
                <w:sz w:val="20"/>
              </w:rPr>
              <w:t>LLM-CF+A</w:t>
            </w:r>
          </w:p>
        </w:tc>
        <w:tc>
          <w:tcPr>
            <w:tcW w:type="dxa" w:w="1806"/>
          </w:tcPr>
          <w:p>
            <w:r/>
            <w:r>
              <w:rPr>
                <w:rFonts w:ascii="Times New Roman" w:hAnsi="Times New Roman"/>
                <w:sz w:val="20"/>
              </w:rPr>
              <w:t>0.560</w:t>
            </w:r>
          </w:p>
        </w:tc>
        <w:tc>
          <w:tcPr>
            <w:tcW w:type="dxa" w:w="1806"/>
          </w:tcPr>
          <w:p>
            <w:r/>
            <w:r>
              <w:rPr>
                <w:rFonts w:ascii="Times New Roman" w:hAnsi="Times New Roman"/>
                <w:sz w:val="20"/>
              </w:rPr>
              <w:t>0.502 [0.452, 0.560]</w:t>
            </w:r>
          </w:p>
        </w:tc>
        <w:tc>
          <w:tcPr>
            <w:tcW w:type="dxa" w:w="1806"/>
          </w:tcPr>
          <w:p>
            <w:r/>
            <w:r>
              <w:rPr>
                <w:rFonts w:ascii="Times New Roman" w:hAnsi="Times New Roman"/>
                <w:sz w:val="20"/>
              </w:rPr>
              <w:t>0.535</w:t>
            </w:r>
          </w:p>
        </w:tc>
        <w:tc>
          <w:tcPr>
            <w:tcW w:type="dxa" w:w="1806"/>
          </w:tcPr>
          <w:p>
            <w:r/>
            <w:r>
              <w:rPr>
                <w:rFonts w:ascii="Times New Roman" w:hAnsi="Times New Roman"/>
                <w:sz w:val="20"/>
              </w:rPr>
              <w:t>0.046</w:t>
            </w:r>
          </w:p>
        </w:tc>
      </w:tr>
      <w:tr>
        <w:tc>
          <w:tcPr>
            <w:tcW w:type="dxa" w:w="1806"/>
          </w:tcPr>
          <w:p>
            <w:r/>
            <w:r>
              <w:rPr>
                <w:rFonts w:ascii="Times New Roman" w:hAnsi="Times New Roman"/>
                <w:sz w:val="20"/>
              </w:rPr>
              <w:t>LLM-FS</w:t>
            </w:r>
          </w:p>
        </w:tc>
        <w:tc>
          <w:tcPr>
            <w:tcW w:type="dxa" w:w="1806"/>
          </w:tcPr>
          <w:p>
            <w:r/>
            <w:r>
              <w:rPr>
                <w:rFonts w:ascii="Times New Roman" w:hAnsi="Times New Roman"/>
                <w:sz w:val="20"/>
              </w:rPr>
              <w:t>0.543</w:t>
            </w:r>
          </w:p>
        </w:tc>
        <w:tc>
          <w:tcPr>
            <w:tcW w:type="dxa" w:w="1806"/>
          </w:tcPr>
          <w:p>
            <w:r/>
            <w:r>
              <w:rPr>
                <w:rFonts w:ascii="Times New Roman" w:hAnsi="Times New Roman"/>
                <w:sz w:val="20"/>
              </w:rPr>
              <w:t>0.522 [0.468, 0.573]</w:t>
            </w:r>
          </w:p>
        </w:tc>
        <w:tc>
          <w:tcPr>
            <w:tcW w:type="dxa" w:w="1806"/>
          </w:tcPr>
          <w:p>
            <w:r/>
            <w:r>
              <w:rPr>
                <w:rFonts w:ascii="Times New Roman" w:hAnsi="Times New Roman"/>
                <w:sz w:val="20"/>
              </w:rPr>
              <w:t>0.522</w:t>
            </w:r>
          </w:p>
        </w:tc>
        <w:tc>
          <w:tcPr>
            <w:tcW w:type="dxa" w:w="1806"/>
          </w:tcPr>
          <w:p>
            <w:r/>
            <w:r>
              <w:rPr>
                <w:rFonts w:ascii="Times New Roman" w:hAnsi="Times New Roman"/>
                <w:sz w:val="20"/>
              </w:rPr>
              <w:t>0.117</w:t>
            </w:r>
          </w:p>
        </w:tc>
      </w:tr>
    </w:tbl>
    <w:p>
      <w:r>
        <w:rPr>
          <w:i/>
          <w:sz w:val="20"/>
        </w:rPr>
        <w:t>Table: all systems on the identical 300 test cases. Intervals are 1,000-sample bootstraps.</w:t>
      </w:r>
    </w:p>
    <w:p>
      <w:r>
        <w:t>The honest reading is the intervals. Every macro-F1 interval spans about 0.11 and they overlap heavily; a per-decade majority baseline sits inside nearly all of them; and a paired McNemar test against zero-shot prompting is non-significant for all four other LLM arms. So the defensible claim is not that one system wins, but that on leakage-controlled inputs no system convincingly clears a per-decade majority.</w:t>
      </w:r>
    </w:p>
    <w:p>
      <w:r>
        <w:t>Four results do survive that caveat:</w:t>
      </w:r>
    </w:p>
    <w:p>
      <w:pPr>
        <w:pStyle w:val="ListBullet"/>
      </w:pPr>
      <w:r>
        <w:t>Giving a language model our canonical facts instead of the raw text makes it WORSE (AUROC 0.545 against 0.579). This was predicted from the ladder before being run, and it shows the discretisation loss is a property of the representation rather than an artifact of linear and tree classifiers.</w:t>
      </w:r>
    </w:p>
    <w:p>
      <w:pPr>
        <w:pStyle w:val="ListBullet"/>
      </w:pPr>
      <w:r>
        <w:t>The features that help are the authority-grounding ones, not the fact labels. Predicted statutes alone reach AUROC 0.612 at ECE 0.050, the best-calibrated informative arm.</w:t>
      </w:r>
    </w:p>
    <w:p>
      <w:pPr>
        <w:pStyle w:val="ListBullet"/>
      </w:pPr>
      <w:r>
        <w:t>Calibration separates the systems where accuracy does not, and that gap does not overlap: zero-shot prompting reaches ECE 0.265, predicting a win 13% of the time where the truth is 46%, against 0.045 for TF-IDF.</w:t>
      </w:r>
    </w:p>
    <w:p>
      <w:pPr>
        <w:pStyle w:val="ListBullet"/>
      </w:pPr>
      <w:r>
        <w:t>The ceiling appears intrinsic. No signal available to the pipeline predicts which cases fail — every candidate signal has a lift near 1.0 against a base error rate of 0.402 — and the structured model's errors are statistically independent of a language model's working from raw text (46 cases wrong in both against 49.6 expected under independence).</w:t>
      </w:r>
    </w:p>
    <w:p>
      <w:pPr>
        <w:pStyle w:val="Heading2"/>
      </w:pPr>
      <w:r>
        <w:t>The trace, and what it is verified to do</w:t>
      </w:r>
    </w:p>
    <w:p>
      <w:r>
        <w:t>Every prediction emits a trace: the probability, the claim families, the facts with source spans into the masked text, the predicted statutes, the retrieved precedents with the analogous party's outcome, and per-feature attributions computed by ablation.</w:t>
      </w:r>
    </w:p>
    <w:p>
      <w:r>
        <w:t>Faithfulness is tested by deletion, and the test operates on FACTS rather than features — attribution is itself feature ablation, so re-ablating the same features would measure the attribution against itself. Deleting a fact re-derives its labels, rebuilds the feature row and re-scores. Over 45 cases, deleting the three facts the trace cites moves the prediction by 0.0650 against 0.0209 for three random facts and 0.0180 for the trace's own lowest-ranked facts. The paired difference against random is +0.0441, 95% CI [0.02451, 0.06591].</w:t>
      </w:r>
    </w:p>
    <w:p>
      <w:r>
        <w:t>This establishes that the trace points at the evidence the model uses. It does not establish that the cited evidence is legally correct reasoning, and the proposal does not claim otherwise: a trace can be perfectly faithful to a model that is wrong.</w:t>
      </w:r>
    </w:p>
    <w:p>
      <w:r>
        <w:t>Two fields of the trace contract are deliberately emitted EMPTY rather than filled: per-element status and the burden that attaches to each. No ontology element carries burden metadata yet, and no mined pattern survived significance correction, so there is nothing to populate them with. Inventing element statuses would read as legal reasoning while being decoration.</w:t>
      </w:r>
    </w:p>
    <w:p>
      <w:pPr>
        <w:pStyle w:val="Heading1"/>
      </w:pPr>
      <w:r>
        <w:t>6. Evaluation plan</w:t>
      </w:r>
    </w:p>
    <w:p>
      <w:pPr>
        <w:pStyle w:val="Heading2"/>
      </w:pPr>
      <w:r>
        <w:t>Evaluation plan</w:t>
      </w:r>
    </w:p>
    <w:p>
      <w:r>
        <w:t>Every result reports the system, the simple non-LLM baselines, the applicable LLM baselines, n, the split name and a 95% bootstrap interval. Three conventions are forced by what we found in this corpus:</w:t>
      </w:r>
    </w:p>
    <w:p>
      <w:pPr>
        <w:pStyle w:val="ListBullet"/>
      </w:pPr>
      <w:r>
        <w:t>Per-period baselines, never global. The Supreme Court's allowance rate in land disputes runs from 39% to 64% across our temporal split, so a global majority baseline is beaten by any model that merely notices the drift.</w:t>
      </w:r>
    </w:p>
    <w:p>
      <w:pPr>
        <w:pStyle w:val="ListBullet"/>
      </w:pPr>
      <w:r>
        <w:t>Multiple-testing correction on anything mined. Benjamini–Hochberg changed a conclusion here: ten patterns pass an uncorrected threshold and none survives correction.</w:t>
      </w:r>
    </w:p>
    <w:p>
      <w:pPr>
        <w:pStyle w:val="ListBullet"/>
      </w:pPr>
      <w:r>
        <w:t>A copy or mention control on every grounding task. On statute prediction, a control that copied provisions out of the input beat every learned model, which is the only reason we discovered the task as first posed was extraction rather than prediction.</w:t>
      </w:r>
    </w:p>
    <w:p>
      <w:r>
        <w:t>Two splits are frozen with content hashes. The primary split is temporal. The course specification also asks for a court-held-out split, which this corpus cannot support — it is Supreme Court only — so we hold out the ORIGINATING High Court instead and report it as the weaker control it is. It is also era-balanced, which is what lets it separate format shift from genuine temporal drift.</w:t>
      </w:r>
    </w:p>
    <w:p>
      <w:r>
        <w:t>Gold annotation. 150 cases are prepared for review in four strata (conflict 40, stratified 80, error 30), with a 30-case overlap block for inter-annotator agreement and 2,126 individual fact judgements. The annotation tool pre-fills pipeline output but pre-selects nothing, so a reviewer clicking through cannot manufacture agreement.</w:t>
      </w:r>
    </w:p>
    <w:p>
      <w:pPr>
        <w:pStyle w:val="Heading1"/>
      </w:pPr>
      <w:r>
        <w:t>Timeline and milestones</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b/>
                <w:sz w:val="20"/>
              </w:rPr>
              <w:t>milestone</w:t>
            </w:r>
          </w:p>
        </w:tc>
        <w:tc>
          <w:tcPr>
            <w:tcW w:type="dxa" w:w="3010"/>
          </w:tcPr>
          <w:p>
            <w:r/>
            <w:r>
              <w:rPr>
                <w:rFonts w:ascii="Times New Roman" w:hAnsi="Times New Roman"/>
                <w:b/>
                <w:sz w:val="20"/>
              </w:rPr>
              <w:t>contents</w:t>
            </w:r>
          </w:p>
        </w:tc>
        <w:tc>
          <w:tcPr>
            <w:tcW w:type="dxa" w:w="3010"/>
          </w:tcPr>
          <w:p>
            <w:r/>
            <w:r>
              <w:rPr>
                <w:rFonts w:ascii="Times New Roman" w:hAnsi="Times New Roman"/>
                <w:b/>
                <w:sz w:val="20"/>
              </w:rPr>
              <w:t>status</w:t>
            </w:r>
          </w:p>
        </w:tc>
      </w:tr>
      <w:tr>
        <w:tc>
          <w:tcPr>
            <w:tcW w:type="dxa" w:w="3010"/>
          </w:tcPr>
          <w:p>
            <w:r/>
            <w:r>
              <w:rPr>
                <w:rFonts w:ascii="Times New Roman" w:hAnsi="Times New Roman"/>
                <w:sz w:val="20"/>
              </w:rPr>
              <w:t>M0–M1</w:t>
            </w:r>
          </w:p>
        </w:tc>
        <w:tc>
          <w:tcPr>
            <w:tcW w:type="dxa" w:w="3010"/>
          </w:tcPr>
          <w:p>
            <w:r/>
            <w:r>
              <w:rPr>
                <w:rFonts w:ascii="Times New Roman" w:hAnsi="Times New Roman"/>
                <w:sz w:val="20"/>
              </w:rPr>
              <w:t>Corpus adapter, labels, masking, splits, leakage probe</w:t>
            </w:r>
          </w:p>
        </w:tc>
        <w:tc>
          <w:tcPr>
            <w:tcW w:type="dxa" w:w="3010"/>
          </w:tcPr>
          <w:p>
            <w:r/>
            <w:r>
              <w:rPr>
                <w:rFonts w:ascii="Times New Roman" w:hAnsi="Times New Roman"/>
                <w:sz w:val="20"/>
              </w:rPr>
              <w:t>complete</w:t>
            </w:r>
          </w:p>
        </w:tc>
      </w:tr>
      <w:tr>
        <w:tc>
          <w:tcPr>
            <w:tcW w:type="dxa" w:w="3010"/>
          </w:tcPr>
          <w:p>
            <w:r/>
            <w:r>
              <w:rPr>
                <w:rFonts w:ascii="Times New Roman" w:hAnsi="Times New Roman"/>
                <w:sz w:val="20"/>
              </w:rPr>
              <w:t>M2</w:t>
            </w:r>
          </w:p>
        </w:tc>
        <w:tc>
          <w:tcPr>
            <w:tcW w:type="dxa" w:w="3010"/>
          </w:tcPr>
          <w:p>
            <w:r/>
            <w:r>
              <w:rPr>
                <w:rFonts w:ascii="Times New Roman" w:hAnsi="Times New Roman"/>
                <w:sz w:val="20"/>
              </w:rPr>
              <w:t>Fact extraction, canonical vocabulary</w:t>
            </w:r>
          </w:p>
        </w:tc>
        <w:tc>
          <w:tcPr>
            <w:tcW w:type="dxa" w:w="3010"/>
          </w:tcPr>
          <w:p>
            <w:r/>
            <w:r>
              <w:rPr>
                <w:rFonts w:ascii="Times New Roman" w:hAnsi="Times New Roman"/>
                <w:sz w:val="20"/>
              </w:rPr>
              <w:t>extraction complete; vocabulary not frozen (see Risks)</w:t>
            </w:r>
          </w:p>
        </w:tc>
      </w:tr>
      <w:tr>
        <w:tc>
          <w:tcPr>
            <w:tcW w:type="dxa" w:w="3010"/>
          </w:tcPr>
          <w:p>
            <w:r/>
            <w:r>
              <w:rPr>
                <w:rFonts w:ascii="Times New Roman" w:hAnsi="Times New Roman"/>
                <w:sz w:val="20"/>
              </w:rPr>
              <w:t>M3</w:t>
            </w:r>
          </w:p>
        </w:tc>
        <w:tc>
          <w:tcPr>
            <w:tcW w:type="dxa" w:w="3010"/>
          </w:tcPr>
          <w:p>
            <w:r/>
            <w:r>
              <w:rPr>
                <w:rFonts w:ascii="Times New Roman" w:hAnsi="Times New Roman"/>
                <w:sz w:val="20"/>
              </w:rPr>
              <w:t>Claim families, fact patterns</w:t>
            </w:r>
          </w:p>
        </w:tc>
        <w:tc>
          <w:tcPr>
            <w:tcW w:type="dxa" w:w="3010"/>
          </w:tcPr>
          <w:p>
            <w:r/>
            <w:r>
              <w:rPr>
                <w:rFonts w:ascii="Times New Roman" w:hAnsi="Times New Roman"/>
                <w:sz w:val="20"/>
              </w:rPr>
              <w:t>complete; both results negative</w:t>
            </w:r>
          </w:p>
        </w:tc>
      </w:tr>
      <w:tr>
        <w:tc>
          <w:tcPr>
            <w:tcW w:type="dxa" w:w="3010"/>
          </w:tcPr>
          <w:p>
            <w:r/>
            <w:r>
              <w:rPr>
                <w:rFonts w:ascii="Times New Roman" w:hAnsi="Times New Roman"/>
                <w:sz w:val="20"/>
              </w:rPr>
              <w:t>M4</w:t>
            </w:r>
          </w:p>
        </w:tc>
        <w:tc>
          <w:tcPr>
            <w:tcW w:type="dxa" w:w="3010"/>
          </w:tcPr>
          <w:p>
            <w:r/>
            <w:r>
              <w:rPr>
                <w:rFonts w:ascii="Times New Roman" w:hAnsi="Times New Roman"/>
                <w:sz w:val="20"/>
              </w:rPr>
              <w:t>Statute prediction, precedent retrieval</w:t>
            </w:r>
          </w:p>
        </w:tc>
        <w:tc>
          <w:tcPr>
            <w:tcW w:type="dxa" w:w="3010"/>
          </w:tcPr>
          <w:p>
            <w:r/>
            <w:r>
              <w:rPr>
                <w:rFonts w:ascii="Times New Roman" w:hAnsi="Times New Roman"/>
                <w:sz w:val="20"/>
              </w:rPr>
              <w:t>complete</w:t>
            </w:r>
          </w:p>
        </w:tc>
      </w:tr>
      <w:tr>
        <w:tc>
          <w:tcPr>
            <w:tcW w:type="dxa" w:w="3010"/>
          </w:tcPr>
          <w:p>
            <w:r/>
            <w:r>
              <w:rPr>
                <w:rFonts w:ascii="Times New Roman" w:hAnsi="Times New Roman"/>
                <w:sz w:val="20"/>
              </w:rPr>
              <w:t>M5</w:t>
            </w:r>
          </w:p>
        </w:tc>
        <w:tc>
          <w:tcPr>
            <w:tcW w:type="dxa" w:w="3010"/>
          </w:tcPr>
          <w:p>
            <w:r/>
            <w:r>
              <w:rPr>
                <w:rFonts w:ascii="Times New Roman" w:hAnsi="Times New Roman"/>
                <w:sz w:val="20"/>
              </w:rPr>
              <w:t>Outcome models, ablations, trace, error analysis</w:t>
            </w:r>
          </w:p>
        </w:tc>
        <w:tc>
          <w:tcPr>
            <w:tcW w:type="dxa" w:w="3010"/>
          </w:tcPr>
          <w:p>
            <w:r/>
            <w:r>
              <w:rPr>
                <w:rFonts w:ascii="Times New Roman" w:hAnsi="Times New Roman"/>
                <w:sz w:val="20"/>
              </w:rPr>
              <w:t>complete</w:t>
            </w:r>
          </w:p>
        </w:tc>
      </w:tr>
      <w:tr>
        <w:tc>
          <w:tcPr>
            <w:tcW w:type="dxa" w:w="3010"/>
          </w:tcPr>
          <w:p>
            <w:r/>
            <w:r>
              <w:rPr>
                <w:rFonts w:ascii="Times New Roman" w:hAnsi="Times New Roman"/>
                <w:sz w:val="20"/>
              </w:rPr>
              <w:t>Oct–Nov</w:t>
            </w:r>
          </w:p>
        </w:tc>
        <w:tc>
          <w:tcPr>
            <w:tcW w:type="dxa" w:w="3010"/>
          </w:tcPr>
          <w:p>
            <w:r/>
            <w:r>
              <w:rPr>
                <w:rFonts w:ascii="Times New Roman" w:hAnsi="Times New Roman"/>
                <w:sz w:val="20"/>
              </w:rPr>
              <w:t>Gold annotation; element burden annotation</w:t>
            </w:r>
          </w:p>
        </w:tc>
        <w:tc>
          <w:tcPr>
            <w:tcW w:type="dxa" w:w="3010"/>
          </w:tcPr>
          <w:p>
            <w:r/>
            <w:r>
              <w:rPr>
                <w:rFonts w:ascii="Times New Roman" w:hAnsi="Times New Roman"/>
                <w:sz w:val="20"/>
              </w:rPr>
              <w:t>prepared, awaiting review</w:t>
            </w:r>
          </w:p>
        </w:tc>
      </w:tr>
      <w:tr>
        <w:tc>
          <w:tcPr>
            <w:tcW w:type="dxa" w:w="3010"/>
          </w:tcPr>
          <w:p>
            <w:r/>
            <w:r>
              <w:rPr>
                <w:rFonts w:ascii="Times New Roman" w:hAnsi="Times New Roman"/>
                <w:sz w:val="20"/>
              </w:rPr>
              <w:t>Nov</w:t>
            </w:r>
          </w:p>
        </w:tc>
        <w:tc>
          <w:tcPr>
            <w:tcW w:type="dxa" w:w="3010"/>
          </w:tcPr>
          <w:p>
            <w:r/>
            <w:r>
              <w:rPr>
                <w:rFonts w:ascii="Times New Roman" w:hAnsi="Times New Roman"/>
                <w:sz w:val="20"/>
              </w:rPr>
              <w:t>Presentation (Oct 28 – Nov 18)</w:t>
            </w:r>
          </w:p>
        </w:tc>
        <w:tc>
          <w:tcPr>
            <w:tcW w:type="dxa" w:w="3010"/>
          </w:tcPr>
          <w:p>
            <w:r/>
            <w:r>
              <w:rPr>
                <w:rFonts w:ascii="Times New Roman" w:hAnsi="Times New Roman"/>
                <w:sz w:val="20"/>
              </w:rPr>
              <w:t>pending</w:t>
            </w:r>
          </w:p>
        </w:tc>
      </w:tr>
      <w:tr>
        <w:tc>
          <w:tcPr>
            <w:tcW w:type="dxa" w:w="3010"/>
          </w:tcPr>
          <w:p>
            <w:r/>
            <w:r>
              <w:rPr>
                <w:rFonts w:ascii="Times New Roman" w:hAnsi="Times New Roman"/>
                <w:sz w:val="20"/>
              </w:rPr>
              <w:t>Nov–Dec</w:t>
            </w:r>
          </w:p>
        </w:tc>
        <w:tc>
          <w:tcPr>
            <w:tcW w:type="dxa" w:w="3010"/>
          </w:tcPr>
          <w:p>
            <w:r/>
            <w:r>
              <w:rPr>
                <w:rFonts w:ascii="Times New Roman" w:hAnsi="Times New Roman"/>
                <w:sz w:val="20"/>
              </w:rPr>
              <w:t>Dashboard and group demo (Nov 23 – Dec 2)</w:t>
            </w:r>
          </w:p>
        </w:tc>
        <w:tc>
          <w:tcPr>
            <w:tcW w:type="dxa" w:w="3010"/>
          </w:tcPr>
          <w:p>
            <w:r/>
            <w:r>
              <w:rPr>
                <w:rFonts w:ascii="Times New Roman" w:hAnsi="Times New Roman"/>
                <w:sz w:val="20"/>
              </w:rPr>
              <w:t>not started</w:t>
            </w:r>
          </w:p>
        </w:tc>
      </w:tr>
      <w:tr>
        <w:tc>
          <w:tcPr>
            <w:tcW w:type="dxa" w:w="3010"/>
          </w:tcPr>
          <w:p>
            <w:r/>
            <w:r>
              <w:rPr>
                <w:rFonts w:ascii="Times New Roman" w:hAnsi="Times New Roman"/>
                <w:sz w:val="20"/>
              </w:rPr>
              <w:t>Dec 9</w:t>
            </w:r>
          </w:p>
        </w:tc>
        <w:tc>
          <w:tcPr>
            <w:tcW w:type="dxa" w:w="3010"/>
          </w:tcPr>
          <w:p>
            <w:r/>
            <w:r>
              <w:rPr>
                <w:rFonts w:ascii="Times New Roman" w:hAnsi="Times New Roman"/>
                <w:sz w:val="20"/>
              </w:rPr>
              <w:t>Final report</w:t>
            </w:r>
          </w:p>
        </w:tc>
        <w:tc>
          <w:tcPr>
            <w:tcW w:type="dxa" w:w="3010"/>
          </w:tcPr>
          <w:p>
            <w:r/>
            <w:r>
              <w:rPr>
                <w:rFonts w:ascii="Times New Roman" w:hAnsi="Times New Roman"/>
                <w:sz w:val="20"/>
              </w:rPr>
              <w:t>pending</w:t>
            </w:r>
          </w:p>
        </w:tc>
      </w:tr>
    </w:tbl>
    <w:p>
      <w:r>
        <w:rPr>
          <w:b/>
          <w:color w:val="C00000"/>
        </w:rPr>
        <w:t>[TODO — confirm these dates against the course schedule on Canvas]</w:t>
      </w:r>
    </w:p>
    <w:p>
      <w:pPr>
        <w:pStyle w:val="Heading1"/>
      </w:pPr>
      <w:r>
        <w:t>Team roles and division of labour</w:t>
      </w:r>
    </w:p>
    <w:p>
      <w:r>
        <w:rPr>
          <w:b/>
          <w:color w:val="C00000"/>
        </w:rPr>
        <w:t>[TODO — assign the four members to: corpus and labelling; extraction and vocabulary; authorities and retrieval; modelling, trace and dashboard]</w:t>
      </w:r>
    </w:p>
    <w:p>
      <w:pPr>
        <w:pStyle w:val="Heading1"/>
      </w:pPr>
      <w:r>
        <w:t>Risks and mitigations</w:t>
      </w:r>
    </w:p>
    <w:tbl>
      <w:tblPr>
        <w:tblStyle w:val="TableGrid"/>
        <w:tblW w:type="auto" w:w="0"/>
        <w:tblLook w:firstColumn="1" w:firstRow="1" w:lastColumn="0" w:lastRow="0" w:noHBand="0" w:noVBand="1" w:val="04A0"/>
      </w:tblPr>
      <w:tblGrid>
        <w:gridCol w:w="3010"/>
        <w:gridCol w:w="3010"/>
        <w:gridCol w:w="3010"/>
      </w:tblGrid>
      <w:tr>
        <w:tc>
          <w:tcPr>
            <w:tcW w:type="dxa" w:w="3010"/>
          </w:tcPr>
          <w:p>
            <w:r/>
            <w:r>
              <w:rPr>
                <w:rFonts w:ascii="Times New Roman" w:hAnsi="Times New Roman"/>
                <w:b/>
                <w:sz w:val="20"/>
              </w:rPr>
              <w:t>risk</w:t>
            </w:r>
          </w:p>
        </w:tc>
        <w:tc>
          <w:tcPr>
            <w:tcW w:type="dxa" w:w="3010"/>
          </w:tcPr>
          <w:p>
            <w:r/>
            <w:r>
              <w:rPr>
                <w:rFonts w:ascii="Times New Roman" w:hAnsi="Times New Roman"/>
                <w:b/>
                <w:sz w:val="20"/>
              </w:rPr>
              <w:t>evidence</w:t>
            </w:r>
          </w:p>
        </w:tc>
        <w:tc>
          <w:tcPr>
            <w:tcW w:type="dxa" w:w="3010"/>
          </w:tcPr>
          <w:p>
            <w:r/>
            <w:r>
              <w:rPr>
                <w:rFonts w:ascii="Times New Roman" w:hAnsi="Times New Roman"/>
                <w:b/>
                <w:sz w:val="20"/>
              </w:rPr>
              <w:t>mitigation</w:t>
            </w:r>
          </w:p>
        </w:tc>
      </w:tr>
      <w:tr>
        <w:tc>
          <w:tcPr>
            <w:tcW w:type="dxa" w:w="3010"/>
          </w:tcPr>
          <w:p>
            <w:r/>
            <w:r>
              <w:rPr>
                <w:rFonts w:ascii="Times New Roman" w:hAnsi="Times New Roman"/>
                <w:sz w:val="20"/>
              </w:rPr>
              <w:t>The canonical vocabulary cannot be frozen</w:t>
            </w:r>
          </w:p>
        </w:tc>
        <w:tc>
          <w:tcPr>
            <w:tcW w:type="dxa" w:w="3010"/>
          </w:tcPr>
          <w:p>
            <w:r/>
            <w:r>
              <w:rPr>
                <w:rFonts w:ascii="Times New Roman" w:hAnsi="Times New Roman"/>
                <w:sz w:val="20"/>
              </w:rPr>
              <w:t>20.3% of extracted facts fall outside the 345-label vocabulary, against the 5% threshold we set for freezing it.</w:t>
            </w:r>
          </w:p>
        </w:tc>
        <w:tc>
          <w:tcPr>
            <w:tcW w:type="dxa" w:w="3010"/>
          </w:tcPr>
          <w:p>
            <w:r/>
            <w:r>
              <w:rPr>
                <w:rFonts w:ascii="Times New Roman" w:hAnsi="Times New Roman"/>
                <w:sz w:val="20"/>
              </w:rPr>
              <w:t>A refinement loop is implemented and produces a reviewed proposal. But the measured evidence says coverage is not the real problem — facts the vocabulary CAN name also lose their signal when named — so the mitigation is to report the vocabulary as a labelling device and not rely on it as a feature space.</w:t>
            </w:r>
          </w:p>
        </w:tc>
      </w:tr>
      <w:tr>
        <w:tc>
          <w:tcPr>
            <w:tcW w:type="dxa" w:w="3010"/>
          </w:tcPr>
          <w:p>
            <w:r/>
            <w:r>
              <w:rPr>
                <w:rFonts w:ascii="Times New Roman" w:hAnsi="Times New Roman"/>
                <w:sz w:val="20"/>
              </w:rPr>
              <w:t>No gold annotation exists</w:t>
            </w:r>
          </w:p>
        </w:tc>
        <w:tc>
          <w:tcPr>
            <w:tcW w:type="dxa" w:w="3010"/>
          </w:tcPr>
          <w:p>
            <w:r/>
            <w:r>
              <w:rPr>
                <w:rFonts w:ascii="Times New Roman" w:hAnsi="Times New Roman"/>
                <w:sz w:val="20"/>
              </w:rPr>
              <w:t>Extraction precision and recall against gold, the stated acceptance criterion for the extraction stage, cannot currently be computed.</w:t>
            </w:r>
          </w:p>
        </w:tc>
        <w:tc>
          <w:tcPr>
            <w:tcW w:type="dxa" w:w="3010"/>
          </w:tcPr>
          <w:p>
            <w:r/>
            <w:r>
              <w:rPr>
                <w:rFonts w:ascii="Times New Roman" w:hAnsi="Times New Roman"/>
                <w:sz w:val="20"/>
              </w:rPr>
              <w:t>150 cases are prepared and the tool is built; this is reviewer time, not engineering. Until then we report ground-truth-free proxies (quote grounding, label agreement, downstream utility) and state what each does and does not establish.</w:t>
            </w:r>
          </w:p>
        </w:tc>
      </w:tr>
      <w:tr>
        <w:tc>
          <w:tcPr>
            <w:tcW w:type="dxa" w:w="3010"/>
          </w:tcPr>
          <w:p>
            <w:r/>
            <w:r>
              <w:rPr>
                <w:rFonts w:ascii="Times New Roman" w:hAnsi="Times New Roman"/>
                <w:sz w:val="20"/>
              </w:rPr>
              <w:t>Element burden metadata is unavailable</w:t>
            </w:r>
          </w:p>
        </w:tc>
        <w:tc>
          <w:tcPr>
            <w:tcW w:type="dxa" w:w="3010"/>
          </w:tcPr>
          <w:p>
            <w:r/>
            <w:r>
              <w:rPr>
                <w:rFonts w:ascii="Times New Roman" w:hAnsi="Times New Roman"/>
                <w:sz w:val="20"/>
              </w:rPr>
              <w:t>Two language models produced annotations that passed no quality gate — 92% and 87% of elements assigned to the same party, with the heightened standard never used even for adverse possession.</w:t>
            </w:r>
          </w:p>
        </w:tc>
        <w:tc>
          <w:tcPr>
            <w:tcW w:type="dxa" w:w="3010"/>
          </w:tcPr>
          <w:p>
            <w:r/>
            <w:r>
              <w:rPr>
                <w:rFonts w:ascii="Times New Roman" w:hAnsi="Times New Roman"/>
                <w:sz w:val="20"/>
              </w:rPr>
              <w:t>A degeneracy gate refuses to write such an annotation. The element feature group is reported as EMPTY rather than populated with a constant, and a hand-annotation sheet for 66 elements is prepared.</w:t>
            </w:r>
          </w:p>
        </w:tc>
      </w:tr>
      <w:tr>
        <w:tc>
          <w:tcPr>
            <w:tcW w:type="dxa" w:w="3010"/>
          </w:tcPr>
          <w:p>
            <w:r/>
            <w:r>
              <w:rPr>
                <w:rFonts w:ascii="Times New Roman" w:hAnsi="Times New Roman"/>
                <w:sz w:val="20"/>
              </w:rPr>
              <w:t>Outcome prediction may not be achievable on this corpus</w:t>
            </w:r>
          </w:p>
        </w:tc>
        <w:tc>
          <w:tcPr>
            <w:tcW w:type="dxa" w:w="3010"/>
          </w:tcPr>
          <w:p>
            <w:r/>
            <w:r>
              <w:rPr>
                <w:rFonts w:ascii="Times New Roman" w:hAnsi="Times New Roman"/>
                <w:sz w:val="20"/>
              </w:rPr>
              <w:t>No system convincingly clears a per-decade majority baseline, no signal predicts which cases fail, and two very different systems' errors are statistically independent.</w:t>
            </w:r>
          </w:p>
        </w:tc>
        <w:tc>
          <w:tcPr>
            <w:tcW w:type="dxa" w:w="3010"/>
          </w:tcPr>
          <w:p>
            <w:r/>
            <w:r>
              <w:rPr>
                <w:rFonts w:ascii="Times New Roman" w:hAnsi="Times New Roman"/>
                <w:sz w:val="20"/>
              </w:rPr>
              <w:t>This is reported as a finding about the task rather than a failure to be engineered away. The authority-grounding results and the leakage-controlled benchmark stand independently of it.</w:t>
            </w:r>
          </w:p>
        </w:tc>
      </w:tr>
      <w:tr>
        <w:tc>
          <w:tcPr>
            <w:tcW w:type="dxa" w:w="3010"/>
          </w:tcPr>
          <w:p>
            <w:r/>
            <w:r>
              <w:rPr>
                <w:rFonts w:ascii="Times New Roman" w:hAnsi="Times New Roman"/>
                <w:sz w:val="20"/>
              </w:rPr>
              <w:t>Domain contamination in the provided subset</w:t>
            </w:r>
          </w:p>
        </w:tc>
        <w:tc>
          <w:tcPr>
            <w:tcW w:type="dxa" w:w="3010"/>
          </w:tcPr>
          <w:p>
            <w:r/>
            <w:r>
              <w:rPr>
                <w:rFonts w:ascii="Times New Roman" w:hAnsi="Times New Roman"/>
                <w:sz w:val="20"/>
              </w:rPr>
              <w:t>The land-dispute spreadsheet was filtered by keyword and admits cases that merely occur on land: 5.5% are criminal appeals, 3.9% tax-heavy.</w:t>
            </w:r>
          </w:p>
        </w:tc>
        <w:tc>
          <w:tcPr>
            <w:tcW w:type="dxa" w:w="3010"/>
          </w:tcPr>
          <w:p>
            <w:r/>
            <w:r>
              <w:rPr>
                <w:rFonts w:ascii="Times New Roman" w:hAnsi="Times New Roman"/>
                <w:sz w:val="20"/>
              </w:rPr>
              <w:t>Cases are screened and tagged rather than deleted, and every experiment states the subset it used.</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