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LexGraph: Proof-Carrying Precedent Prediction from Facts for Indian Land-Dispute Jurisprudence</w:t>
      </w:r>
    </w:p>
    <w:p>
      <w:pPr>
        <w:spacing w:after="80" w:line="276"/>
        <w:jc w:val="center"/>
      </w:pPr>
      <w:r>
        <w:rPr>
          <w:rFonts w:ascii="Times New Roman" w:cs="Times New Roman" w:eastAsia="Times New Roman" w:hAnsi="Times New Roman"/>
          <w:sz w:val="24"/>
          <w:szCs w:val="24"/>
        </w:rPr>
        <w:t xml:space="preserve">Project Proposal — CSE 573: Semantic Web Mining, Fall 2026</w:t>
      </w:r>
    </w:p>
    <w:p>
      <w:pPr>
        <w:spacing w:after="240" w:line="276"/>
        <w:jc w:val="center"/>
      </w:pPr>
      <w:r>
        <w:rPr>
          <w:rFonts w:ascii="Times New Roman" w:cs="Times New Roman" w:eastAsia="Times New Roman" w:hAnsi="Times New Roman"/>
          <w:sz w:val="24"/>
          <w:szCs w:val="24"/>
        </w:rPr>
        <w:t xml:space="preserve">Team: [Member 1], [Member 2], [Member 3], [Member 4]  |  Instructor: Prof. Hasan Davulcu  |  Date: [Submission Date]</w:t>
      </w:r>
    </w:p>
    <w:p>
      <w:pPr>
        <w:pStyle w:val="Heading1"/>
        <w:spacing w:after="140" w:before="280"/>
      </w:pPr>
      <w:r>
        <w:rPr>
          <w:rFonts w:ascii="Times New Roman" w:cs="Times New Roman" w:eastAsia="Times New Roman" w:hAnsi="Times New Roman"/>
          <w:b/>
          <w:bCs/>
          <w:sz w:val="24"/>
          <w:szCs w:val="24"/>
        </w:rPr>
        <w:t xml:space="preserve">1. Motivation and Problem Statement</w:t>
      </w:r>
    </w:p>
    <w:p>
      <w:pPr>
        <w:spacing w:after="160" w:line="276"/>
      </w:pPr>
      <w:r>
        <w:rPr>
          <w:rFonts w:ascii="Times New Roman" w:cs="Times New Roman" w:eastAsia="Times New Roman" w:hAnsi="Times New Roman"/>
          <w:sz w:val="24"/>
          <w:szCs w:val="24"/>
        </w:rPr>
        <w:t xml:space="preserve">Large language models are increasingly used to summarize case law, draft legal arguments, and answer legal questions, yet they remain probabilistic text generators applied to a domain where correctness is not optional. Dahl et al. (2024) found that general-purpose LLMs hallucinate legal facts or authorities in the majority of tested queries, and that models are poor at recognizing their own errors. In a legal setting, a fabricated citation or a real citation used to support a proposition it does not actually stand for is not a cosmetic defect — it can misdirect a self-represented litigant, contaminate a filing, or make a governmental decision unreviewable. A system that cannot show which rule it applied, which authority it relied on, and why the record supports that authority cannot be meaningfully contested, which undermines due process wherever AI-assisted legal reasoning is deployed.</w:t>
      </w:r>
    </w:p>
    <w:p>
      <w:pPr>
        <w:spacing w:after="160" w:line="276"/>
      </w:pPr>
      <w:r>
        <w:rPr>
          <w:rFonts w:ascii="Times New Roman" w:cs="Times New Roman" w:eastAsia="Times New Roman" w:hAnsi="Times New Roman"/>
          <w:sz w:val="24"/>
          <w:szCs w:val="24"/>
        </w:rPr>
        <w:t xml:space="preserve">There is a second, quieter failure that the literature discusses less. Most extraction-based legal AI takes a decided judgment as its input and recovers structure from it. That is a useful annotation task, but it is not the task anyone actually faces: a litigant, a clerk, or a duty lawyer holds facts and evidence, and needs to know which rules and which authorities apply. A system that only works once a court has already written the answer cannot help before the decision exists.</w:t>
      </w:r>
    </w:p>
    <w:p>
      <w:pPr>
        <w:spacing w:after="160" w:line="276"/>
      </w:pPr>
      <w:r>
        <w:rPr>
          <w:rFonts w:ascii="Times New Roman" w:cs="Times New Roman" w:eastAsia="Times New Roman" w:hAnsi="Times New Roman"/>
          <w:sz w:val="24"/>
          <w:szCs w:val="24"/>
        </w:rPr>
        <w:t xml:space="preserve">This project therefore inverts the usual direction. The input is the facts of a dispute; the output is the rules and authorities that apply, together with a proof that each authority is real, is genuinely available as precedent, and was not invented by the model. Concretely, we retrieve candidate precedents from a corpus using the facts alone, rank them using a signed citation graph that records whether later courts followed or rejected each case, and then require that every authority named in the final answer resolve deterministically back to a retrieved case before the answer is allowed to stand. Authorities that cannot be certified are refused rather than smoothed over. The domain is property and land-dispute litigation before the Indian Supreme Court, using a corpus of judgments and citation metadata provided for this project. The scope mirrors ongoing “contestable legal AI” research in the instructor’s lab but is deliberately narrowed to one jurisdiction, one case type, and a bounded evaluation set, so that a complete and demonstrable pipeline is achievable within one semester.</w:t>
      </w:r>
    </w:p>
    <w:p>
      <w:pPr>
        <w:pStyle w:val="Heading1"/>
        <w:spacing w:after="140" w:before="280"/>
      </w:pPr>
      <w:r>
        <w:rPr>
          <w:rFonts w:ascii="Times New Roman" w:cs="Times New Roman" w:eastAsia="Times New Roman" w:hAnsi="Times New Roman"/>
          <w:b/>
          <w:bCs/>
          <w:sz w:val="24"/>
          <w:szCs w:val="24"/>
        </w:rPr>
        <w:t xml:space="preserve">2. Related Work</w:t>
      </w:r>
    </w:p>
    <w:p>
      <w:pPr>
        <w:spacing w:after="160" w:line="276"/>
      </w:pPr>
      <w:r>
        <w:rPr>
          <w:rFonts w:ascii="Times New Roman" w:cs="Times New Roman" w:eastAsia="Times New Roman" w:hAnsi="Times New Roman"/>
          <w:sz w:val="24"/>
          <w:szCs w:val="24"/>
        </w:rPr>
        <w:t xml:space="preserve">Legal knowledge representation has a long history of separating legal concepts from the logic of their application. LKIF-Core (Hoekstra et al., 2007) provides a modular OWL ontology of basic legal concepts (norms, acts, roles, time), and LegalRuleML (OASIS) extends this with a machine-readable syntax for obligations, permissions, and defeasible rules. These frameworks show that legal text can be lifted into structured, queryable representations, but they were built by hand and do not scale to large modern corpora.</w:t>
      </w:r>
    </w:p>
    <w:p>
      <w:pPr>
        <w:spacing w:after="160" w:line="276"/>
      </w:pPr>
      <w:r>
        <w:rPr>
          <w:rFonts w:ascii="Times New Roman" w:cs="Times New Roman" w:eastAsia="Times New Roman" w:hAnsi="Times New Roman"/>
          <w:sz w:val="24"/>
          <w:szCs w:val="24"/>
        </w:rPr>
        <w:t xml:space="preserve">Sunny and Sivan-Sevilla (2026) address this scaling problem directly: they use an LLM to translate statutory eligibility rules into a formal ontology, then use satisfiability-based (SMT) verification to check whether real welfare-benefit explanations are legally adequate. Their central finding — that formal verification catches statutory violations even in explanations that look reasonable to a human reader — is the strongest evidence available that neuro-symbolic verification adds something formal-logic-free LLM prompting cannot. Our project applies the same “neural extraction plus symbolic verification” division of labor to a different artifact (judicial citation reasoning instead of benefits notices) and a different verification target (does a cited authority actually exist and is it genuinely available as precedent, rather than does an explanation satisfy a statute).</w:t>
      </w:r>
    </w:p>
    <w:p>
      <w:pPr>
        <w:spacing w:after="160" w:line="276"/>
      </w:pPr>
      <w:r>
        <w:rPr>
          <w:rFonts w:ascii="Times New Roman" w:cs="Times New Roman" w:eastAsia="Times New Roman" w:hAnsi="Times New Roman"/>
          <w:sz w:val="24"/>
          <w:szCs w:val="24"/>
        </w:rPr>
        <w:t xml:space="preserve">Our extraction method itself follows an older lineage: Riloff (1993) introduced AutoSlog, which learns symbolic extraction patterns from examples using generic syntactic templates (active-verb-plus-object, passive-verb-plus-subject, and so on). We replace Riloff’s syntactic patterns with LLM-grounded semantic patterns — the model maps a sentence onto a small ontology of legal roles and actions instead of a parse tree — but keep AutoSlog’s core idea that extraction should produce inspectable, reusable rules rather than one-off black-box answers.</w:t>
      </w:r>
    </w:p>
    <w:p>
      <w:pPr>
        <w:spacing w:after="160" w:line="276"/>
      </w:pPr>
      <w:r>
        <w:rPr>
          <w:rFonts w:ascii="Times New Roman" w:cs="Times New Roman" w:eastAsia="Times New Roman" w:hAnsi="Times New Roman"/>
          <w:sz w:val="24"/>
          <w:szCs w:val="24"/>
        </w:rPr>
        <w:t xml:space="preserve">On the graph side, citation networks between judgments are naturally a signed ecosystem: a later case can rely on, distinguish, or overrule an earlier one, and treating all edges as equivalent “citation” loses the information that matters most for assessing whether a proposition is still good law. Signed Graph Convolutional Networks (Derr et al., 2018) show that explicitly modeling positive and negative edges improves representation quality over unsigned graph baselines; we adapt this idea at a lighter weight (a heuristic or classifier-derived sign label plus structural scoring) rather than a full SGCN, given the scope of a one-semester course project.</w:t>
      </w:r>
    </w:p>
    <w:p>
      <w:pPr>
        <w:pStyle w:val="Heading1"/>
        <w:spacing w:after="140" w:before="280"/>
      </w:pPr>
      <w:r>
        <w:rPr>
          <w:rFonts w:ascii="Times New Roman" w:cs="Times New Roman" w:eastAsia="Times New Roman" w:hAnsi="Times New Roman"/>
          <w:b/>
          <w:bCs/>
          <w:sz w:val="24"/>
          <w:szCs w:val="24"/>
        </w:rPr>
        <w:t xml:space="preserve">3. Dataset</w:t>
      </w:r>
    </w:p>
    <w:p>
      <w:pPr>
        <w:spacing w:after="160" w:line="276"/>
      </w:pPr>
      <w:r>
        <w:rPr>
          <w:rFonts w:ascii="Times New Roman" w:cs="Times New Roman" w:eastAsia="Times New Roman" w:hAnsi="Times New Roman"/>
          <w:sz w:val="24"/>
          <w:szCs w:val="24"/>
        </w:rPr>
        <w:t xml:space="preserve">The provided dataset is an archive of 26,688 Indian Supreme Court judgments (1950–2025) as year-organized PDFs, plus two derived assets: citation metadata covering 7,493 citing cases with 144,353 outbound citation edges, and a filtered index of 6,954 judgments identified as land or property disputes. The data-preparation work below is complete, so the figures are measured rather than projected.</w:t>
      </w:r>
    </w:p>
    <w:p>
      <w:pPr>
        <w:pStyle w:val="ListParagraph"/>
        <w:numPr>
          <w:ilvl w:val="0"/>
          <w:numId w:val="2"/>
        </w:numPr>
        <w:spacing w:after="100" w:line="276"/>
      </w:pPr>
      <w:r>
        <w:rPr>
          <w:rFonts w:ascii="Times New Roman" w:cs="Times New Roman" w:eastAsia="Times New Roman" w:hAnsi="Times New Roman"/>
          <w:sz w:val="24"/>
          <w:szCs w:val="24"/>
        </w:rPr>
        <w:t xml:space="preserve">Citation-type classification. The raw metadata mixes case-to-case citations with statute and article references under a single “precedents” list. A rule-based classifier splits them: of 144,353 edges, 32.5% are genuine case citations, 54.4% are statute, article or section references, and 13.1% are unresolved fragments (mostly bare sub-clause numbers trailing a statute citation), left for review rather than forced into a bucket.</w:t>
      </w:r>
    </w:p>
    <w:p>
      <w:pPr>
        <w:pStyle w:val="ListParagraph"/>
        <w:numPr>
          <w:ilvl w:val="0"/>
          <w:numId w:val="2"/>
        </w:numPr>
        <w:spacing w:after="100" w:line="276"/>
      </w:pPr>
      <w:r>
        <w:rPr>
          <w:rFonts w:ascii="Times New Roman" w:cs="Times New Roman" w:eastAsia="Times New Roman" w:hAnsi="Times New Roman"/>
          <w:sz w:val="24"/>
          <w:szCs w:val="24"/>
        </w:rPr>
        <w:t xml:space="preserve">Full corpus held locally. All 26,688 judgment PDFs (6.8 GB) are extracted and verified against the archive manifest, with clean digitized text throughout and no OCR required. The corpus is no longer accessed over the network.</w:t>
      </w:r>
    </w:p>
    <w:p>
      <w:pPr>
        <w:pStyle w:val="ListParagraph"/>
        <w:numPr>
          <w:ilvl w:val="0"/>
          <w:numId w:val="2"/>
        </w:numPr>
        <w:spacing w:after="100" w:line="276"/>
      </w:pPr>
      <w:r>
        <w:rPr>
          <w:rFonts w:ascii="Times New Roman" w:cs="Times New Roman" w:eastAsia="Times New Roman" w:hAnsi="Times New Roman"/>
          <w:sz w:val="24"/>
          <w:szCs w:val="24"/>
        </w:rPr>
        <w:t xml:space="preserve">Identifier join. Nothing in the dataset links Indian Kanoon document identifiers to PDFs across the whole corpus; the land-dispute spreadsheet covers only its own rows. We join them on normalized case titles, which locates 5,462 of the 6,151 cases the citation metadata describes (88.8%). The join asserts its own accuracy against 500 independently verified identifier/filename pairs (94%) and refuses to write a mapping if that rate falls, because a silent join failure would corrupt every downstream measurement.</w:t>
      </w:r>
    </w:p>
    <w:p>
      <w:pPr>
        <w:pStyle w:val="ListParagraph"/>
        <w:numPr>
          <w:ilvl w:val="0"/>
          <w:numId w:val="2"/>
        </w:numPr>
        <w:spacing w:after="100" w:line="276"/>
      </w:pPr>
      <w:r>
        <w:rPr>
          <w:rFonts w:ascii="Times New Roman" w:cs="Times New Roman" w:eastAsia="Times New Roman" w:hAnsi="Times New Roman"/>
          <w:sz w:val="24"/>
          <w:szCs w:val="24"/>
        </w:rPr>
        <w:t xml:space="preserve">Cached text. Judgment text for all 5,462 joined cases is cached once (320 MB), so fact segmentation, citation scrubbing and index construction do not re-parse PDFs.</w:t>
      </w:r>
    </w:p>
    <w:p>
      <w:pPr>
        <w:pStyle w:val="Heading2"/>
        <w:spacing w:after="140" w:before="280"/>
      </w:pPr>
      <w:r>
        <w:rPr>
          <w:rFonts w:ascii="Times New Roman" w:cs="Times New Roman" w:eastAsia="Times New Roman" w:hAnsi="Times New Roman"/>
          <w:b/>
          <w:bCs/>
          <w:sz w:val="24"/>
          <w:szCs w:val="24"/>
        </w:rPr>
        <w:t xml:space="preserve">3.1 A measured ceiling on precedent retrieval</w:t>
      </w:r>
    </w:p>
    <w:p>
      <w:pPr>
        <w:spacing w:after="160" w:line="276"/>
      </w:pPr>
      <w:r>
        <w:rPr>
          <w:rFonts w:ascii="Times New Roman" w:cs="Times New Roman" w:eastAsia="Times New Roman" w:hAnsi="Times New Roman"/>
          <w:sz w:val="24"/>
          <w:szCs w:val="24"/>
        </w:rPr>
        <w:t xml:space="preserve">Because the corpus contains only Supreme Court judgments while those judgments cite High Courts, the Privy Council and English decisions, a large share of the authorities a case relies on are not in the corpus at all and cannot be retrieved by any method. We measured this rather than assumed it: of 46,904 case-citation edges, 11,991 (25.6%) point at a case that is present and joinable. All recall figures in Section 6 are therefore reported against these reachable authorities, with the raw totals alongside, so the ceiling stays visible. 1,206 cases have both their own text and at least three reachable authorities, of which 771 are post-2000; these form the query pool.</w:t>
      </w:r>
    </w:p>
    <w:p>
      <w:pPr>
        <w:pStyle w:val="Heading2"/>
        <w:spacing w:after="140" w:before="280"/>
      </w:pPr>
      <w:r>
        <w:rPr>
          <w:rFonts w:ascii="Times New Roman" w:cs="Times New Roman" w:eastAsia="Times New Roman" w:hAnsi="Times New Roman"/>
          <w:b/>
          <w:bCs/>
          <w:sz w:val="24"/>
          <w:szCs w:val="24"/>
        </w:rPr>
        <w:t xml:space="preserve">3.2 A significant finding: citation sign is often already in the text</w:t>
      </w:r>
    </w:p>
    <w:p>
      <w:pPr>
        <w:spacing w:after="160" w:line="276"/>
      </w:pPr>
      <w:r>
        <w:rPr>
          <w:rFonts w:ascii="Times New Roman" w:cs="Times New Roman" w:eastAsia="Times New Roman" w:hAnsi="Times New Roman"/>
          <w:sz w:val="24"/>
          <w:szCs w:val="24"/>
        </w:rPr>
        <w:t xml:space="preserve">We had planned to infer citation polarity — did the citing court follow, distinguish, or reject the cited case? — with an LLM classifier, since the metadata carries no such label. Inspecting the PDFs surfaced a better source for part of the corpus: pre-2000 judgments carry a HEADNOTE section that states the treatment explicitly, as a list of case citations followed by a verb (relied on, followed, approved; distinguished, disapproved, overruled). A regular-expression extractor recovers these at no model cost. The convention is a pre-2000 law-reporting style that is entirely absent from modern judgments — 0 of 190 sampled 2000–2025 cases carry one — so it is a hard boundary rather than a declining trend, and post-2000 polarity still requires the classifier.</w:t>
      </w:r>
    </w:p>
    <w:p>
      <w:pPr>
        <w:spacing w:after="160" w:line="276"/>
      </w:pPr>
      <w:r>
        <w:rPr>
          <w:rFonts w:ascii="Times New Roman" w:cs="Times New Roman" w:eastAsia="Times New Roman" w:hAnsi="Times New Roman"/>
          <w:sz w:val="24"/>
          <w:szCs w:val="24"/>
        </w:rPr>
        <w:t xml:space="preserve">The same convention imposes a constraint on evaluation that is easy to miss. Because a pre-2000 headnote lists the cited authorities at the top of the document, a query built from such a judgment contains its own answer. Query cases are therefore restricted to post-2000 judgments, which inverts the difficulty profile of the earlier extraction work: the decades that were easiest to extract from are the ones prediction cannot use.</w:t>
      </w:r>
    </w:p>
    <w:p>
      <w:pPr>
        <w:pStyle w:val="Heading1"/>
        <w:spacing w:after="140" w:before="280"/>
      </w:pPr>
      <w:r>
        <w:rPr>
          <w:rFonts w:ascii="Times New Roman" w:cs="Times New Roman" w:eastAsia="Times New Roman" w:hAnsi="Times New Roman"/>
          <w:b/>
          <w:bCs/>
          <w:sz w:val="24"/>
          <w:szCs w:val="24"/>
        </w:rPr>
        <w:t xml:space="preserve">4. Proposed Approach</w:t>
      </w:r>
    </w:p>
    <w:p>
      <w:pPr>
        <w:spacing w:after="160" w:line="276"/>
      </w:pPr>
      <w:r>
        <w:rPr>
          <w:rFonts w:ascii="Times New Roman" w:cs="Times New Roman" w:eastAsia="Times New Roman" w:hAnsi="Times New Roman"/>
          <w:sz w:val="24"/>
          <w:szCs w:val="24"/>
        </w:rPr>
        <w:t xml:space="preserve">The pipeline runs from facts to certified authorities in five stages. Stages 1 to 4 are deterministic; a language model is used only at stage 5, and only inside a brief it is not permitted to leave.</w:t>
      </w:r>
    </w:p>
    <w:p>
      <w:pPr>
        <w:pStyle w:val="Heading2"/>
        <w:spacing w:after="140" w:before="280"/>
      </w:pPr>
      <w:r>
        <w:rPr>
          <w:rFonts w:ascii="Times New Roman" w:cs="Times New Roman" w:eastAsia="Times New Roman" w:hAnsi="Times New Roman"/>
          <w:b/>
          <w:bCs/>
          <w:sz w:val="24"/>
          <w:szCs w:val="24"/>
        </w:rPr>
        <w:t xml:space="preserve">4.1 Fact input and citation scrubbing</w:t>
      </w:r>
    </w:p>
    <w:p>
      <w:pPr>
        <w:spacing w:after="160" w:line="276"/>
      </w:pPr>
      <w:r>
        <w:rPr>
          <w:rFonts w:ascii="Times New Roman" w:cs="Times New Roman" w:eastAsia="Times New Roman" w:hAnsi="Times New Roman"/>
          <w:sz w:val="24"/>
          <w:szCs w:val="24"/>
        </w:rPr>
        <w:t xml:space="preserve">The query is the factual narrative of a dispute. For evaluation we derive it from a held-out judgment, which makes leakage the central threat: a judgment names the authorities it relies on in the same sentences that reason about them. Every sentence carrying a case-citation signal — a v./vs. connector or a law-reporter reference — is therefore removed before the text is used as a query. The filter is deliberately blunt and discards genuine factual content, which is far cheaper than leaking a label.</w:t>
      </w:r>
    </w:p>
    <w:p>
      <w:pPr>
        <w:pStyle w:val="Heading2"/>
        <w:spacing w:after="140" w:before="280"/>
      </w:pPr>
      <w:r>
        <w:rPr>
          <w:rFonts w:ascii="Times New Roman" w:cs="Times New Roman" w:eastAsia="Times New Roman" w:hAnsi="Times New Roman"/>
          <w:b/>
          <w:bCs/>
          <w:sz w:val="24"/>
          <w:szCs w:val="24"/>
        </w:rPr>
        <w:t xml:space="preserve">4.2 Retrieval over the corpus</w:t>
      </w:r>
    </w:p>
    <w:p>
      <w:pPr>
        <w:spacing w:after="160" w:line="276"/>
      </w:pPr>
      <w:r>
        <w:rPr>
          <w:rFonts w:ascii="Times New Roman" w:cs="Times New Roman" w:eastAsia="Times New Roman" w:hAnsi="Times New Roman"/>
          <w:sz w:val="24"/>
          <w:szCs w:val="24"/>
        </w:rPr>
        <w:t xml:space="preserve">Candidate precedents are retrieved from the 5,462-case index by two interchangeable retrievers behind one interface: a lexical BM25 index over full judgment text, and a dense index in which each judgment is represented by ten chunks sampled across its whole length, embedded and mean-pooled. Both enforce the constraint that an authority must predate the judgment being decided, which is legally necessary and also a free gain in precision. Because both retrievers are scored by the same code and the same metrics, the comparison between them is meaningful rather than incidental.</w:t>
      </w:r>
    </w:p>
    <w:p>
      <w:pPr>
        <w:pStyle w:val="Heading2"/>
        <w:spacing w:after="140" w:before="280"/>
      </w:pPr>
      <w:r>
        <w:rPr>
          <w:rFonts w:ascii="Times New Roman" w:cs="Times New Roman" w:eastAsia="Times New Roman" w:hAnsi="Times New Roman"/>
          <w:b/>
          <w:bCs/>
          <w:sz w:val="24"/>
          <w:szCs w:val="24"/>
        </w:rPr>
        <w:t xml:space="preserve">4.3 Signed graph and proof-support ranking</w:t>
      </w:r>
    </w:p>
    <w:p>
      <w:pPr>
        <w:spacing w:after="160" w:line="276"/>
      </w:pPr>
      <w:r>
        <w:rPr>
          <w:rFonts w:ascii="Times New Roman" w:cs="Times New Roman" w:eastAsia="Times New Roman" w:hAnsi="Times New Roman"/>
          <w:sz w:val="24"/>
          <w:szCs w:val="24"/>
        </w:rPr>
        <w:t xml:space="preserve">Retrieved candidates are re-ranked using the signed citation graph, which merges the HEADNOTE labels of Section 3.2 with an LLM classifier for modern cases into a single signed-edge format: 8,467 edges, of which 62.6% carry a polarity label. A structural proof-support score over this graph (a signed variant of the PageRank and HITS intuition, following Derr et al., 2018) indicates whether surrounding case law currently supports or has weakened a proposition — explicitly not a prediction of how a future court would rule. We flag a real limitation up front: only 174 edges are negative, so the “is this still good law” signal is presently thin and its measured contribution may be small.</w:t>
      </w:r>
    </w:p>
    <w:p>
      <w:pPr>
        <w:pStyle w:val="Heading2"/>
        <w:spacing w:after="140" w:before="280"/>
      </w:pPr>
      <w:r>
        <w:rPr>
          <w:rFonts w:ascii="Times New Roman" w:cs="Times New Roman" w:eastAsia="Times New Roman" w:hAnsi="Times New Roman"/>
          <w:b/>
          <w:bCs/>
          <w:sz w:val="24"/>
          <w:szCs w:val="24"/>
        </w:rPr>
        <w:t xml:space="preserve">4.4 Certification and IRAC output</w:t>
      </w:r>
    </w:p>
    <w:p>
      <w:pPr>
        <w:spacing w:after="160" w:line="276"/>
      </w:pPr>
      <w:r>
        <w:rPr>
          <w:rFonts w:ascii="Times New Roman" w:cs="Times New Roman" w:eastAsia="Times New Roman" w:hAnsi="Times New Roman"/>
          <w:sz w:val="24"/>
          <w:szCs w:val="24"/>
        </w:rPr>
        <w:t xml:space="preserve">Retrieval on its own cannot fabricate an authority, because every candidate is a real case drawn from the corpus. The fabrication risk appears at the next step, when a model drafts the answer and can cite something that was never in its brief or garble a name into a case that does not exist. The model is given the ranked candidates and asked for an IRAC analysis (Issue, Rule, Application, Conclusion) citing only from that list. Every authority it names is then resolved back against the candidate set deterministically: first by verbatim match, then by a party-name matcher tuned against a hand audit. An authority that resolves is certified and carries the identifier of the case it resolved to; one that does not is refused and withheld from the answer. Refusals are further split by whether the name resolves to any case in the corpus at all, because a citation naming a real but unretrieved case is a different failure from one naming nothing that exists, and reporting them together would overstate fabrication.</w:t>
      </w:r>
    </w:p>
    <w:p>
      <w:pPr>
        <w:pStyle w:val="Heading2"/>
        <w:spacing w:after="140" w:before="280"/>
      </w:pPr>
      <w:r>
        <w:rPr>
          <w:rFonts w:ascii="Times New Roman" w:cs="Times New Roman" w:eastAsia="Times New Roman" w:hAnsi="Times New Roman"/>
          <w:b/>
          <w:bCs/>
          <w:sz w:val="24"/>
          <w:szCs w:val="24"/>
        </w:rPr>
        <w:t xml:space="preserve">4.5 Ontology-directed extraction, repositioned</w:t>
      </w:r>
    </w:p>
    <w:p>
      <w:pPr>
        <w:spacing w:after="160" w:line="276"/>
      </w:pPr>
      <w:r>
        <w:rPr>
          <w:rFonts w:ascii="Times New Roman" w:cs="Times New Roman" w:eastAsia="Times New Roman" w:hAnsi="Times New Roman"/>
          <w:sz w:val="24"/>
          <w:szCs w:val="24"/>
        </w:rPr>
        <w:t xml:space="preserve">An earlier version of this project made ontology-directed extraction the product: a starter ontology of classes (Party, Court, LegalInstrument, PriorCase, PropertyAsset; ProceduralAction, DisputeAction, TreatmentAction, RulingAction, DispositionAction), semantic roles (Agent, Patient, Authority, Forum, Time) and target concepts (Claim, Issue, RuleCited, AuthorityCited, AuthorityTreatment, Fact, Holding, Outcome), with symbolic rules learned from 24 hand-annotated examples in the manner of Riloff (1993). That machinery is retained and still used — to build labelled data, to locate citation spans for scrubbing, and as the auditable typed layer over retrieved text — but it is no longer the mechanism that finds authorities, because measurement showed retrieval does that better. Section 6.1 reports the extraction results honestly, including the two fixes that improved them and the one gap that remains.</w:t>
      </w:r>
    </w:p>
    <w:p>
      <w:pPr>
        <w:pStyle w:val="Heading2"/>
        <w:spacing w:after="140" w:before="280"/>
      </w:pPr>
      <w:r>
        <w:rPr>
          <w:rFonts w:ascii="Times New Roman" w:cs="Times New Roman" w:eastAsia="Times New Roman" w:hAnsi="Times New Roman"/>
          <w:b/>
          <w:bCs/>
          <w:sz w:val="24"/>
          <w:szCs w:val="24"/>
        </w:rPr>
        <w:t xml:space="preserve">4.6 Prototype dashboard</w:t>
      </w:r>
    </w:p>
    <w:p>
      <w:pPr>
        <w:spacing w:after="160" w:line="276"/>
      </w:pPr>
      <w:r>
        <w:rPr>
          <w:rFonts w:ascii="Times New Roman" w:cs="Times New Roman" w:eastAsia="Times New Roman" w:hAnsi="Times New Roman"/>
          <w:sz w:val="24"/>
          <w:szCs w:val="24"/>
        </w:rPr>
        <w:t xml:space="preserve">A lightweight dashboard will let a user enter a land-dispute fact pattern and see the retrieved authorities, their proof-support scores and polarity, the IRAC trace, and — the point of the exercise — every authority the verifier refused, with the reason. This is the artifact demonstrated in the live demo session.</w:t>
      </w:r>
    </w:p>
    <w:p>
      <w:pPr>
        <w:pStyle w:val="Heading1"/>
        <w:spacing w:after="140" w:before="280"/>
      </w:pPr>
      <w:r>
        <w:rPr>
          <w:rFonts w:ascii="Times New Roman" w:cs="Times New Roman" w:eastAsia="Times New Roman" w:hAnsi="Times New Roman"/>
          <w:b/>
          <w:bCs/>
          <w:sz w:val="24"/>
          <w:szCs w:val="24"/>
        </w:rPr>
        <w:t xml:space="preserve">5. System Architecture</w:t>
      </w:r>
    </w:p>
    <w:p>
      <w:pPr>
        <w:spacing w:after="160" w:line="276"/>
      </w:pPr>
      <w:r>
        <w:rPr>
          <w:rFonts w:ascii="Times New Roman" w:cs="Times New Roman" w:eastAsia="Times New Roman" w:hAnsi="Times New Roman"/>
          <w:sz w:val="24"/>
          <w:szCs w:val="24"/>
        </w:rPr>
        <w:t xml:space="preserve">The pipeline is a directed state graph, each stage reading and updating a shared state: Facts → Scrub (remove citation-bearing sentences) → Retrieve (BM25 or dense over 5,462 judgments) → Rank (date filter plus signed-graph proof support) → Draft (model produces IRAC citing only the brief) → Certify (deterministic resolution of every cited authority) → Respond, or refuse. The separation matters for contestability: the model never decides what counts as an authority, and the certification step is ordinary code rather than a second model judging the first, so a refusal is checkable. Model and embedding calls run against ASU Voyager, which is OpenAI-spec compatible and free for ASU accounts, so call volume is not a design constraint.</w:t>
      </w:r>
    </w:p>
    <w:p>
      <w:pPr>
        <w:pStyle w:val="Heading1"/>
        <w:spacing w:after="140" w:before="280"/>
      </w:pPr>
      <w:r>
        <w:rPr>
          <w:rFonts w:ascii="Times New Roman" w:cs="Times New Roman" w:eastAsia="Times New Roman" w:hAnsi="Times New Roman"/>
          <w:b/>
          <w:bCs/>
          <w:sz w:val="24"/>
          <w:szCs w:val="24"/>
        </w:rPr>
        <w:t xml:space="preserve">6. Evaluation Plan</w:t>
      </w:r>
    </w:p>
    <w:p>
      <w:pPr>
        <w:spacing w:after="160" w:line="276"/>
      </w:pPr>
      <w:r>
        <w:rPr>
          <w:rFonts w:ascii="Times New Roman" w:cs="Times New Roman" w:eastAsia="Times New Roman" w:hAnsi="Times New Roman"/>
          <w:sz w:val="24"/>
          <w:szCs w:val="24"/>
        </w:rPr>
        <w:t xml:space="preserve">Evaluation has two halves, matching the two ways this system can fail: it can retrieve the wrong precedents, or it can misreport what it retrieved.</w:t>
      </w:r>
    </w:p>
    <w:p>
      <w:pPr>
        <w:pStyle w:val="ListParagraph"/>
        <w:numPr>
          <w:ilvl w:val="0"/>
          <w:numId w:val="2"/>
        </w:numPr>
        <w:spacing w:after="100" w:line="276"/>
      </w:pPr>
      <w:r>
        <w:rPr>
          <w:rFonts w:ascii="Times New Roman" w:cs="Times New Roman" w:eastAsia="Times New Roman" w:hAnsi="Times New Roman"/>
          <w:sz w:val="24"/>
          <w:szCs w:val="24"/>
        </w:rPr>
        <w:t xml:space="preserve">Precedent recall at k. Share of a judgment’s reachable authorities that appear in the top k retrieved, with raw totals alongside so the 25.6% corpus ceiling of Section 3.1 remains visible. Ground truth is the judgment’s own held-out citations, so labels cost nothing and exist for 1,206 query cases.</w:t>
      </w:r>
    </w:p>
    <w:p>
      <w:pPr>
        <w:pStyle w:val="ListParagraph"/>
        <w:numPr>
          <w:ilvl w:val="0"/>
          <w:numId w:val="2"/>
        </w:numPr>
        <w:spacing w:after="100" w:line="276"/>
      </w:pPr>
      <w:r>
        <w:rPr>
          <w:rFonts w:ascii="Times New Roman" w:cs="Times New Roman" w:eastAsia="Times New Roman" w:hAnsi="Times New Roman"/>
          <w:sz w:val="24"/>
          <w:szCs w:val="24"/>
        </w:rPr>
        <w:t xml:space="preserve">Precision at k. Share of returned candidates that the court really cited, which is what determines whether the output is usable as a shortlist.</w:t>
      </w:r>
    </w:p>
    <w:p>
      <w:pPr>
        <w:pStyle w:val="ListParagraph"/>
        <w:numPr>
          <w:ilvl w:val="0"/>
          <w:numId w:val="2"/>
        </w:numPr>
        <w:spacing w:after="100" w:line="276"/>
      </w:pPr>
      <w:r>
        <w:rPr>
          <w:rFonts w:ascii="Times New Roman" w:cs="Times New Roman" w:eastAsia="Times New Roman" w:hAnsi="Times New Roman"/>
          <w:sz w:val="24"/>
          <w:szCs w:val="24"/>
        </w:rPr>
        <w:t xml:space="preserve">A popularity control. Citation graphs are strongly skewed, so “always return the most-cited cases” is a deceptively strong baseline. Any retriever that cannot beat it is not reading the dispute.</w:t>
      </w:r>
    </w:p>
    <w:p>
      <w:pPr>
        <w:pStyle w:val="ListParagraph"/>
        <w:numPr>
          <w:ilvl w:val="0"/>
          <w:numId w:val="2"/>
        </w:numPr>
        <w:spacing w:after="100" w:line="276"/>
      </w:pPr>
      <w:r>
        <w:rPr>
          <w:rFonts w:ascii="Times New Roman" w:cs="Times New Roman" w:eastAsia="Times New Roman" w:hAnsi="Times New Roman"/>
          <w:sz w:val="24"/>
          <w:szCs w:val="24"/>
        </w:rPr>
        <w:t xml:space="preserve">Groundedness. Share of the authorities in a generated answer that resolve to a retrieved candidate. This measures whether the model stayed inside its brief.</w:t>
      </w:r>
    </w:p>
    <w:p>
      <w:pPr>
        <w:pStyle w:val="ListParagraph"/>
        <w:numPr>
          <w:ilvl w:val="0"/>
          <w:numId w:val="2"/>
        </w:numPr>
        <w:spacing w:after="100" w:line="276"/>
      </w:pPr>
      <w:r>
        <w:rPr>
          <w:rFonts w:ascii="Times New Roman" w:cs="Times New Roman" w:eastAsia="Times New Roman" w:hAnsi="Times New Roman"/>
          <w:sz w:val="24"/>
          <w:szCs w:val="24"/>
        </w:rPr>
        <w:t xml:space="preserve">Fabrication rate. Share of proposed authorities that resolve to no case anywhere in the corpus, reported separately from authorities that are real but were not retrieved.</w:t>
      </w:r>
    </w:p>
    <w:p>
      <w:pPr>
        <w:pStyle w:val="ListParagraph"/>
        <w:numPr>
          <w:ilvl w:val="0"/>
          <w:numId w:val="2"/>
        </w:numPr>
        <w:spacing w:after="100" w:line="276"/>
      </w:pPr>
      <w:r>
        <w:rPr>
          <w:rFonts w:ascii="Times New Roman" w:cs="Times New Roman" w:eastAsia="Times New Roman" w:hAnsi="Times New Roman"/>
          <w:sz w:val="24"/>
          <w:szCs w:val="24"/>
        </w:rPr>
        <w:t xml:space="preserve">Correctness of certified authorities. Share of certified authorities the court actually cited. Groundedness and correctness are distinct, and we report both.</w:t>
      </w:r>
    </w:p>
    <w:p>
      <w:pPr>
        <w:pStyle w:val="ListParagraph"/>
        <w:numPr>
          <w:ilvl w:val="0"/>
          <w:numId w:val="2"/>
        </w:numPr>
        <w:spacing w:after="100" w:line="276"/>
      </w:pPr>
      <w:r>
        <w:rPr>
          <w:rFonts w:ascii="Times New Roman" w:cs="Times New Roman" w:eastAsia="Times New Roman" w:hAnsi="Times New Roman"/>
          <w:sz w:val="24"/>
          <w:szCs w:val="24"/>
        </w:rPr>
        <w:t xml:space="preserve">Extraction precision and recall for the typed objects of Section 4.5, against manual annotation, plus sign-classification agreement on a manually read sample of modern cases.</w:t>
      </w:r>
    </w:p>
    <w:p>
      <w:pPr>
        <w:pStyle w:val="Heading2"/>
        <w:spacing w:after="140" w:before="280"/>
      </w:pPr>
      <w:r>
        <w:rPr>
          <w:rFonts w:ascii="Times New Roman" w:cs="Times New Roman" w:eastAsia="Times New Roman" w:hAnsi="Times New Roman"/>
          <w:b/>
          <w:bCs/>
          <w:sz w:val="24"/>
          <w:szCs w:val="24"/>
        </w:rPr>
        <w:t xml:space="preserve">6.1 Preliminary Results</w:t>
      </w:r>
    </w:p>
    <w:p>
      <w:pPr>
        <w:spacing w:after="160" w:line="276"/>
      </w:pPr>
      <w:r>
        <w:rPr>
          <w:rFonts w:ascii="Times New Roman" w:cs="Times New Roman" w:eastAsia="Times New Roman" w:hAnsi="Times New Roman"/>
          <w:sz w:val="24"/>
          <w:szCs w:val="24"/>
        </w:rPr>
        <w:t xml:space="preserve">All figures below are measured. Retrieval is evaluated on 100 post-2000 query cases holding 532 reachable authorities out of 1,659 cited. Generation is evaluated on 25 cases with 20 candidates each. The generator is Llama 4 Scout 17B and the embedding model Qwen3-Embedding-8B, both on ASU Voyager.</w:t>
      </w:r>
    </w:p>
    <w:p>
      <w:pPr>
        <w:spacing w:after="100" w:line="276"/>
      </w:pPr>
      <w:r>
        <w:rPr>
          <w:rFonts w:ascii="Times New Roman" w:cs="Times New Roman" w:eastAsia="Times New Roman" w:hAnsi="Times New Roman"/>
          <w:b/>
          <w:bCs/>
          <w:sz w:val="24"/>
          <w:szCs w:val="24"/>
        </w:rPr>
        <w:t xml:space="preserve">Table 1. Precedent recall from facts alone, and from the whole scrubbed judgment, against the popularity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50"/>
        <w:gridCol w:w="1650"/>
        <w:gridCol w:w="1620"/>
        <w:gridCol w:w="1620"/>
        <w:gridCol w:w="1586"/>
      </w:tblGrid>
      <w:tr>
        <w:trPr>
          <w:tblHeader/>
        </w:trPr>
        <w:tc>
          <w:tcPr>
            <w:tcW w:type="dxa" w:w="900"/>
            <w:shd w:fill="E8E8E8"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4"/>
                <w:szCs w:val="24"/>
              </w:rPr>
              <w:t xml:space="preserve">k</w:t>
            </w:r>
          </w:p>
        </w:tc>
        <w:tc>
          <w:tcPr>
            <w:tcW w:type="dxa" w:w="1650"/>
            <w:shd w:fill="E8E8E8"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4"/>
                <w:szCs w:val="24"/>
              </w:rPr>
              <w:t xml:space="preserve">BM25, facts</w:t>
            </w:r>
          </w:p>
        </w:tc>
        <w:tc>
          <w:tcPr>
            <w:tcW w:type="dxa" w:w="1650"/>
            <w:shd w:fill="E8E8E8"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4"/>
                <w:szCs w:val="24"/>
              </w:rPr>
              <w:t xml:space="preserve">Dense, facts</w:t>
            </w:r>
          </w:p>
        </w:tc>
        <w:tc>
          <w:tcPr>
            <w:tcW w:type="dxa" w:w="1620"/>
            <w:shd w:fill="E8E8E8"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4"/>
                <w:szCs w:val="24"/>
              </w:rPr>
              <w:t xml:space="preserve">BM25, full</w:t>
            </w:r>
          </w:p>
        </w:tc>
        <w:tc>
          <w:tcPr>
            <w:tcW w:type="dxa" w:w="1620"/>
            <w:shd w:fill="E8E8E8"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4"/>
                <w:szCs w:val="24"/>
              </w:rPr>
              <w:t xml:space="preserve">Dense, full</w:t>
            </w:r>
          </w:p>
        </w:tc>
        <w:tc>
          <w:tcPr>
            <w:tcW w:type="dxa" w:w="1586"/>
            <w:shd w:fill="E8E8E8"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4"/>
                <w:szCs w:val="24"/>
              </w:rPr>
              <w:t xml:space="preserve">Popularity</w:t>
            </w:r>
          </w:p>
        </w:tc>
      </w:tr>
      <w:tr>
        <w:trPr>
          <w:tblHeader w:val="false"/>
        </w:trPr>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10</w:t>
            </w:r>
          </w:p>
        </w:tc>
        <w:tc>
          <w:tcPr>
            <w:tcW w:type="dxa" w:w="16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15.6%</w:t>
            </w:r>
          </w:p>
        </w:tc>
        <w:tc>
          <w:tcPr>
            <w:tcW w:type="dxa" w:w="16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16.2%</w:t>
            </w:r>
          </w:p>
        </w:tc>
        <w:tc>
          <w:tcPr>
            <w:tcW w:type="dxa" w:w="162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31.0%</w:t>
            </w:r>
          </w:p>
        </w:tc>
        <w:tc>
          <w:tcPr>
            <w:tcW w:type="dxa" w:w="162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25.9%</w:t>
            </w:r>
          </w:p>
        </w:tc>
        <w:tc>
          <w:tcPr>
            <w:tcW w:type="dxa" w:w="158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5.3%</w:t>
            </w:r>
          </w:p>
        </w:tc>
      </w:tr>
      <w:tr>
        <w:trPr>
          <w:tblHeader w:val="false"/>
        </w:trPr>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50</w:t>
            </w:r>
          </w:p>
        </w:tc>
        <w:tc>
          <w:tcPr>
            <w:tcW w:type="dxa" w:w="16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30.4%</w:t>
            </w:r>
          </w:p>
        </w:tc>
        <w:tc>
          <w:tcPr>
            <w:tcW w:type="dxa" w:w="16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33.7%</w:t>
            </w:r>
          </w:p>
        </w:tc>
        <w:tc>
          <w:tcPr>
            <w:tcW w:type="dxa" w:w="162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51.5%</w:t>
            </w:r>
          </w:p>
        </w:tc>
        <w:tc>
          <w:tcPr>
            <w:tcW w:type="dxa" w:w="162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48.5%</w:t>
            </w:r>
          </w:p>
        </w:tc>
        <w:tc>
          <w:tcPr>
            <w:tcW w:type="dxa" w:w="158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14.8%</w:t>
            </w:r>
          </w:p>
        </w:tc>
      </w:tr>
      <w:tr>
        <w:trPr>
          <w:tblHeader w:val="false"/>
        </w:trPr>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100</w:t>
            </w:r>
          </w:p>
        </w:tc>
        <w:tc>
          <w:tcPr>
            <w:tcW w:type="dxa" w:w="16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42.1%</w:t>
            </w:r>
          </w:p>
        </w:tc>
        <w:tc>
          <w:tcPr>
            <w:tcW w:type="dxa" w:w="16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41.3%</w:t>
            </w:r>
          </w:p>
        </w:tc>
        <w:tc>
          <w:tcPr>
            <w:tcW w:type="dxa" w:w="162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62.4%</w:t>
            </w:r>
          </w:p>
        </w:tc>
        <w:tc>
          <w:tcPr>
            <w:tcW w:type="dxa" w:w="162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58.7%</w:t>
            </w:r>
          </w:p>
        </w:tc>
        <w:tc>
          <w:tcPr>
            <w:tcW w:type="dxa" w:w="158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23.7%</w:t>
            </w:r>
          </w:p>
        </w:tc>
      </w:tr>
    </w:tbl>
    <w:p>
      <w:pPr>
        <w:spacing w:after="120" w:line="276"/>
      </w:pPr>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sz w:val="24"/>
          <w:szCs w:val="24"/>
        </w:rPr>
        <w:t xml:space="preserve">Retrieval from facts alone beats the popularity control by roughly three times at k = 10, so the retriever is reading the dispute rather than exploiting citation skew. Two results are worth drawing out. First, cutting the query from a whole judgment (about 60,000 characters) down to 2,000 characters of facts costs only half the recall at k = 10, which says the facts carry most of the retrieval signal and the court’s reasoning adds less than expected. Second, the lexical and dense retrievers trade places depending on query length: dense is ahead on short realistic fact queries (33.7% against 30.4% at k = 50), while BM25 is ahead on whole judgments, where exact overlap on statute and doctrine names beats a single pooled vector. The gap at k = 10 is within noise on 532 authorities; the gap at k = 50 appears real. Hybrid fusion is the obvious untried lever.</w:t>
      </w:r>
    </w:p>
    <w:p>
      <w:pPr>
        <w:spacing w:after="100" w:line="276"/>
      </w:pPr>
      <w:r>
        <w:rPr>
          <w:rFonts w:ascii="Times New Roman" w:cs="Times New Roman" w:eastAsia="Times New Roman" w:hAnsi="Times New Roman"/>
          <w:b/>
          <w:bCs/>
          <w:sz w:val="24"/>
          <w:szCs w:val="24"/>
        </w:rPr>
        <w:t xml:space="preserve">Table 2. Authorities proposed in generated answers, and what certification did with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160"/>
        <w:gridCol w:w="1560"/>
        <w:gridCol w:w="1760"/>
        <w:gridCol w:w="1686"/>
      </w:tblGrid>
      <w:tr>
        <w:trPr>
          <w:tblHeader/>
        </w:trPr>
        <w:tc>
          <w:tcPr>
            <w:tcW w:type="dxa" w:w="1560"/>
            <w:shd w:fill="E8E8E8"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4"/>
                <w:szCs w:val="24"/>
              </w:rPr>
              <w:t xml:space="preserve">Configuration</w:t>
            </w:r>
          </w:p>
        </w:tc>
        <w:tc>
          <w:tcPr>
            <w:tcW w:type="dxa" w:w="1300"/>
            <w:shd w:fill="E8E8E8"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4"/>
                <w:szCs w:val="24"/>
              </w:rPr>
              <w:t xml:space="preserve">Proposed</w:t>
            </w:r>
          </w:p>
        </w:tc>
        <w:tc>
          <w:tcPr>
            <w:tcW w:type="dxa" w:w="1160"/>
            <w:shd w:fill="E8E8E8"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4"/>
                <w:szCs w:val="24"/>
              </w:rPr>
              <w:t xml:space="preserve">Certified</w:t>
            </w:r>
          </w:p>
        </w:tc>
        <w:tc>
          <w:tcPr>
            <w:tcW w:type="dxa" w:w="1560"/>
            <w:shd w:fill="E8E8E8"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4"/>
                <w:szCs w:val="24"/>
              </w:rPr>
              <w:t xml:space="preserve">Refused: real case</w:t>
            </w:r>
          </w:p>
        </w:tc>
        <w:tc>
          <w:tcPr>
            <w:tcW w:type="dxa" w:w="1760"/>
            <w:shd w:fill="E8E8E8"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4"/>
                <w:szCs w:val="24"/>
              </w:rPr>
              <w:t xml:space="preserve">Refused: resolves to nothing</w:t>
            </w:r>
          </w:p>
        </w:tc>
        <w:tc>
          <w:tcPr>
            <w:tcW w:type="dxa" w:w="1686"/>
            <w:shd w:fill="E8E8E8"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4"/>
                <w:szCs w:val="24"/>
              </w:rPr>
              <w:t xml:space="preserve">Groundedness</w:t>
            </w:r>
          </w:p>
        </w:tc>
      </w:tr>
      <w:tr>
        <w:trPr>
          <w:tblHeader w:val="false"/>
        </w:trPr>
        <w:tc>
          <w:tcPr>
            <w:tcW w:type="dxa" w:w="15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Closed-book model</w:t>
            </w:r>
          </w:p>
        </w:tc>
        <w:tc>
          <w:tcPr>
            <w:tcW w:type="dxa" w:w="13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61</w:t>
            </w:r>
          </w:p>
        </w:tc>
        <w:tc>
          <w:tcPr>
            <w:tcW w:type="dxa" w:w="1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3</w:t>
            </w:r>
          </w:p>
        </w:tc>
        <w:tc>
          <w:tcPr>
            <w:tcW w:type="dxa" w:w="15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12</w:t>
            </w:r>
          </w:p>
        </w:tc>
        <w:tc>
          <w:tcPr>
            <w:tcW w:type="dxa" w:w="17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46</w:t>
            </w:r>
          </w:p>
        </w:tc>
        <w:tc>
          <w:tcPr>
            <w:tcW w:type="dxa" w:w="168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4.9%</w:t>
            </w:r>
          </w:p>
        </w:tc>
      </w:tr>
      <w:tr>
        <w:trPr>
          <w:tblHeader w:val="false"/>
        </w:trPr>
        <w:tc>
          <w:tcPr>
            <w:tcW w:type="dxa" w:w="15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Retrieve, draft, certify</w:t>
            </w:r>
          </w:p>
        </w:tc>
        <w:tc>
          <w:tcPr>
            <w:tcW w:type="dxa" w:w="13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61</w:t>
            </w:r>
          </w:p>
        </w:tc>
        <w:tc>
          <w:tcPr>
            <w:tcW w:type="dxa" w:w="1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61</w:t>
            </w:r>
          </w:p>
        </w:tc>
        <w:tc>
          <w:tcPr>
            <w:tcW w:type="dxa" w:w="15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0</w:t>
            </w:r>
          </w:p>
        </w:tc>
        <w:tc>
          <w:tcPr>
            <w:tcW w:type="dxa" w:w="17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0</w:t>
            </w:r>
          </w:p>
        </w:tc>
        <w:tc>
          <w:tcPr>
            <w:tcW w:type="dxa" w:w="168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4"/>
                <w:szCs w:val="24"/>
              </w:rPr>
              <w:t xml:space="preserve">100.0%</w:t>
            </w:r>
          </w:p>
        </w:tc>
      </w:tr>
    </w:tbl>
    <w:p>
      <w:pPr>
        <w:spacing w:after="120" w:line="276"/>
      </w:pPr>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sz w:val="24"/>
          <w:szCs w:val="24"/>
        </w:rPr>
        <w:t xml:space="preserve">This is the central result. Given only the facts and no retrieved brief, 46 of the model’s 61 proposed authorities resolve to no case anywhere in 5,462 judgments — a 75% fabrication rate, in fluent and correctly formatted citations, reproducing on our corpus the failure mode Dahl et al. (2024) report. Requiring the model to draft from a retrieved brief and certifying every citation against it drives that to zero. The verifier is what makes the difference, and because it is deterministic it does not depend on the model behaving well.</w:t>
      </w:r>
    </w:p>
    <w:p>
      <w:pPr>
        <w:spacing w:after="160" w:line="276"/>
      </w:pPr>
      <w:r>
        <w:rPr>
          <w:rFonts w:ascii="Times New Roman" w:cs="Times New Roman" w:eastAsia="Times New Roman" w:hAnsi="Times New Roman"/>
          <w:b w:val="false"/>
          <w:bCs w:val="false"/>
          <w:sz w:val="24"/>
          <w:szCs w:val="24"/>
        </w:rPr>
        <w:t xml:space="preserve">The honest limit. Only 13.1% of the 61 certified authorities were authorities the court actually cited. Groundedness is not correctness: certification guarantees that every authority is real, is in the corpus, and predates the case, but not that it is the right case. That is consistent with the precision at k figures in Table 1 and it is the gap the ranking work of Section 4.3 is aimed at.</w:t>
      </w:r>
    </w:p>
    <w:p>
      <w:pPr>
        <w:spacing w:after="160" w:line="276"/>
      </w:pPr>
      <w:r>
        <w:rPr>
          <w:rFonts w:ascii="Times New Roman" w:cs="Times New Roman" w:eastAsia="Times New Roman" w:hAnsi="Times New Roman"/>
          <w:sz w:val="24"/>
          <w:szCs w:val="24"/>
        </w:rPr>
        <w:t xml:space="preserve">Extraction results and two corrections. The typed-extraction layer of Section 4.5 was improved by two measured fixes. Candidate selection was the binding constraint: judgments average roughly 515 keyword-matched sentences and only the first 30 were being grounded, in document order, which reached 6.9% of real citation edges and explains why the extractor worked on 1950s judgments and produced almost nothing after 1990. Spending the same budget on citation-shaped sentences first raised that ceiling to 23.5% at identical cost. Second, extraction rules keyed only on an ontology class and role, resolved by majority, which caused an overloaded class to absorb three different target concepts and silently discard two of them; keying rules additionally on the content shape of the extracted span removed all 196 misrouted statute spans from the authority channel without losing a single verified citation, and populated the Rule element of the IRAC output for the first time. One gap remains: the Issue and Fact concepts are still not extracted, because grounding truncates the relevant spans before any rule can apply. We tested whether a larger model fixes this and it does not, so the remaining work is contrastive annotation rather than more compute.</w:t>
      </w:r>
    </w:p>
    <w:p>
      <w:pPr>
        <w:spacing w:after="160" w:line="276"/>
      </w:pPr>
      <w:r>
        <w:rPr>
          <w:rFonts w:ascii="Times New Roman" w:cs="Times New Roman" w:eastAsia="Times New Roman" w:hAnsi="Times New Roman"/>
          <w:sz w:val="24"/>
          <w:szCs w:val="24"/>
        </w:rPr>
        <w:t xml:space="preserve">Caveats. An unverified or refused citation is not automatically a fabricated one: the citation metadata carries Indian Kanoon’s links, which systematically omit English and Privy Council authorities, so we separate refusals that name a real corpus case from those that name nothing. The party-name matcher was audited by hand before it was trusted: of 96 verified matches in an earlier run, 73 were unambiguous single-edge matches, 23 matched more than one candidate edge, and a small number were wrong, all of them cases where a generic institutional party such as a State or the Union of India matches many edges. Query text derived from a judgment’s opening also carries its caption, and we measured the resulting party-name advantage at about 1.7 points of recall at k = 10. Six cases per decade, and 100 query cases, are too few for fine-grained per-decade claims.</w:t>
      </w:r>
    </w:p>
    <w:p>
      <w:pPr>
        <w:pStyle w:val="Heading1"/>
        <w:spacing w:after="140" w:before="280"/>
      </w:pPr>
      <w:r>
        <w:rPr>
          <w:rFonts w:ascii="Times New Roman" w:cs="Times New Roman" w:eastAsia="Times New Roman" w:hAnsi="Times New Roman"/>
          <w:b/>
          <w:bCs/>
          <w:sz w:val="24"/>
          <w:szCs w:val="24"/>
        </w:rPr>
        <w:t xml:space="preserve">7. Timeline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26"/>
      </w:tblGrid>
      <w:tr>
        <w:trPr>
          <w:tblHeader/>
        </w:trPr>
        <w:tc>
          <w:tcPr>
            <w:tcW w:type="dxa" w:w="2100"/>
            <w:shd w:fill="E8E8E8"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4"/>
                <w:szCs w:val="24"/>
              </w:rPr>
              <w:t xml:space="preserve">Window</w:t>
            </w:r>
          </w:p>
        </w:tc>
        <w:tc>
          <w:tcPr>
            <w:tcW w:type="dxa" w:w="4100"/>
            <w:shd w:fill="E8E8E8"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4"/>
                <w:szCs w:val="24"/>
              </w:rPr>
              <w:t xml:space="preserve">Focus</w:t>
            </w:r>
          </w:p>
        </w:tc>
        <w:tc>
          <w:tcPr>
            <w:tcW w:type="dxa" w:w="2826"/>
            <w:shd w:fill="E8E8E8"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4"/>
                <w:szCs w:val="24"/>
              </w:rPr>
              <w:t xml:space="preserve">Course milestone</w:t>
            </w:r>
          </w:p>
        </w:tc>
      </w:tr>
      <w:tr>
        <w:trPr>
          <w:tblHeader w:val="false"/>
        </w:trP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Through Sep 26, 2026</w:t>
            </w:r>
          </w:p>
        </w:tc>
        <w:tc>
          <w:tcPr>
            <w:tcW w:type="dxa" w:w="4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Done: full 26,688-judgment corpus held locally; identifier join and text cache; signed citation graph; BM25 and dense indexes; citation scrubbing; precedent-prediction evaluation with a popularity control; certification pipeline; two measured extraction fixes</w:t>
            </w:r>
          </w:p>
        </w:tc>
        <w:tc>
          <w:tcPr>
            <w:tcW w:type="dxa" w:w="282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w:t>
            </w:r>
          </w:p>
        </w:tc>
      </w:tr>
      <w:tr>
        <w:trPr>
          <w:tblHeader w:val="false"/>
        </w:trP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Sep 27 – Oct 7, 2026</w:t>
            </w:r>
          </w:p>
        </w:tc>
        <w:tc>
          <w:tcPr>
            <w:tcW w:type="dxa" w:w="4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Write and submit this proposal; fill the team roster; check against the official template</w:t>
            </w:r>
          </w:p>
        </w:tc>
        <w:tc>
          <w:tcPr>
            <w:tcW w:type="dxa" w:w="282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Proposal due Oct 7 (15%)</w:t>
            </w:r>
          </w:p>
        </w:tc>
      </w:tr>
      <w:tr>
        <w:trPr>
          <w:tblHeader w:val="false"/>
        </w:trP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Oct 8 – Oct 27, 2026</w:t>
            </w:r>
          </w:p>
        </w:tc>
        <w:tc>
          <w:tcPr>
            <w:tcW w:type="dxa" w:w="4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Wire signed-graph ranking into retrieval; hybrid lexical and dense fusion; contrastive annotation for the Issue and Fact concepts</w:t>
            </w:r>
          </w:p>
        </w:tc>
        <w:tc>
          <w:tcPr>
            <w:tcW w:type="dxa" w:w="282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Mid-term exam Oct 14 (separate; plan around it)</w:t>
            </w:r>
          </w:p>
        </w:tc>
      </w:tr>
      <w:tr>
        <w:trPr>
          <w:tblHeader w:val="false"/>
        </w:trP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Oct 28 – Nov 18, 2026</w:t>
            </w:r>
          </w:p>
        </w:tc>
        <w:tc>
          <w:tcPr>
            <w:tcW w:type="dxa" w:w="4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Fact segmentation beyond a character prefix; add the Element relation for the facts-to-elements step; begin dashboard</w:t>
            </w:r>
          </w:p>
        </w:tc>
        <w:tc>
          <w:tcPr>
            <w:tcW w:type="dxa" w:w="282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Class presentation (10%)</w:t>
            </w:r>
          </w:p>
        </w:tc>
      </w:tr>
      <w:tr>
        <w:trPr>
          <w:tblHeader w:val="false"/>
        </w:trP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Nov 19 – Dec 2, 2026</w:t>
            </w:r>
          </w:p>
        </w:tc>
        <w:tc>
          <w:tcPr>
            <w:tcW w:type="dxa" w:w="4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Integrate end to end; finish and rehearse the dashboard</w:t>
            </w:r>
          </w:p>
        </w:tc>
        <w:tc>
          <w:tcPr>
            <w:tcW w:type="dxa" w:w="282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Group demo (15%)</w:t>
            </w:r>
          </w:p>
        </w:tc>
      </w:tr>
      <w:tr>
        <w:trPr>
          <w:tblHeader w:val="false"/>
        </w:trP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Dec 3 – Dec 9, 2026</w:t>
            </w:r>
          </w:p>
        </w:tc>
        <w:tc>
          <w:tcPr>
            <w:tcW w:type="dxa" w:w="4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Final metrics and ablations; write report; package code, data and contributions</w:t>
            </w:r>
          </w:p>
        </w:tc>
        <w:tc>
          <w:tcPr>
            <w:tcW w:type="dxa" w:w="282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Final report due Dec 9 (20%)</w:t>
            </w:r>
          </w:p>
        </w:tc>
      </w:tr>
    </w:tbl>
    <w:p>
      <w:pPr>
        <w:pStyle w:val="Heading1"/>
        <w:spacing w:after="140" w:before="280"/>
      </w:pPr>
      <w:r>
        <w:rPr>
          <w:rFonts w:ascii="Times New Roman" w:cs="Times New Roman" w:eastAsia="Times New Roman" w:hAnsi="Times New Roman"/>
          <w:b/>
          <w:bCs/>
          <w:sz w:val="24"/>
          <w:szCs w:val="24"/>
        </w:rPr>
        <w:t xml:space="preserve">8. Team Roles and Division of Labor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126"/>
      </w:tblGrid>
      <w:tr>
        <w:trPr>
          <w:tblHeader/>
        </w:trPr>
        <w:tc>
          <w:tcPr>
            <w:tcW w:type="dxa" w:w="1700"/>
            <w:shd w:fill="E8E8E8"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4"/>
                <w:szCs w:val="24"/>
              </w:rPr>
              <w:t xml:space="preserve">Member</w:t>
            </w:r>
          </w:p>
        </w:tc>
        <w:tc>
          <w:tcPr>
            <w:tcW w:type="dxa" w:w="2200"/>
            <w:shd w:fill="E8E8E8"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4"/>
                <w:szCs w:val="24"/>
              </w:rPr>
              <w:t xml:space="preserve">Primary role</w:t>
            </w:r>
          </w:p>
        </w:tc>
        <w:tc>
          <w:tcPr>
            <w:tcW w:type="dxa" w:w="5126"/>
            <w:shd w:fill="E8E8E8"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4"/>
                <w:szCs w:val="24"/>
              </w:rPr>
              <w:t xml:space="preserve">Responsibilities</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[Name 1]</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Data and corpus</w:t>
            </w:r>
          </w:p>
        </w:tc>
        <w:tc>
          <w:tcPr>
            <w:tcW w:type="dxa" w:w="512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Corpus extraction and verification, identifier join, text cache, citation-metadata integration</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[Name 2]</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Retrieval</w:t>
            </w:r>
          </w:p>
        </w:tc>
        <w:tc>
          <w:tcPr>
            <w:tcW w:type="dxa" w:w="512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Lexical and dense indexes, citation scrubbing, query construction, retrieval evaluation</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[Name 3]</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Graph and ranking</w:t>
            </w:r>
          </w:p>
        </w:tc>
        <w:tc>
          <w:tcPr>
            <w:tcW w:type="dxa" w:w="512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Signed graph construction, modern-case polarity classifier, proof-support ranking</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[Name 4]</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Certification and backend</w:t>
            </w:r>
          </w:p>
        </w:tc>
        <w:tc>
          <w:tcPr>
            <w:tcW w:type="dxa" w:w="512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Certification and refusal logic, IRAC assembly, pipeline orchestration</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[Name 5, if applicable]</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Dashboard and evaluation</w:t>
            </w:r>
          </w:p>
        </w:tc>
        <w:tc>
          <w:tcPr>
            <w:tcW w:type="dxa" w:w="512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4"/>
                <w:szCs w:val="24"/>
              </w:rPr>
              <w:t xml:space="preserve">Dashboard, baseline implementations, metrics, demo preparation</w:t>
            </w:r>
          </w:p>
        </w:tc>
      </w:tr>
    </w:tbl>
    <w:p>
      <w:pPr>
        <w:pStyle w:val="Heading1"/>
        <w:spacing w:after="140" w:before="280"/>
      </w:pPr>
      <w:r>
        <w:rPr>
          <w:rFonts w:ascii="Times New Roman" w:cs="Times New Roman" w:eastAsia="Times New Roman" w:hAnsi="Times New Roman"/>
          <w:b/>
          <w:bCs/>
          <w:sz w:val="24"/>
          <w:szCs w:val="24"/>
        </w:rPr>
        <w:t xml:space="preserve">9. Risks and Mitigations</w:t>
      </w:r>
    </w:p>
    <w:p>
      <w:pPr>
        <w:pStyle w:val="ListParagraph"/>
        <w:numPr>
          <w:ilvl w:val="0"/>
          <w:numId w:val="2"/>
        </w:numPr>
        <w:spacing w:after="100" w:line="276"/>
      </w:pPr>
      <w:r>
        <w:rPr>
          <w:rFonts w:ascii="Times New Roman" w:cs="Times New Roman" w:eastAsia="Times New Roman" w:hAnsi="Times New Roman"/>
          <w:sz w:val="24"/>
          <w:szCs w:val="24"/>
        </w:rPr>
        <w:t xml:space="preserve">The retrieval ceiling is a property of the corpus, not the method. Only 25.6% of citation edges point at a case this Supreme-Court-only archive contains. Mitigation: report all recall against reachable authorities with raw totals beside them, and state the ceiling wherever a recall figure appears, rather than allowing it to flatter the numbers.</w:t>
      </w:r>
    </w:p>
    <w:p>
      <w:pPr>
        <w:pStyle w:val="ListParagraph"/>
        <w:numPr>
          <w:ilvl w:val="0"/>
          <w:numId w:val="2"/>
        </w:numPr>
        <w:spacing w:after="100" w:line="276"/>
      </w:pPr>
      <w:r>
        <w:rPr>
          <w:rFonts w:ascii="Times New Roman" w:cs="Times New Roman" w:eastAsia="Times New Roman" w:hAnsi="Times New Roman"/>
          <w:sz w:val="24"/>
          <w:szCs w:val="24"/>
        </w:rPr>
        <w:t xml:space="preserve">Polarity ranking may contribute little. Only 174 of 8,467 signed edges are negative, so the “still good law” signal is thin, and proof support derives partly from in-degree, which risks collapsing toward the popularity control. Mitigation: measure its contribution as an ablation before relying on it, and fall back to unsigned ranking if it does not earn its place.</w:t>
      </w:r>
    </w:p>
    <w:p>
      <w:pPr>
        <w:pStyle w:val="ListParagraph"/>
        <w:numPr>
          <w:ilvl w:val="0"/>
          <w:numId w:val="2"/>
        </w:numPr>
        <w:spacing w:after="100" w:line="276"/>
      </w:pPr>
      <w:r>
        <w:rPr>
          <w:rFonts w:ascii="Times New Roman" w:cs="Times New Roman" w:eastAsia="Times New Roman" w:hAnsi="Times New Roman"/>
          <w:sz w:val="24"/>
          <w:szCs w:val="24"/>
        </w:rPr>
        <w:t xml:space="preserve">Correctness lags groundedness. Certification guarantees provenance, but only 13.1% of certified authorities were ones the court actually cited. Mitigation: treat ranking and hybrid retrieval as the route to closing this, and always report groundedness and correctness separately rather than as one number.</w:t>
      </w:r>
    </w:p>
    <w:p>
      <w:pPr>
        <w:pStyle w:val="ListParagraph"/>
        <w:numPr>
          <w:ilvl w:val="0"/>
          <w:numId w:val="2"/>
        </w:numPr>
        <w:spacing w:after="100" w:line="276"/>
      </w:pPr>
      <w:r>
        <w:rPr>
          <w:rFonts w:ascii="Times New Roman" w:cs="Times New Roman" w:eastAsia="Times New Roman" w:hAnsi="Times New Roman"/>
          <w:sz w:val="24"/>
          <w:szCs w:val="24"/>
        </w:rPr>
        <w:t xml:space="preserve">Two ontology concepts remain unextracted. Issue and Fact fail at grounding rather than at the rule step, and a larger model was tested and did not fix it. Mitigation: bounded contrastive annotation; the retrieval and certification pipeline does not depend on these concepts, so the risk is contained to the typed layer.</w:t>
      </w:r>
    </w:p>
    <w:p>
      <w:pPr>
        <w:pStyle w:val="ListParagraph"/>
        <w:numPr>
          <w:ilvl w:val="0"/>
          <w:numId w:val="2"/>
        </w:numPr>
        <w:spacing w:after="100" w:line="276"/>
      </w:pPr>
      <w:r>
        <w:rPr>
          <w:rFonts w:ascii="Times New Roman" w:cs="Times New Roman" w:eastAsia="Times New Roman" w:hAnsi="Times New Roman"/>
          <w:sz w:val="24"/>
          <w:szCs w:val="24"/>
        </w:rPr>
        <w:t xml:space="preserve">Scope creep toward the full multi-year research vision. Mitigation: this proposal deliberately limits scope to one jurisdiction, one case type, and a bounded query pool, sized for a one-semester part-time student team.</w:t>
      </w:r>
    </w:p>
    <w:p>
      <w:pPr>
        <w:pStyle w:val="Heading1"/>
        <w:spacing w:after="140" w:before="280"/>
      </w:pPr>
      <w:r>
        <w:rPr>
          <w:rFonts w:ascii="Times New Roman" w:cs="Times New Roman" w:eastAsia="Times New Roman" w:hAnsi="Times New Roman"/>
          <w:b/>
          <w:bCs/>
          <w:sz w:val="24"/>
          <w:szCs w:val="24"/>
        </w:rPr>
        <w:t xml:space="preserve">References</w:t>
      </w:r>
    </w:p>
    <w:p>
      <w:pPr>
        <w:spacing w:after="120" w:line="276"/>
        <w:ind w:left="360" w:hanging="360"/>
      </w:pPr>
      <w:r>
        <w:rPr>
          <w:rFonts w:ascii="Times New Roman" w:cs="Times New Roman" w:eastAsia="Times New Roman" w:hAnsi="Times New Roman"/>
          <w:sz w:val="24"/>
          <w:szCs w:val="24"/>
        </w:rPr>
        <w:t xml:space="preserve">Dahl, M., Magesh, V., Suzgun, M., &amp; Ho, D. E. (2024). Large Legal Fictions: Profiling Legal Hallucinations in Large Language Models. Journal of Legal Analysis, 16(1), 64–93. https://doi.org/10.1093/jla/laae003</w:t>
      </w:r>
    </w:p>
    <w:p>
      <w:pPr>
        <w:spacing w:after="120" w:line="276"/>
        <w:ind w:left="360" w:hanging="360"/>
      </w:pPr>
      <w:r>
        <w:rPr>
          <w:rFonts w:ascii="Times New Roman" w:cs="Times New Roman" w:eastAsia="Times New Roman" w:hAnsi="Times New Roman"/>
          <w:sz w:val="24"/>
          <w:szCs w:val="24"/>
        </w:rPr>
        <w:t xml:space="preserve">Derr, T., Ma, Y., &amp; Tang, J. (2018). Signed Graph Convolutional Network. In 2018 IEEE International Conference on Data Mining (ICDM), pp. 929–934.</w:t>
      </w:r>
    </w:p>
    <w:p>
      <w:pPr>
        <w:spacing w:after="120" w:line="276"/>
        <w:ind w:left="360" w:hanging="360"/>
      </w:pPr>
      <w:r>
        <w:rPr>
          <w:rFonts w:ascii="Times New Roman" w:cs="Times New Roman" w:eastAsia="Times New Roman" w:hAnsi="Times New Roman"/>
          <w:sz w:val="24"/>
          <w:szCs w:val="24"/>
        </w:rPr>
        <w:t xml:space="preserve">Hoekstra, R., Breuker, J., Di Bello, M., &amp; Boer, A. (2007). The LKIF Core Ontology of Basic Legal Concepts. In Proceedings of the 2nd Workshop on Legal Ontologies and Artificial Intelligence Techniques (LOAIT 2007).</w:t>
      </w:r>
    </w:p>
    <w:p>
      <w:pPr>
        <w:spacing w:after="120" w:line="276"/>
        <w:ind w:left="360" w:hanging="360"/>
      </w:pPr>
      <w:r>
        <w:rPr>
          <w:rFonts w:ascii="Times New Roman" w:cs="Times New Roman" w:eastAsia="Times New Roman" w:hAnsi="Times New Roman"/>
          <w:sz w:val="24"/>
          <w:szCs w:val="24"/>
        </w:rPr>
        <w:t xml:space="preserve">OASIS LegalRuleML Technical Committee. LegalRuleML Core Specification Version 1.0. https://docs.oasis-open.org/legalruleml/legalruleml-core-spec/v1.0/</w:t>
      </w:r>
    </w:p>
    <w:p>
      <w:pPr>
        <w:spacing w:after="120" w:line="276"/>
        <w:ind w:left="360" w:hanging="360"/>
      </w:pPr>
      <w:r>
        <w:rPr>
          <w:rFonts w:ascii="Times New Roman" w:cs="Times New Roman" w:eastAsia="Times New Roman" w:hAnsi="Times New Roman"/>
          <w:sz w:val="24"/>
          <w:szCs w:val="24"/>
        </w:rPr>
        <w:t xml:space="preserve">Riloff, E. (1993). Automatically Constructing a Dictionary for Information Extraction Tasks. In Proceedings of the Eleventh National Conference on Artificial Intelligence (AAAI-93).</w:t>
      </w:r>
    </w:p>
    <w:p>
      <w:pPr>
        <w:spacing w:after="120" w:line="276"/>
        <w:ind w:left="360" w:hanging="360"/>
      </w:pPr>
      <w:r>
        <w:rPr>
          <w:rFonts w:ascii="Times New Roman" w:cs="Times New Roman" w:eastAsia="Times New Roman" w:hAnsi="Times New Roman"/>
          <w:sz w:val="24"/>
          <w:szCs w:val="24"/>
        </w:rPr>
        <w:t xml:space="preserve">Sunny, A. D., &amp; Sivan-Sevilla, I. (2026). A Neuro-Symbolic Framework for Legal Accountability in Public-Sector AI. In Proceedings of the 2026 ACM Conference on Fairness, Accountability, and Transparency (FAccT ’26). https://doi.org/10.1145/3805689.3812335</w:t>
      </w:r>
    </w:p>
    <w:p>
      <w:pPr>
        <w:spacing w:after="120" w:line="276"/>
        <w:ind w:left="360" w:hanging="360"/>
      </w:pPr>
      <w:r>
        <w:rPr>
          <w:rFonts w:ascii="Times New Roman" w:cs="Times New Roman" w:eastAsia="Times New Roman" w:hAnsi="Times New Roman"/>
          <w:sz w:val="24"/>
          <w:szCs w:val="24"/>
        </w:rPr>
        <w:t xml:space="preserve">Dataset: “Indian Supreme Court Judgments Archive (1950–2025)” and derived citation and land-dispute indices, provided for this course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2026-09-26T22:22:17.065Z</dcterms:created>
  <dcterms:modified xsi:type="dcterms:W3CDTF">2026-09-26T22:22:17.067Z</dcterms:modified>
</cp:coreProperties>
</file>

<file path=docProps/custom.xml><?xml version="1.0" encoding="utf-8"?>
<Properties xmlns="http://schemas.openxmlformats.org/officeDocument/2006/custom-properties" xmlns:vt="http://schemas.openxmlformats.org/officeDocument/2006/docPropsVTypes"/>
</file>