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</w:rPr>
        <w:drawing>
          <wp:inline distB="114300" distT="114300" distL="114300" distR="114300">
            <wp:extent cx="900000" cy="9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24"/>
          <w:szCs w:val="24"/>
          <w:rtl w:val="0"/>
        </w:rPr>
        <w:t xml:space="preserve">SpringPad’s Professional Analysts' Stock Recommendation Summary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How to Use: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https://www.perplexity.ai/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0b5394"/>
          <w:sz w:val="20"/>
          <w:szCs w:val="20"/>
          <w:u w:val="single"/>
          <w:rtl w:val="0"/>
        </w:rPr>
        <w:t xml:space="preserve">PROMPT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Stock to analyze: [INSERT STOCK NAME HERE]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 Current date: [Take today’s date]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the stock specified above, provide a detailed analysis in the exact same style, format, and structure as the sample output below.</w:t>
        <w:br w:type="textWrapping"/>
        <w:t xml:space="preserve"> Do not deviate in any way.</w:t>
        <w:br w:type="textWrapping"/>
        <w:t xml:space="preserve"> Follow these instructions precisely: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the latest available close price as "Current Price (Latest Close)".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 market capitalization in Indian currency format, both in lakh crore and lakh (e.g., ₹10.81 lakh crore = ₹1,08,10,000 lakh).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these section names and order exactly: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Institutional Recommendations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 Price Distribution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Takeaways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Actionable Insights for Investors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must have the same columns, wording, and style as in the sample.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 Consensus Professional Recommendation exactly as shown.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Implied Upside/Downside column must be calculated versus the latest close price.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include niceties, follow-ups, or extra commentary.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include individual analyst/brokerage tables.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add a “structure” section or any introductory text.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Maintain the exact formatting, tone, and content style shown in the sample below.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cz0nrsjfnh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480" w:lineRule="auto"/>
        <w:rPr>
          <w:b w:val="1"/>
          <w:sz w:val="46"/>
          <w:szCs w:val="46"/>
        </w:rPr>
      </w:pPr>
      <w:bookmarkStart w:colFirst="0" w:colLast="0" w:name="_bwp0sa1lucm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Bharti Airtel: Analyst Ratings &amp; Target Prices (May 2025)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Price (Latest Close): ₹1,901.00</w:t>
        <w:br w:type="textWrapping"/>
        <w:t xml:space="preserve"> Market Cap: ₹1,08,10,000 lakh (₹10.81 lakh crore)</w:t>
        <w:br w:type="textWrapping"/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Note: ₹10.81 trillion = ₹10.81 lakh crore = ₹1,08,10,000 lakh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sruw83drp5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Professional Institutional Recommendations</w:t>
      </w:r>
    </w:p>
    <w:tbl>
      <w:tblPr>
        <w:tblStyle w:val="Table1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1655"/>
        <w:gridCol w:w="3380"/>
        <w:tblGridChange w:id="0">
          <w:tblGrid>
            <w:gridCol w:w="2030"/>
            <w:gridCol w:w="1655"/>
            <w:gridCol w:w="33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of Analysts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Analysts (out of 35)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Consensus Professional Recommendation: Strong Buy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t7y0ki72mj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Target Price Distribution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.285575522098"/>
        <w:gridCol w:w="986.4594463331714"/>
        <w:gridCol w:w="972.8217581350169"/>
        <w:gridCol w:w="1395.5900922778048"/>
        <w:gridCol w:w="1259.2132102962603"/>
        <w:gridCol w:w="1968.3729966002916"/>
        <w:gridCol w:w="1709.256920835357"/>
        <w:tblGridChange w:id="0">
          <w:tblGrid>
            <w:gridCol w:w="1068.285575522098"/>
            <w:gridCol w:w="986.4594463331714"/>
            <w:gridCol w:w="972.8217581350169"/>
            <w:gridCol w:w="1395.5900922778048"/>
            <w:gridCol w:w="1259.2132102962603"/>
            <w:gridCol w:w="1968.3729966002916"/>
            <w:gridCol w:w="1709.256920835357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Price (₹)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 Range (₹)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Analysts (out of 35)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Implied Upside/Downside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Consensus Avg. Time Horizon (Months)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Above 1,995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+23.6%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1,805–1,995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Below 1,805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ihjurclaw6x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Strong Buy consensus: 83% of institutional analysts recommend buying Bharti Airtel.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Majority bullish: 51% of analysts expect significant upside (+23.6%) within the next 8 months.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Median target close to current price: 40% of analysts expect the stock to remain flat in the near term.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Minority see risk: 9% foresee substantial downside (-35.8%).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Effective time horizon: Most targets are set with 6–8 months remaining from today.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Stock performance: Bharti Airtel is trading near all-time highs, underpinned by robust financials and sector leadership.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2jgnjdaw3l3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Actionable Insights for Investors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Overwhelming institutional support: The stock is a strong buy for most professional analysts, with a clear majority projecting notable gains in the coming 6–8 months.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Upside potential: While the median target suggests limited near-term movement, the distribution is skewed bullish, with over half expecting a meaningful rally.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Risk awareness: A small minority anticipate downside, highlighting the importance of monitoring sector dynamics and valuation.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Strategic positioning: Bharti Airtel remains a preferred pick in Indian telecom for growth, profitability, and market dominance, but investors should balance optimism with prudent risk management given current valuations.</w:t>
        <w:br w:type="textWrapping"/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Replace all Bharti Airtel-specific data, numbers, and names with those for the stock specified above, but keep the formatting, structure, and wording exactly the same.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g64brq9sw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Citations: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https://letstranzact.com/blogs/stock-report-templates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https://www.theneuron.ai/write/reports/stock-report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https://corporatefinanceinstitute.com/resources/valuation/equity-research-report/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https://www.fylehq.com/blog/how-to-write-a-financial-analysis-report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https://www.slideteam.net/blog/top-10-stock-research-report-templates-with-samples-and-examples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https://www.cfainstitute.org/sites/default/files/-/media/documents/support/research-challenge/challenge/rc-equity-research-report-essentials.pdf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https://www.wallstreetprep.com/knowledge/sample-equity-research-report/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https://in.pinterest.com/pin/stock-analyst-report-template-2--885872189184569725/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from Perplexity:</w:t>
      </w:r>
      <w:hyperlink r:id="rId16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pplx.ai/share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ylehq.com/blog/how-to-write-a-financial-analysis-report" TargetMode="External"/><Relationship Id="rId10" Type="http://schemas.openxmlformats.org/officeDocument/2006/relationships/hyperlink" Target="https://corporatefinanceinstitute.com/resources/valuation/equity-research-report/" TargetMode="External"/><Relationship Id="rId13" Type="http://schemas.openxmlformats.org/officeDocument/2006/relationships/hyperlink" Target="https://www.cfainstitute.org/sites/default/files/-/media/documents/support/research-challenge/challenge/rc-equity-research-report-essentials.pdf" TargetMode="External"/><Relationship Id="rId12" Type="http://schemas.openxmlformats.org/officeDocument/2006/relationships/hyperlink" Target="https://www.slideteam.net/blog/top-10-stock-research-report-templates-with-samples-and-examp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neuron.ai/write/reports/stock-report" TargetMode="External"/><Relationship Id="rId15" Type="http://schemas.openxmlformats.org/officeDocument/2006/relationships/hyperlink" Target="https://in.pinterest.com/pin/stock-analyst-report-template-2--885872189184569725/" TargetMode="External"/><Relationship Id="rId14" Type="http://schemas.openxmlformats.org/officeDocument/2006/relationships/hyperlink" Target="https://www.wallstreetprep.com/knowledge/sample-equity-research-report/" TargetMode="External"/><Relationship Id="rId17" Type="http://schemas.openxmlformats.org/officeDocument/2006/relationships/hyperlink" Target="https://www.perplexity.ai/search/pplx.ai/share" TargetMode="External"/><Relationship Id="rId16" Type="http://schemas.openxmlformats.org/officeDocument/2006/relationships/hyperlink" Target="https://www.perplexity.ai/search/pplx.ai/sha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erplexity.ai/" TargetMode="External"/><Relationship Id="rId8" Type="http://schemas.openxmlformats.org/officeDocument/2006/relationships/hyperlink" Target="https://letstranzact.com/blogs/stock-report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