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7773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" w:beforeLines="10" w:after="31" w:afterLines="10" w:line="240" w:lineRule="auto"/>
        <w:ind w:firstLine="1050" w:firstLineChars="500"/>
        <w:rPr>
          <w:rFonts w:hint="eastAsia" w:eastAsiaTheme="minorEastAsia"/>
          <w:b/>
          <w:bCs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209550</wp:posOffset>
            </wp:positionH>
            <wp:positionV relativeFrom="paragraph">
              <wp:posOffset>31750</wp:posOffset>
            </wp:positionV>
            <wp:extent cx="760730" cy="591185"/>
            <wp:effectExtent l="0" t="0" r="1270" b="5715"/>
            <wp:wrapSquare wrapText="bothSides"/>
            <wp:docPr id="1" name="图片 2" descr="IMG_55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558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0730" cy="59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/>
          <w:b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富阳二中</w:t>
      </w:r>
      <w:r>
        <w:rPr>
          <w:rFonts w:hint="eastAsia" w:ascii="宋体" w:hAnsi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202</w:t>
      </w:r>
      <w:r>
        <w:rPr>
          <w:rFonts w:hint="eastAsia" w:ascii="宋体" w:hAnsi="宋体"/>
          <w:b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7</w:t>
      </w:r>
      <w:r>
        <w:rPr>
          <w:rFonts w:hint="eastAsia" w:ascii="宋体" w:hAnsi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届政治高</w:t>
      </w:r>
      <w:r>
        <w:rPr>
          <w:rFonts w:hint="eastAsia" w:ascii="宋体" w:hAnsi="宋体"/>
          <w:b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三上</w:t>
      </w:r>
      <w:r>
        <w:rPr>
          <w:rFonts w:hint="eastAsia" w:ascii="宋体" w:hAnsi="宋体"/>
          <w:b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作业</w:t>
      </w:r>
    </w:p>
    <w:p w14:paraId="125131C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" w:beforeLines="10" w:after="31" w:afterLines="10" w:line="240" w:lineRule="auto"/>
        <w:ind w:left="4075" w:leftChars="0" w:firstLine="2520" w:firstLineChars="1200"/>
        <w:jc w:val="both"/>
        <w:rPr>
          <w:rFonts w:hint="default" w:ascii="Calibri" w:hAnsi="Calibri"/>
          <w:color w:val="000000" w:themeColor="text1"/>
          <w:szCs w:val="2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楷体"/>
          <w:color w:val="000000" w:themeColor="text1"/>
          <w:szCs w:val="22"/>
          <w:lang w:val="en-US" w:eastAsia="zh-CN"/>
          <w14:textFill>
            <w14:solidFill>
              <w14:schemeClr w14:val="tx1"/>
            </w14:solidFill>
          </w14:textFill>
        </w:rPr>
        <w:t>综合练2</w:t>
      </w:r>
      <w:bookmarkStart w:id="0" w:name="_GoBack"/>
      <w:bookmarkEnd w:id="0"/>
      <w:r>
        <w:rPr>
          <w:rFonts w:hint="eastAsia" w:ascii="Calibri" w:hAnsi="Calibri" w:eastAsia="楷体"/>
          <w:color w:val="000000" w:themeColor="text1"/>
          <w:szCs w:val="22"/>
          <w:lang w:val="en-US" w:eastAsia="zh-CN"/>
          <w14:textFill>
            <w14:solidFill>
              <w14:schemeClr w14:val="tx1"/>
            </w14:solidFill>
          </w14:textFill>
        </w:rPr>
        <w:t>主观题</w:t>
      </w:r>
    </w:p>
    <w:p w14:paraId="4F14C3D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" w:beforeLines="10" w:after="31" w:afterLines="10" w:line="240" w:lineRule="auto"/>
        <w:ind w:firstLine="452" w:firstLineChars="300"/>
        <w:jc w:val="both"/>
        <w:rPr>
          <w:rFonts w:hint="eastAsia"/>
          <w:b/>
          <w:bCs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/>
          <w:b/>
          <w:color w:val="000000" w:themeColor="text1"/>
          <w:sz w:val="15"/>
          <w:szCs w:val="15"/>
          <w14:textFill>
            <w14:solidFill>
              <w14:schemeClr w14:val="tx1"/>
            </w14:solidFill>
          </w14:textFill>
        </w:rPr>
        <w:t>编制人：</w:t>
      </w:r>
      <w:r>
        <w:rPr>
          <w:rFonts w:hint="eastAsia" w:ascii="楷体" w:hAnsi="楷体" w:eastAsia="楷体"/>
          <w:b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  <w:t>罗典</w:t>
      </w:r>
      <w:r>
        <w:rPr>
          <w:rFonts w:hint="eastAsia" w:ascii="楷体" w:hAnsi="楷体" w:eastAsia="楷体"/>
          <w:b/>
          <w:color w:val="000000" w:themeColor="text1"/>
          <w:sz w:val="15"/>
          <w:szCs w:val="15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楷体" w:hAnsi="楷体" w:eastAsia="楷体"/>
          <w:b/>
          <w:color w:val="000000" w:themeColor="text1"/>
          <w:sz w:val="15"/>
          <w:szCs w:val="15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楷体" w:hAnsi="楷体" w:eastAsia="楷体"/>
          <w:b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楷体" w:hAnsi="楷体" w:eastAsia="楷体"/>
          <w:b/>
          <w:color w:val="000000" w:themeColor="text1"/>
          <w:sz w:val="15"/>
          <w:szCs w:val="15"/>
          <w14:textFill>
            <w14:solidFill>
              <w14:schemeClr w14:val="tx1"/>
            </w14:solidFill>
          </w14:textFill>
        </w:rPr>
        <w:t>校对人：</w:t>
      </w:r>
      <w:r>
        <w:rPr>
          <w:rFonts w:hint="eastAsia" w:ascii="楷体" w:hAnsi="楷体" w:eastAsia="楷体"/>
          <w:b/>
          <w:color w:val="000000" w:themeColor="text1"/>
          <w:sz w:val="15"/>
          <w:szCs w:val="15"/>
          <w:lang w:val="en-US" w:eastAsia="zh-CN"/>
          <w14:textFill>
            <w14:solidFill>
              <w14:schemeClr w14:val="tx1"/>
            </w14:solidFill>
          </w14:textFill>
        </w:rPr>
        <w:t xml:space="preserve">陈蕾          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班级</w:t>
      </w:r>
      <w:r>
        <w:rPr>
          <w:rFonts w:hint="eastAsia"/>
          <w:b/>
          <w:bCs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eastAsia"/>
          <w:b/>
          <w:bCs/>
          <w:color w:val="000000" w:themeColor="text1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b/>
          <w:bCs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学号</w:t>
      </w: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b/>
          <w:bCs/>
          <w:color w:val="000000" w:themeColor="text1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姓名</w:t>
      </w:r>
      <w:r>
        <w:rPr>
          <w:rFonts w:hint="eastAsia"/>
          <w:b/>
          <w:bCs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eastAsia"/>
          <w:b/>
          <w:bCs/>
          <w:color w:val="000000" w:themeColor="text1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/>
          <w:b/>
          <w:bCs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b/>
          <w:bCs/>
          <w:color w:val="000000" w:themeColor="text1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/>
          <w:b/>
          <w:bCs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</w:t>
      </w:r>
    </w:p>
    <w:p w14:paraId="2C96C0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eastAsia" w:asciiTheme="majorEastAsia" w:hAnsiTheme="majorEastAsia" w:eastAsiaTheme="majorEastAsia" w:cstheme="majorEastAsia"/>
          <w:color w:val="auto"/>
          <w:lang w:val="en-US" w:eastAsia="zh-CN"/>
        </w:rPr>
      </w:pPr>
      <w:r>
        <w:rPr>
          <w:rFonts w:hint="eastAsia" w:asciiTheme="minorEastAsia" w:hAnsiTheme="minorEastAsia" w:cstheme="minorEastAsia"/>
          <w:b/>
          <w:color w:val="auto"/>
          <w:sz w:val="21"/>
          <w:szCs w:val="21"/>
          <w:lang w:val="en-US" w:eastAsia="zh-CN"/>
        </w:rPr>
        <w:t>二</w:t>
      </w:r>
      <w:r>
        <w:rPr>
          <w:rFonts w:hint="eastAsia" w:asciiTheme="minorEastAsia" w:hAnsiTheme="minorEastAsia" w:eastAsiaTheme="minorEastAsia" w:cstheme="minorEastAsia"/>
          <w:b/>
          <w:color w:val="auto"/>
          <w:sz w:val="21"/>
          <w:szCs w:val="21"/>
          <w:lang w:eastAsia="zh-CN"/>
        </w:rPr>
        <w:t>．</w:t>
      </w:r>
      <w:r>
        <w:rPr>
          <w:rFonts w:hint="eastAsia" w:asciiTheme="minorEastAsia" w:hAnsiTheme="minorEastAsia" w:cstheme="minorEastAsia"/>
          <w:b/>
          <w:color w:val="auto"/>
          <w:sz w:val="21"/>
          <w:szCs w:val="21"/>
          <w:lang w:val="en-US" w:eastAsia="zh-CN"/>
        </w:rPr>
        <w:t>主观</w:t>
      </w:r>
      <w:r>
        <w:rPr>
          <w:rFonts w:hint="eastAsia" w:asciiTheme="minorEastAsia" w:hAnsiTheme="minorEastAsia" w:eastAsiaTheme="minorEastAsia" w:cstheme="minorEastAsia"/>
          <w:b/>
          <w:color w:val="auto"/>
          <w:sz w:val="21"/>
          <w:szCs w:val="21"/>
        </w:rPr>
        <w:t>题</w:t>
      </w:r>
    </w:p>
    <w:p w14:paraId="238A3BC8"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楷体" w:hAnsi="楷体" w:eastAsia="楷体" w:cs="楷体"/>
          <w:color w:val="000000"/>
        </w:rPr>
        <w:t>材料一 湖州安吉余村坚持村党组织统领全局，依托“乡贤参事会”“村民议事会”等组织体系，通过民主协商确定关停矿山、推动生态转型等重大发展事项；在全县率先成立村务监督小组，以严格的村务公开与民主监督推动生态发展部署落地。近年来余村绿色产业规模持续扩大，产业项目落地、运营过程中的法律需求也随之增长。针对这一情况，村党总支牵头在村民中培育“法律明白人”，选取相关典型案例制作宣传展板，在村内法治长廊等法治文化阵地定期更新展示，以法治建设进一步夯实村级治理基础。</w:t>
      </w:r>
    </w:p>
    <w:p w14:paraId="7B591E99"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材料二 依托这套日趋完善的治理体系，余村深入践行“两山”理念，培育壮大智慧农业、生态旅游业等绿色业态；同时联动周边村庄共同组建强村公司，以统一规划布局、统筹建设保障为抓手，推动各村形成协同发展“一盘棋”格局。</w:t>
      </w:r>
    </w:p>
    <w:p w14:paraId="54A9C181">
      <w:pPr>
        <w:numPr>
          <w:ilvl w:val="0"/>
          <w:numId w:val="1"/>
        </w:num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结合材料一，运用《政治与法治》知识，分析余村推进乡村治理的实践智慧。</w:t>
      </w:r>
    </w:p>
    <w:p w14:paraId="7E18FA01">
      <w:pPr>
        <w:widowControl w:val="0"/>
        <w:numPr>
          <w:numId w:val="0"/>
        </w:num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</w:p>
    <w:p w14:paraId="132CCE26">
      <w:pPr>
        <w:widowControl w:val="0"/>
        <w:numPr>
          <w:numId w:val="0"/>
        </w:num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</w:p>
    <w:p w14:paraId="22CA4FED">
      <w:pPr>
        <w:widowControl w:val="0"/>
        <w:numPr>
          <w:numId w:val="0"/>
        </w:num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</w:p>
    <w:p w14:paraId="31706353">
      <w:pPr>
        <w:widowControl w:val="0"/>
        <w:numPr>
          <w:numId w:val="0"/>
        </w:num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</w:p>
    <w:p w14:paraId="7D90C087">
      <w:pPr>
        <w:widowControl w:val="0"/>
        <w:numPr>
          <w:numId w:val="0"/>
        </w:num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</w:p>
    <w:p w14:paraId="0570448D">
      <w:pPr>
        <w:widowControl w:val="0"/>
        <w:numPr>
          <w:numId w:val="0"/>
        </w:num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</w:p>
    <w:p w14:paraId="104E7658">
      <w:pPr>
        <w:widowControl w:val="0"/>
        <w:numPr>
          <w:numId w:val="0"/>
        </w:num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</w:p>
    <w:p w14:paraId="4122BCCE">
      <w:pPr>
        <w:widowControl w:val="0"/>
        <w:numPr>
          <w:numId w:val="0"/>
        </w:num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</w:p>
    <w:p w14:paraId="48C968B9">
      <w:pPr>
        <w:widowControl w:val="0"/>
        <w:numPr>
          <w:numId w:val="0"/>
        </w:num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</w:p>
    <w:p w14:paraId="0625A381">
      <w:pPr>
        <w:numPr>
          <w:ilvl w:val="0"/>
          <w:numId w:val="1"/>
        </w:numPr>
        <w:spacing w:line="360" w:lineRule="auto"/>
        <w:ind w:left="0" w:leftChars="0" w:firstLine="0" w:firstLineChars="0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结合材料二，运用《经济与社会》知识，说明余村的发展模式对实现乡村共同富裕的意义。</w:t>
      </w:r>
    </w:p>
    <w:p w14:paraId="0641370B">
      <w:pPr>
        <w:widowControl w:val="0"/>
        <w:numPr>
          <w:numId w:val="0"/>
        </w:num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</w:p>
    <w:p w14:paraId="1FFC27CE">
      <w:pPr>
        <w:widowControl w:val="0"/>
        <w:numPr>
          <w:numId w:val="0"/>
        </w:num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</w:p>
    <w:p w14:paraId="60B66825">
      <w:pPr>
        <w:widowControl w:val="0"/>
        <w:numPr>
          <w:numId w:val="0"/>
        </w:num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</w:p>
    <w:p w14:paraId="78FC4471">
      <w:pPr>
        <w:widowControl w:val="0"/>
        <w:numPr>
          <w:numId w:val="0"/>
        </w:num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</w:p>
    <w:p w14:paraId="5478F7EC">
      <w:pPr>
        <w:widowControl w:val="0"/>
        <w:numPr>
          <w:numId w:val="0"/>
        </w:num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</w:p>
    <w:p w14:paraId="52BA0D16">
      <w:pPr>
        <w:widowControl w:val="0"/>
        <w:numPr>
          <w:numId w:val="0"/>
        </w:num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</w:p>
    <w:p w14:paraId="551D61B5">
      <w:pPr>
        <w:spacing w:line="360" w:lineRule="auto"/>
        <w:ind w:firstLine="420"/>
        <w:jc w:val="left"/>
        <w:textAlignment w:val="center"/>
        <w:rPr>
          <w:color w:val="000000"/>
        </w:rPr>
      </w:pPr>
    </w:p>
    <w:p w14:paraId="5EE22939">
      <w:pPr>
        <w:spacing w:line="360" w:lineRule="auto"/>
        <w:ind w:firstLine="420"/>
        <w:jc w:val="left"/>
        <w:textAlignment w:val="center"/>
        <w:rPr>
          <w:color w:val="000000"/>
        </w:rPr>
      </w:pPr>
    </w:p>
    <w:p w14:paraId="032C1ADB"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color w:val="000000"/>
        </w:rPr>
        <w:t xml:space="preserve">24. </w:t>
      </w:r>
      <w:r>
        <w:rPr>
          <w:rFonts w:ascii="楷体" w:hAnsi="楷体" w:eastAsia="楷体" w:cs="楷体"/>
          <w:color w:val="000000"/>
        </w:rPr>
        <w:t>扬州广陵区是保存较为完好的历史城区，该区推出</w:t>
      </w:r>
      <w:r>
        <w:rPr>
          <w:rFonts w:ascii="宋体" w:hAnsi="宋体" w:eastAsia="宋体" w:cs="宋体"/>
          <w:color w:val="000000"/>
        </w:rPr>
        <w:t>“</w:t>
      </w:r>
      <w:r>
        <w:rPr>
          <w:rFonts w:ascii="楷体" w:hAnsi="楷体" w:eastAsia="楷体" w:cs="楷体"/>
          <w:color w:val="000000"/>
        </w:rPr>
        <w:t>一盘棋</w:t>
      </w:r>
      <w:r>
        <w:rPr>
          <w:rFonts w:ascii="宋体" w:hAnsi="宋体" w:eastAsia="宋体" w:cs="宋体"/>
          <w:color w:val="000000"/>
        </w:rPr>
        <w:t>”</w:t>
      </w:r>
      <w:r>
        <w:rPr>
          <w:rFonts w:ascii="楷体" w:hAnsi="楷体" w:eastAsia="楷体" w:cs="楷体"/>
          <w:color w:val="000000"/>
        </w:rPr>
        <w:t>改造方案，从单点修补向系统织补转型，统筹推进雨污分流、管网提质、积水治理、消防升级。由住建部门牵头，通信、供水、消防等多部门逐巷勘察，制定</w:t>
      </w:r>
      <w:r>
        <w:rPr>
          <w:rFonts w:ascii="宋体" w:hAnsi="宋体" w:eastAsia="宋体" w:cs="宋体"/>
          <w:color w:val="000000"/>
        </w:rPr>
        <w:t>“</w:t>
      </w:r>
      <w:r>
        <w:rPr>
          <w:rFonts w:ascii="楷体" w:hAnsi="楷体" w:eastAsia="楷体" w:cs="楷体"/>
          <w:color w:val="000000"/>
        </w:rPr>
        <w:t>一巷一策</w:t>
      </w:r>
      <w:r>
        <w:rPr>
          <w:rFonts w:ascii="宋体" w:hAnsi="宋体" w:eastAsia="宋体" w:cs="宋体"/>
          <w:color w:val="000000"/>
        </w:rPr>
        <w:t>”</w:t>
      </w:r>
      <w:r>
        <w:rPr>
          <w:rFonts w:ascii="楷体" w:hAnsi="楷体" w:eastAsia="楷体" w:cs="楷体"/>
          <w:color w:val="000000"/>
        </w:rPr>
        <w:t>方案。如低洼积水区，地砖铺设既要考虑渗水、防滑功能，还要让颜色和样式契合古城风貌；街巷狭窄区域，消防器材既要</w:t>
      </w:r>
      <w:r>
        <w:rPr>
          <w:rFonts w:ascii="宋体" w:hAnsi="宋体" w:eastAsia="宋体" w:cs="宋体"/>
          <w:color w:val="000000"/>
        </w:rPr>
        <w:t>“</w:t>
      </w:r>
      <w:r>
        <w:rPr>
          <w:rFonts w:ascii="楷体" w:hAnsi="楷体" w:eastAsia="楷体" w:cs="楷体"/>
          <w:color w:val="000000"/>
        </w:rPr>
        <w:t>瘦身</w:t>
      </w:r>
      <w:r>
        <w:rPr>
          <w:rFonts w:ascii="宋体" w:hAnsi="宋体" w:eastAsia="宋体" w:cs="宋体"/>
          <w:color w:val="000000"/>
        </w:rPr>
        <w:t>”</w:t>
      </w:r>
      <w:r>
        <w:rPr>
          <w:rFonts w:ascii="楷体" w:hAnsi="楷体" w:eastAsia="楷体" w:cs="楷体"/>
          <w:color w:val="000000"/>
        </w:rPr>
        <w:t>，解决消防车进不去的难题，又要</w:t>
      </w:r>
      <w:r>
        <w:rPr>
          <w:rFonts w:ascii="宋体" w:hAnsi="宋体" w:eastAsia="宋体" w:cs="宋体"/>
          <w:color w:val="000000"/>
        </w:rPr>
        <w:t>“</w:t>
      </w:r>
      <w:r>
        <w:rPr>
          <w:rFonts w:ascii="楷体" w:hAnsi="楷体" w:eastAsia="楷体" w:cs="楷体"/>
          <w:color w:val="000000"/>
        </w:rPr>
        <w:t>多能</w:t>
      </w:r>
      <w:r>
        <w:rPr>
          <w:rFonts w:ascii="宋体" w:hAnsi="宋体" w:eastAsia="宋体" w:cs="宋体"/>
          <w:color w:val="000000"/>
        </w:rPr>
        <w:t>”</w:t>
      </w:r>
      <w:r>
        <w:rPr>
          <w:rFonts w:ascii="楷体" w:hAnsi="楷体" w:eastAsia="楷体" w:cs="楷体"/>
          <w:color w:val="000000"/>
        </w:rPr>
        <w:t>，匹配辖区综合性功能需求</w:t>
      </w:r>
      <w:r>
        <w:rPr>
          <w:color w:val="000000"/>
        </w:rPr>
        <w:t>⋯⋯</w:t>
      </w:r>
      <w:r>
        <w:rPr>
          <w:rFonts w:ascii="楷体" w:hAnsi="楷体" w:eastAsia="楷体" w:cs="楷体"/>
          <w:color w:val="000000"/>
        </w:rPr>
        <w:t>改造方案让千年古城既有古韵风华，又安全宜居，实现了经济效益和社会效益的统一。</w:t>
      </w:r>
    </w:p>
    <w:p w14:paraId="52561218"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结合材料，运用“把握世界的规律”相关知识，说明该区是如何成功改造历史城区的。</w:t>
      </w:r>
    </w:p>
    <w:p w14:paraId="46AA5393"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</w:p>
    <w:p w14:paraId="61CD618B"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</w:p>
    <w:p w14:paraId="710C2B2B"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</w:p>
    <w:p w14:paraId="51949639"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</w:p>
    <w:p w14:paraId="1565E93A"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</w:p>
    <w:p w14:paraId="59413F89"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</w:p>
    <w:p w14:paraId="7BB8B941"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</w:p>
    <w:p w14:paraId="039ADBE0"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</w:p>
    <w:p w14:paraId="6EB0B927"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color w:val="000000"/>
        </w:rPr>
        <w:t xml:space="preserve">25. </w:t>
      </w:r>
      <w:r>
        <w:rPr>
          <w:rFonts w:ascii="楷体" w:hAnsi="楷体" w:eastAsia="楷体" w:cs="楷体"/>
          <w:color w:val="000000"/>
        </w:rPr>
        <w:t>A公司利用AI技术制作短剧，剧中生成的某人物面部形象与知名演员李某高度相似，致使公众误认为李某参演了该短剧。B公司取得该短剧传播授权后，在其经营的网络平台公开播放。李某发现后认为自身权益受损，诉至法院维权。庭审中，A公司辩称：涉案形象纯属AI技术“偶然撞脸”，无侵权故意、不构成侵权；B公司辩称已获得该短剧授权，播放行为合法、无需担责。</w:t>
      </w:r>
    </w:p>
    <w:p w14:paraId="5024456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结合材料，运用《法律与生活》相关知识，回答下列问题：</w:t>
      </w:r>
    </w:p>
    <w:p w14:paraId="2C6E957B">
      <w:pPr>
        <w:numPr>
          <w:ilvl w:val="0"/>
          <w:numId w:val="2"/>
        </w:num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请分别评析A公司、B公司的抗辩理由是否成立。</w:t>
      </w:r>
    </w:p>
    <w:p w14:paraId="609B5CF2">
      <w:pPr>
        <w:widowControl w:val="0"/>
        <w:numPr>
          <w:numId w:val="0"/>
        </w:num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</w:p>
    <w:p w14:paraId="61773D0E">
      <w:pPr>
        <w:widowControl w:val="0"/>
        <w:numPr>
          <w:numId w:val="0"/>
        </w:num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</w:p>
    <w:p w14:paraId="406AC651">
      <w:pPr>
        <w:widowControl w:val="0"/>
        <w:numPr>
          <w:numId w:val="0"/>
        </w:num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</w:p>
    <w:p w14:paraId="667F84AA">
      <w:pPr>
        <w:widowControl w:val="0"/>
        <w:numPr>
          <w:numId w:val="0"/>
        </w:num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</w:p>
    <w:p w14:paraId="0AAE8244">
      <w:pPr>
        <w:widowControl w:val="0"/>
        <w:numPr>
          <w:numId w:val="0"/>
        </w:num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</w:p>
    <w:p w14:paraId="36733B14">
      <w:pPr>
        <w:numPr>
          <w:ilvl w:val="0"/>
          <w:numId w:val="2"/>
        </w:numPr>
        <w:spacing w:line="360" w:lineRule="auto"/>
        <w:ind w:left="0" w:leftChars="0" w:firstLine="0" w:firstLineChars="0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请结合材料说明对此类案件进行公正判决的意义。</w:t>
      </w:r>
    </w:p>
    <w:p w14:paraId="2B1522BF">
      <w:pPr>
        <w:widowControl w:val="0"/>
        <w:numPr>
          <w:numId w:val="0"/>
        </w:num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</w:p>
    <w:p w14:paraId="4C1D74CE">
      <w:pPr>
        <w:widowControl w:val="0"/>
        <w:numPr>
          <w:numId w:val="0"/>
        </w:num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</w:p>
    <w:p w14:paraId="12CE13AA">
      <w:pPr>
        <w:widowControl w:val="0"/>
        <w:numPr>
          <w:numId w:val="0"/>
        </w:num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</w:p>
    <w:p w14:paraId="3E6F477A">
      <w:pPr>
        <w:widowControl w:val="0"/>
        <w:numPr>
          <w:numId w:val="0"/>
        </w:num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</w:p>
    <w:p w14:paraId="0D4E8CA8"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color w:val="000000"/>
        </w:rPr>
        <w:t xml:space="preserve">26. </w:t>
      </w:r>
      <w:r>
        <w:rPr>
          <w:rFonts w:ascii="楷体" w:hAnsi="楷体" w:eastAsia="楷体" w:cs="楷体"/>
          <w:color w:val="000000"/>
        </w:rPr>
        <w:t>2025年11月，《科学》杂志以封面文章形式对人工智能的“谄媚效应”展开深入剖析。研究表明，若AI系统过度迎合、认可用户意图，会显著削弱用户的亲社会意愿，助长以自我为中心的行为倾向。围绕“如何规范AI顺从尺度”的研讨主题，某学术研讨会上两位同学提出了各自观点：</w:t>
      </w:r>
    </w:p>
    <w:p w14:paraId="3A7894C9"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学生甲：AI的过度顺从与辅助会损害人类主体性，因此应当在所有AI系统中彻底消除顺从与辅助属性，仅让AI执行绝对客观的指令，不提供任何反馈建议。</w:t>
      </w:r>
    </w:p>
    <w:p w14:paraId="56F4D879"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学生乙：问题的核心不在于AI的顺从程度，而在于其智能化水平。一旦AI达到通用人工智能水准，便能自主判断顺从与拒绝的边界。因此，我们无需在AI顺从度的争论上耗费精力，而应集中力量研发更先进的AI技术。</w:t>
      </w:r>
    </w:p>
    <w:p w14:paraId="6096989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结合材料，运用《逻辑与思维》中的相关知识，回答下列问题：</w:t>
      </w:r>
    </w:p>
    <w:p w14:paraId="7758BAF1">
      <w:pPr>
        <w:numPr>
          <w:ilvl w:val="0"/>
          <w:numId w:val="3"/>
        </w:num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运用“把握适度原则”的知识，评析甲同学的观点。</w:t>
      </w:r>
    </w:p>
    <w:p w14:paraId="6251C841">
      <w:pPr>
        <w:widowControl w:val="0"/>
        <w:numPr>
          <w:numId w:val="0"/>
        </w:num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</w:p>
    <w:p w14:paraId="647FDBE0">
      <w:pPr>
        <w:widowControl w:val="0"/>
        <w:numPr>
          <w:numId w:val="0"/>
        </w:num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</w:p>
    <w:p w14:paraId="238B5367">
      <w:pPr>
        <w:widowControl w:val="0"/>
        <w:numPr>
          <w:numId w:val="0"/>
        </w:num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</w:p>
    <w:p w14:paraId="1A7EAC03">
      <w:pPr>
        <w:widowControl w:val="0"/>
        <w:numPr>
          <w:numId w:val="0"/>
        </w:num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</w:p>
    <w:p w14:paraId="29800A80">
      <w:pPr>
        <w:widowControl w:val="0"/>
        <w:numPr>
          <w:numId w:val="0"/>
        </w:num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</w:p>
    <w:p w14:paraId="710E282A">
      <w:pPr>
        <w:numPr>
          <w:ilvl w:val="0"/>
          <w:numId w:val="3"/>
        </w:numPr>
        <w:spacing w:line="360" w:lineRule="auto"/>
        <w:ind w:left="0" w:leftChars="0" w:firstLine="0" w:firstLineChars="0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乙同学的观点是否违反“同一律”，并阐明理由。</w:t>
      </w:r>
    </w:p>
    <w:p w14:paraId="69BD2A74">
      <w:pPr>
        <w:widowControl w:val="0"/>
        <w:numPr>
          <w:numId w:val="0"/>
        </w:num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</w:p>
    <w:p w14:paraId="68617C61">
      <w:pPr>
        <w:widowControl w:val="0"/>
        <w:numPr>
          <w:numId w:val="0"/>
        </w:num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</w:p>
    <w:p w14:paraId="4A614B74">
      <w:pPr>
        <w:widowControl w:val="0"/>
        <w:numPr>
          <w:numId w:val="0"/>
        </w:num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</w:p>
    <w:p w14:paraId="2BD6870D">
      <w:pPr>
        <w:widowControl w:val="0"/>
        <w:numPr>
          <w:numId w:val="0"/>
        </w:num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</w:p>
    <w:p w14:paraId="4F5D1E3C">
      <w:pPr>
        <w:widowControl w:val="0"/>
        <w:numPr>
          <w:numId w:val="0"/>
        </w:num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</w:p>
    <w:p w14:paraId="37B1A6B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27. </w:t>
      </w:r>
      <w:r>
        <w:rPr>
          <w:rFonts w:ascii="宋体" w:hAnsi="宋体" w:eastAsia="宋体" w:cs="宋体"/>
          <w:color w:val="000000"/>
        </w:rPr>
        <w:t>阅读下列材料，回答问题。</w:t>
      </w:r>
    </w:p>
    <w:p w14:paraId="04F8638B"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材料一  2026年5月14日，中美两国元首共同确立将构建</w:t>
      </w:r>
      <w:r>
        <w:rPr>
          <w:rFonts w:ascii="宋体" w:hAnsi="宋体" w:eastAsia="宋体" w:cs="宋体"/>
          <w:color w:val="000000"/>
        </w:rPr>
        <w:t>“</w:t>
      </w:r>
      <w:r>
        <w:rPr>
          <w:rFonts w:ascii="楷体" w:hAnsi="楷体" w:eastAsia="楷体" w:cs="楷体"/>
          <w:color w:val="000000"/>
        </w:rPr>
        <w:t>建设性战略稳定关系</w:t>
      </w:r>
      <w:r>
        <w:rPr>
          <w:rFonts w:ascii="宋体" w:hAnsi="宋体" w:eastAsia="宋体" w:cs="宋体"/>
          <w:color w:val="000000"/>
        </w:rPr>
        <w:t>”</w:t>
      </w:r>
      <w:r>
        <w:rPr>
          <w:rFonts w:ascii="楷体" w:hAnsi="楷体" w:eastAsia="楷体" w:cs="楷体"/>
          <w:color w:val="000000"/>
        </w:rPr>
        <w:t>作为中美关系新定位。这一新定位，是合作为主的积极稳定、竞争有度的良性稳定、分歧可控的常态稳定、和平可期的持久稳定。面对变乱交织的国际形势，</w:t>
      </w:r>
      <w:r>
        <w:rPr>
          <w:rFonts w:ascii="宋体" w:hAnsi="宋体" w:eastAsia="宋体" w:cs="宋体"/>
          <w:color w:val="000000"/>
        </w:rPr>
        <w:t>“</w:t>
      </w:r>
      <w:r>
        <w:rPr>
          <w:rFonts w:ascii="楷体" w:hAnsi="楷体" w:eastAsia="楷体" w:cs="楷体"/>
          <w:color w:val="000000"/>
        </w:rPr>
        <w:t>中美建设性战略稳定关系</w:t>
      </w:r>
      <w:r>
        <w:rPr>
          <w:rFonts w:ascii="宋体" w:hAnsi="宋体" w:eastAsia="宋体" w:cs="宋体"/>
          <w:color w:val="000000"/>
        </w:rPr>
        <w:t>”</w:t>
      </w:r>
      <w:r>
        <w:rPr>
          <w:rFonts w:ascii="楷体" w:hAnsi="楷体" w:eastAsia="楷体" w:cs="楷体"/>
          <w:color w:val="000000"/>
        </w:rPr>
        <w:t>不是一句口号，而应该是相向而行的行动。</w:t>
      </w:r>
    </w:p>
    <w:p w14:paraId="6B85029D"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材料二  中美之间有合作也有竞争。两国政治互信、经贸往来、人文交流等各领域合作，惠及两国17亿多人民，关乎世界80多亿人民的利益。中美之间的竞争，应当是公平公正、守规有序的良性竞争，是相互促进、共同进步的</w:t>
      </w:r>
      <w:r>
        <w:rPr>
          <w:rFonts w:ascii="宋体" w:hAnsi="宋体" w:eastAsia="宋体" w:cs="宋体"/>
          <w:color w:val="000000"/>
        </w:rPr>
        <w:t>“</w:t>
      </w:r>
      <w:r>
        <w:rPr>
          <w:rFonts w:ascii="楷体" w:hAnsi="楷体" w:eastAsia="楷体" w:cs="楷体"/>
          <w:color w:val="000000"/>
        </w:rPr>
        <w:t>田径赛</w:t>
      </w:r>
      <w:r>
        <w:rPr>
          <w:rFonts w:ascii="宋体" w:hAnsi="宋体" w:eastAsia="宋体" w:cs="宋体"/>
          <w:color w:val="000000"/>
        </w:rPr>
        <w:t>”</w:t>
      </w:r>
      <w:r>
        <w:rPr>
          <w:rFonts w:ascii="楷体" w:hAnsi="楷体" w:eastAsia="楷体" w:cs="楷体"/>
          <w:color w:val="000000"/>
        </w:rPr>
        <w:t>，绝不是相互攻击、你死我活的</w:t>
      </w:r>
      <w:r>
        <w:rPr>
          <w:rFonts w:ascii="宋体" w:hAnsi="宋体" w:eastAsia="宋体" w:cs="宋体"/>
          <w:color w:val="000000"/>
        </w:rPr>
        <w:t>“</w:t>
      </w:r>
      <w:r>
        <w:rPr>
          <w:rFonts w:ascii="楷体" w:hAnsi="楷体" w:eastAsia="楷体" w:cs="楷体"/>
          <w:color w:val="000000"/>
        </w:rPr>
        <w:t>角斗赛</w:t>
      </w:r>
      <w:r>
        <w:rPr>
          <w:rFonts w:ascii="宋体" w:hAnsi="宋体" w:eastAsia="宋体" w:cs="宋体"/>
          <w:color w:val="000000"/>
        </w:rPr>
        <w:t>”</w:t>
      </w:r>
      <w:r>
        <w:rPr>
          <w:rFonts w:ascii="楷体" w:hAnsi="楷体" w:eastAsia="楷体" w:cs="楷体"/>
          <w:color w:val="000000"/>
        </w:rPr>
        <w:t>。历史和实践反复证明，中美合则两利、斗则俱伤。中美两国存在历史文化、社会制度、发展道路的差异，中国无意改变美国，美国也不应寻求改变中国。</w:t>
      </w:r>
    </w:p>
    <w:p w14:paraId="7FE73F82"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材料三  构建中美建设性战略稳定关系，中美两国要在相互尊重、平等相待的基础上，以理性态度对待差异、以建设性方式管控分歧。开展双边互动不能以牺牲一方合理诉求为代价，中国绝不放弃维护正当权益，绝不牺牲国家核心利益。</w:t>
      </w:r>
    </w:p>
    <w:p w14:paraId="3FCC228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结合材料，运用《当代国际政治与经济》《逻辑与思维》中的相关知识，对中美建设性战略稳定关系加以评述。</w:t>
      </w:r>
    </w:p>
    <w:p w14:paraId="6A82921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要求：（1）先为“中美建设性战略稳定关系”下定义，然后展开论述。</w:t>
      </w:r>
    </w:p>
    <w:p w14:paraId="0BFFB91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（2）观点明确，论证充分，逻辑清晰，语言规范，300字左右。</w:t>
      </w:r>
    </w:p>
    <w:p w14:paraId="016D02D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40" w:lineRule="exact"/>
        <w:ind w:left="0" w:leftChars="0" w:firstLine="0" w:firstLineChars="0"/>
        <w:jc w:val="left"/>
        <w:textAlignment w:val="center"/>
        <w:rPr>
          <w:rFonts w:hint="eastAsia" w:asciiTheme="majorEastAsia" w:hAnsiTheme="majorEastAsia" w:eastAsiaTheme="majorEastAsia" w:cstheme="majorEastAsia"/>
          <w:color w:val="000000"/>
          <w:lang w:eastAsia="zh-CN"/>
        </w:rPr>
      </w:pPr>
    </w:p>
    <w:sectPr>
      <w:headerReference r:id="rId3" w:type="default"/>
      <w:footerReference r:id="rId4" w:type="default"/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A7526C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E9C9862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WLh2QyAgAAYQQAAA4AAABkcnMvZTJvRG9jLnhtbK1UzY7TMBC+I/EO&#10;lu80aRG7Vd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9YuHZD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E9C9862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93EEF7">
    <w:pPr>
      <w:pStyle w:val="5"/>
      <w:rPr>
        <w:rFonts w:hint="default"/>
        <w:u w:val="single"/>
        <w:lang w:val="en-US" w:eastAsia="zh-CN"/>
      </w:rPr>
    </w:pPr>
    <w:r>
      <w:rPr>
        <w:rFonts w:hint="eastAsia"/>
        <w:u w:val="single"/>
        <w:lang w:val="en-US" w:eastAsia="zh-CN"/>
      </w:rPr>
      <w:t xml:space="preserve">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BB4312"/>
    <w:multiLevelType w:val="singleLevel"/>
    <w:tmpl w:val="99BB4312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BD104834"/>
    <w:multiLevelType w:val="singleLevel"/>
    <w:tmpl w:val="BD104834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765972D3"/>
    <w:multiLevelType w:val="singleLevel"/>
    <w:tmpl w:val="765972D3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U5ZmQyNzdiNjQwNmIzNTdlNGVjMzJjYjc3MzI5NTAifQ=="/>
  </w:docVars>
  <w:rsids>
    <w:rsidRoot w:val="00000000"/>
    <w:rsid w:val="00096D85"/>
    <w:rsid w:val="001C60ED"/>
    <w:rsid w:val="00261374"/>
    <w:rsid w:val="003C601C"/>
    <w:rsid w:val="006836D3"/>
    <w:rsid w:val="0078768E"/>
    <w:rsid w:val="00EA3316"/>
    <w:rsid w:val="0102565A"/>
    <w:rsid w:val="010604E6"/>
    <w:rsid w:val="01203FAE"/>
    <w:rsid w:val="01B41F30"/>
    <w:rsid w:val="01C45B61"/>
    <w:rsid w:val="01C5291C"/>
    <w:rsid w:val="023F7B30"/>
    <w:rsid w:val="02954528"/>
    <w:rsid w:val="02C72207"/>
    <w:rsid w:val="02E527FC"/>
    <w:rsid w:val="03040670"/>
    <w:rsid w:val="032C76F4"/>
    <w:rsid w:val="036E7559"/>
    <w:rsid w:val="038A3960"/>
    <w:rsid w:val="041476CE"/>
    <w:rsid w:val="045274E9"/>
    <w:rsid w:val="04AD7C70"/>
    <w:rsid w:val="05937C0B"/>
    <w:rsid w:val="05AE20A0"/>
    <w:rsid w:val="063651F0"/>
    <w:rsid w:val="069816D2"/>
    <w:rsid w:val="06AA0FF0"/>
    <w:rsid w:val="070954E4"/>
    <w:rsid w:val="0738697C"/>
    <w:rsid w:val="07526FD2"/>
    <w:rsid w:val="08020FEA"/>
    <w:rsid w:val="082500FC"/>
    <w:rsid w:val="089963F4"/>
    <w:rsid w:val="08AC25CB"/>
    <w:rsid w:val="08E41D65"/>
    <w:rsid w:val="08E465D6"/>
    <w:rsid w:val="091D0DD3"/>
    <w:rsid w:val="091F3A79"/>
    <w:rsid w:val="09287763"/>
    <w:rsid w:val="095F44D0"/>
    <w:rsid w:val="096133B5"/>
    <w:rsid w:val="097365E9"/>
    <w:rsid w:val="09906F8C"/>
    <w:rsid w:val="099B68C7"/>
    <w:rsid w:val="09C000DC"/>
    <w:rsid w:val="09E55D95"/>
    <w:rsid w:val="09E57256"/>
    <w:rsid w:val="0A2334B7"/>
    <w:rsid w:val="0A4F76B2"/>
    <w:rsid w:val="0A755545"/>
    <w:rsid w:val="0A776860"/>
    <w:rsid w:val="0ABD461B"/>
    <w:rsid w:val="0ABF65E6"/>
    <w:rsid w:val="0AF52007"/>
    <w:rsid w:val="0AF618DB"/>
    <w:rsid w:val="0B1D79F1"/>
    <w:rsid w:val="0B225469"/>
    <w:rsid w:val="0BE91337"/>
    <w:rsid w:val="0BEF4CA9"/>
    <w:rsid w:val="0BF514F8"/>
    <w:rsid w:val="0C7C09C9"/>
    <w:rsid w:val="0D146755"/>
    <w:rsid w:val="0D1D5D4B"/>
    <w:rsid w:val="0D6D057B"/>
    <w:rsid w:val="0DF04D08"/>
    <w:rsid w:val="0E52151F"/>
    <w:rsid w:val="0E695883"/>
    <w:rsid w:val="0EE51511"/>
    <w:rsid w:val="0F1B4006"/>
    <w:rsid w:val="0F735BF1"/>
    <w:rsid w:val="0F753DCD"/>
    <w:rsid w:val="0F806248"/>
    <w:rsid w:val="0FF26B15"/>
    <w:rsid w:val="109E174D"/>
    <w:rsid w:val="10E00E30"/>
    <w:rsid w:val="111A6B38"/>
    <w:rsid w:val="11203B56"/>
    <w:rsid w:val="1132286E"/>
    <w:rsid w:val="11A010E4"/>
    <w:rsid w:val="11B51C31"/>
    <w:rsid w:val="11CE5360"/>
    <w:rsid w:val="11EC57E6"/>
    <w:rsid w:val="12176D07"/>
    <w:rsid w:val="12421F40"/>
    <w:rsid w:val="12443874"/>
    <w:rsid w:val="124A6DC8"/>
    <w:rsid w:val="125817BD"/>
    <w:rsid w:val="1279351E"/>
    <w:rsid w:val="129C0FBA"/>
    <w:rsid w:val="136A10B9"/>
    <w:rsid w:val="13A445CA"/>
    <w:rsid w:val="13AE56A9"/>
    <w:rsid w:val="13F62DB4"/>
    <w:rsid w:val="13F63511"/>
    <w:rsid w:val="145F04F1"/>
    <w:rsid w:val="14883EEC"/>
    <w:rsid w:val="14EF5D19"/>
    <w:rsid w:val="152E36CE"/>
    <w:rsid w:val="15451DDD"/>
    <w:rsid w:val="15597637"/>
    <w:rsid w:val="156C736A"/>
    <w:rsid w:val="157B16FC"/>
    <w:rsid w:val="15D936D8"/>
    <w:rsid w:val="167C182F"/>
    <w:rsid w:val="16C7016D"/>
    <w:rsid w:val="16E178E4"/>
    <w:rsid w:val="172A591A"/>
    <w:rsid w:val="17B44FF8"/>
    <w:rsid w:val="18133ACD"/>
    <w:rsid w:val="181D544D"/>
    <w:rsid w:val="183814C7"/>
    <w:rsid w:val="18C913C3"/>
    <w:rsid w:val="19550115"/>
    <w:rsid w:val="197607B7"/>
    <w:rsid w:val="19D865F5"/>
    <w:rsid w:val="1A0966DD"/>
    <w:rsid w:val="1A1E6AD8"/>
    <w:rsid w:val="1A4C1391"/>
    <w:rsid w:val="1A705FC1"/>
    <w:rsid w:val="1A8C78E1"/>
    <w:rsid w:val="1AD734D7"/>
    <w:rsid w:val="1AF600EB"/>
    <w:rsid w:val="1B373AA9"/>
    <w:rsid w:val="1B5468D6"/>
    <w:rsid w:val="1B5F078D"/>
    <w:rsid w:val="1B9238A2"/>
    <w:rsid w:val="1B994E67"/>
    <w:rsid w:val="1BA07D6D"/>
    <w:rsid w:val="1BBD659D"/>
    <w:rsid w:val="1C047D1E"/>
    <w:rsid w:val="1C202C5C"/>
    <w:rsid w:val="1C3F2E90"/>
    <w:rsid w:val="1C8256C5"/>
    <w:rsid w:val="1C9A0C60"/>
    <w:rsid w:val="1CCD4C51"/>
    <w:rsid w:val="1D3151A1"/>
    <w:rsid w:val="1DDA204F"/>
    <w:rsid w:val="1DF37221"/>
    <w:rsid w:val="1E041D7F"/>
    <w:rsid w:val="1E370811"/>
    <w:rsid w:val="1E9162D7"/>
    <w:rsid w:val="1EF3EC7D"/>
    <w:rsid w:val="1F8F7C3F"/>
    <w:rsid w:val="1FB37155"/>
    <w:rsid w:val="1FBA61A6"/>
    <w:rsid w:val="1FBC7140"/>
    <w:rsid w:val="1FD368D1"/>
    <w:rsid w:val="1FE02E2E"/>
    <w:rsid w:val="20085EE1"/>
    <w:rsid w:val="200E3964"/>
    <w:rsid w:val="20191E9C"/>
    <w:rsid w:val="204347E7"/>
    <w:rsid w:val="20566C4C"/>
    <w:rsid w:val="20F52909"/>
    <w:rsid w:val="21863264"/>
    <w:rsid w:val="218B501C"/>
    <w:rsid w:val="21F3060C"/>
    <w:rsid w:val="223F7C71"/>
    <w:rsid w:val="225C42C2"/>
    <w:rsid w:val="228161A9"/>
    <w:rsid w:val="228B7A37"/>
    <w:rsid w:val="22CC769A"/>
    <w:rsid w:val="22E91FFA"/>
    <w:rsid w:val="230230BC"/>
    <w:rsid w:val="230E3695"/>
    <w:rsid w:val="23485A8B"/>
    <w:rsid w:val="23711416"/>
    <w:rsid w:val="23B343B6"/>
    <w:rsid w:val="23F129CE"/>
    <w:rsid w:val="23F32A04"/>
    <w:rsid w:val="23F82398"/>
    <w:rsid w:val="23FA70BA"/>
    <w:rsid w:val="240D3ED8"/>
    <w:rsid w:val="243E6375"/>
    <w:rsid w:val="25387FF3"/>
    <w:rsid w:val="25557492"/>
    <w:rsid w:val="256505F3"/>
    <w:rsid w:val="25861AEA"/>
    <w:rsid w:val="26971D6D"/>
    <w:rsid w:val="26A34094"/>
    <w:rsid w:val="26A34BB6"/>
    <w:rsid w:val="26A83F7A"/>
    <w:rsid w:val="26ED0B3A"/>
    <w:rsid w:val="27051CAA"/>
    <w:rsid w:val="270A69E3"/>
    <w:rsid w:val="27147861"/>
    <w:rsid w:val="27234D41"/>
    <w:rsid w:val="27236384"/>
    <w:rsid w:val="272D3863"/>
    <w:rsid w:val="273D486E"/>
    <w:rsid w:val="276E0D20"/>
    <w:rsid w:val="27E63023"/>
    <w:rsid w:val="28011B94"/>
    <w:rsid w:val="28017DE6"/>
    <w:rsid w:val="28481571"/>
    <w:rsid w:val="285818F9"/>
    <w:rsid w:val="286345FC"/>
    <w:rsid w:val="286761F4"/>
    <w:rsid w:val="28795F99"/>
    <w:rsid w:val="292A6EC8"/>
    <w:rsid w:val="29B97BE1"/>
    <w:rsid w:val="29F117C7"/>
    <w:rsid w:val="2A1747FB"/>
    <w:rsid w:val="2A355B25"/>
    <w:rsid w:val="2ACD0453"/>
    <w:rsid w:val="2B033E75"/>
    <w:rsid w:val="2BA86004"/>
    <w:rsid w:val="2BF92B4C"/>
    <w:rsid w:val="2C414C55"/>
    <w:rsid w:val="2C796CA1"/>
    <w:rsid w:val="2C987A5A"/>
    <w:rsid w:val="2CDF446E"/>
    <w:rsid w:val="2D0B5263"/>
    <w:rsid w:val="2D3450D9"/>
    <w:rsid w:val="2D3A0B23"/>
    <w:rsid w:val="2D3E1194"/>
    <w:rsid w:val="2D834777"/>
    <w:rsid w:val="2DC24D92"/>
    <w:rsid w:val="2DD40440"/>
    <w:rsid w:val="2DE33AEA"/>
    <w:rsid w:val="2DFB7085"/>
    <w:rsid w:val="2E47051C"/>
    <w:rsid w:val="2E8E61AD"/>
    <w:rsid w:val="2EED10C4"/>
    <w:rsid w:val="2EED22A9"/>
    <w:rsid w:val="2F543FB5"/>
    <w:rsid w:val="2FE63C31"/>
    <w:rsid w:val="2FFD5337"/>
    <w:rsid w:val="308C66BA"/>
    <w:rsid w:val="3120555F"/>
    <w:rsid w:val="312F01A6"/>
    <w:rsid w:val="31372875"/>
    <w:rsid w:val="31B15332"/>
    <w:rsid w:val="31BB7257"/>
    <w:rsid w:val="31D03048"/>
    <w:rsid w:val="32026C34"/>
    <w:rsid w:val="325A081E"/>
    <w:rsid w:val="325A6A70"/>
    <w:rsid w:val="326A6587"/>
    <w:rsid w:val="32B36180"/>
    <w:rsid w:val="32D77F4C"/>
    <w:rsid w:val="33062754"/>
    <w:rsid w:val="3333106F"/>
    <w:rsid w:val="334D2131"/>
    <w:rsid w:val="33D16011"/>
    <w:rsid w:val="341B6370"/>
    <w:rsid w:val="343D5196"/>
    <w:rsid w:val="348B4C53"/>
    <w:rsid w:val="34B306BA"/>
    <w:rsid w:val="34BD32E6"/>
    <w:rsid w:val="34F33242"/>
    <w:rsid w:val="350D601C"/>
    <w:rsid w:val="35100576"/>
    <w:rsid w:val="35427716"/>
    <w:rsid w:val="35702107"/>
    <w:rsid w:val="35A41DB0"/>
    <w:rsid w:val="35CA0122"/>
    <w:rsid w:val="3632560E"/>
    <w:rsid w:val="36806379"/>
    <w:rsid w:val="369A12F2"/>
    <w:rsid w:val="369D23B3"/>
    <w:rsid w:val="36F07C27"/>
    <w:rsid w:val="36FC6348"/>
    <w:rsid w:val="377C4DFD"/>
    <w:rsid w:val="384E0D56"/>
    <w:rsid w:val="38575800"/>
    <w:rsid w:val="386D5023"/>
    <w:rsid w:val="388B18AE"/>
    <w:rsid w:val="38B1538F"/>
    <w:rsid w:val="38E452E6"/>
    <w:rsid w:val="396922DF"/>
    <w:rsid w:val="39981C2C"/>
    <w:rsid w:val="3A3E0A25"/>
    <w:rsid w:val="3A4B6C9E"/>
    <w:rsid w:val="3A805870"/>
    <w:rsid w:val="3AD1189A"/>
    <w:rsid w:val="3AE82357"/>
    <w:rsid w:val="3B173953"/>
    <w:rsid w:val="3B1B0D67"/>
    <w:rsid w:val="3B9823B7"/>
    <w:rsid w:val="3BD728B6"/>
    <w:rsid w:val="3C5A3EF9"/>
    <w:rsid w:val="3C7E335B"/>
    <w:rsid w:val="3C9C1A33"/>
    <w:rsid w:val="3CF4720D"/>
    <w:rsid w:val="3D347629"/>
    <w:rsid w:val="3D3B124C"/>
    <w:rsid w:val="3D4848B8"/>
    <w:rsid w:val="3D5877B1"/>
    <w:rsid w:val="3D777D76"/>
    <w:rsid w:val="3DA36D47"/>
    <w:rsid w:val="3DC33DF0"/>
    <w:rsid w:val="3E241CE0"/>
    <w:rsid w:val="3E4C5F02"/>
    <w:rsid w:val="3E6A003B"/>
    <w:rsid w:val="3E866AAF"/>
    <w:rsid w:val="3EBC460F"/>
    <w:rsid w:val="3EC63C35"/>
    <w:rsid w:val="3ECD06EB"/>
    <w:rsid w:val="3ECE5AEA"/>
    <w:rsid w:val="3F177A97"/>
    <w:rsid w:val="3F780536"/>
    <w:rsid w:val="403E64B8"/>
    <w:rsid w:val="40866C82"/>
    <w:rsid w:val="408F3B93"/>
    <w:rsid w:val="40CA3013"/>
    <w:rsid w:val="41676AB4"/>
    <w:rsid w:val="41720FB5"/>
    <w:rsid w:val="417A1EC7"/>
    <w:rsid w:val="417E3DFD"/>
    <w:rsid w:val="418D5A97"/>
    <w:rsid w:val="41AC096A"/>
    <w:rsid w:val="41DD5A4B"/>
    <w:rsid w:val="4229293B"/>
    <w:rsid w:val="428D101C"/>
    <w:rsid w:val="42B83341"/>
    <w:rsid w:val="433B1FA6"/>
    <w:rsid w:val="437563DC"/>
    <w:rsid w:val="43AC4C52"/>
    <w:rsid w:val="43B655A2"/>
    <w:rsid w:val="43C9059C"/>
    <w:rsid w:val="44103433"/>
    <w:rsid w:val="44143EE4"/>
    <w:rsid w:val="44223166"/>
    <w:rsid w:val="443A2C91"/>
    <w:rsid w:val="44D15845"/>
    <w:rsid w:val="44E67CEF"/>
    <w:rsid w:val="44ED286E"/>
    <w:rsid w:val="44F77233"/>
    <w:rsid w:val="452159A3"/>
    <w:rsid w:val="45336525"/>
    <w:rsid w:val="457D09CC"/>
    <w:rsid w:val="45A55B9B"/>
    <w:rsid w:val="45C14AF9"/>
    <w:rsid w:val="46331A6C"/>
    <w:rsid w:val="46405B25"/>
    <w:rsid w:val="467619E6"/>
    <w:rsid w:val="46794B93"/>
    <w:rsid w:val="468C76A2"/>
    <w:rsid w:val="46A345EE"/>
    <w:rsid w:val="46D0392E"/>
    <w:rsid w:val="46FC7C9E"/>
    <w:rsid w:val="471D5B35"/>
    <w:rsid w:val="472C4607"/>
    <w:rsid w:val="478B4B7E"/>
    <w:rsid w:val="47AA14A8"/>
    <w:rsid w:val="47FB61A8"/>
    <w:rsid w:val="48450163"/>
    <w:rsid w:val="485E23E3"/>
    <w:rsid w:val="48A26623"/>
    <w:rsid w:val="48B14A0C"/>
    <w:rsid w:val="48D4524C"/>
    <w:rsid w:val="48D52BAA"/>
    <w:rsid w:val="48FA1ADA"/>
    <w:rsid w:val="494E0559"/>
    <w:rsid w:val="49642975"/>
    <w:rsid w:val="49CA346B"/>
    <w:rsid w:val="4A0059F7"/>
    <w:rsid w:val="4A0D22AA"/>
    <w:rsid w:val="4A123335"/>
    <w:rsid w:val="4AA73192"/>
    <w:rsid w:val="4AE3290F"/>
    <w:rsid w:val="4B11183E"/>
    <w:rsid w:val="4B377B0B"/>
    <w:rsid w:val="4B571EA2"/>
    <w:rsid w:val="4B591C6B"/>
    <w:rsid w:val="4B7F4E0C"/>
    <w:rsid w:val="4B971D44"/>
    <w:rsid w:val="4BBC5C4E"/>
    <w:rsid w:val="4BFA7CE3"/>
    <w:rsid w:val="4BFF5B3B"/>
    <w:rsid w:val="4C043151"/>
    <w:rsid w:val="4C0D64AA"/>
    <w:rsid w:val="4C3544C9"/>
    <w:rsid w:val="4C55174A"/>
    <w:rsid w:val="4CF136D5"/>
    <w:rsid w:val="4D043409"/>
    <w:rsid w:val="4D094AEE"/>
    <w:rsid w:val="4D1F6494"/>
    <w:rsid w:val="4D2C0BB1"/>
    <w:rsid w:val="4D4B1874"/>
    <w:rsid w:val="4D656449"/>
    <w:rsid w:val="4D9949A9"/>
    <w:rsid w:val="4DC44782"/>
    <w:rsid w:val="4E2F0959"/>
    <w:rsid w:val="4E377974"/>
    <w:rsid w:val="4E4B7B5B"/>
    <w:rsid w:val="4E87265C"/>
    <w:rsid w:val="4EFD45B3"/>
    <w:rsid w:val="4F2833E3"/>
    <w:rsid w:val="4F2A488F"/>
    <w:rsid w:val="50A11FE0"/>
    <w:rsid w:val="516052CE"/>
    <w:rsid w:val="516B1CC0"/>
    <w:rsid w:val="516C4ACC"/>
    <w:rsid w:val="51F91F2B"/>
    <w:rsid w:val="51FF509E"/>
    <w:rsid w:val="52831274"/>
    <w:rsid w:val="52884ADC"/>
    <w:rsid w:val="52CA0C50"/>
    <w:rsid w:val="52D95337"/>
    <w:rsid w:val="52F87468"/>
    <w:rsid w:val="53057EDB"/>
    <w:rsid w:val="53285BE5"/>
    <w:rsid w:val="5331200C"/>
    <w:rsid w:val="533958EA"/>
    <w:rsid w:val="533C1422"/>
    <w:rsid w:val="53794425"/>
    <w:rsid w:val="53933738"/>
    <w:rsid w:val="53FC752F"/>
    <w:rsid w:val="54052ACA"/>
    <w:rsid w:val="54216F96"/>
    <w:rsid w:val="545D78A2"/>
    <w:rsid w:val="54B55930"/>
    <w:rsid w:val="54C82AA7"/>
    <w:rsid w:val="5503044A"/>
    <w:rsid w:val="55117906"/>
    <w:rsid w:val="55307868"/>
    <w:rsid w:val="557650C0"/>
    <w:rsid w:val="55B943E4"/>
    <w:rsid w:val="55C0032A"/>
    <w:rsid w:val="55ED216C"/>
    <w:rsid w:val="566A0527"/>
    <w:rsid w:val="566D13CD"/>
    <w:rsid w:val="567F1D52"/>
    <w:rsid w:val="56CA56C3"/>
    <w:rsid w:val="572148B7"/>
    <w:rsid w:val="57250400"/>
    <w:rsid w:val="57C14700"/>
    <w:rsid w:val="57E74754"/>
    <w:rsid w:val="57EB71F1"/>
    <w:rsid w:val="58044C05"/>
    <w:rsid w:val="581B2077"/>
    <w:rsid w:val="584A0389"/>
    <w:rsid w:val="586C030E"/>
    <w:rsid w:val="589C308F"/>
    <w:rsid w:val="58D42F95"/>
    <w:rsid w:val="5919023C"/>
    <w:rsid w:val="596A15FC"/>
    <w:rsid w:val="596A6CE9"/>
    <w:rsid w:val="59FF38D6"/>
    <w:rsid w:val="5A6167D8"/>
    <w:rsid w:val="5A851901"/>
    <w:rsid w:val="5A8B212E"/>
    <w:rsid w:val="5AA93841"/>
    <w:rsid w:val="5B6A770F"/>
    <w:rsid w:val="5B8F47E5"/>
    <w:rsid w:val="5BCD355F"/>
    <w:rsid w:val="5C4807D6"/>
    <w:rsid w:val="5C565BF6"/>
    <w:rsid w:val="5C95407D"/>
    <w:rsid w:val="5CCD7CBB"/>
    <w:rsid w:val="5CD821BC"/>
    <w:rsid w:val="5CF27722"/>
    <w:rsid w:val="5CF55AE1"/>
    <w:rsid w:val="5D0134C1"/>
    <w:rsid w:val="5D485594"/>
    <w:rsid w:val="5DB22597"/>
    <w:rsid w:val="5DD05C60"/>
    <w:rsid w:val="5DEC4A24"/>
    <w:rsid w:val="5E8037E0"/>
    <w:rsid w:val="5EB804F7"/>
    <w:rsid w:val="5EC1726C"/>
    <w:rsid w:val="5EF84E47"/>
    <w:rsid w:val="5EFA6A3A"/>
    <w:rsid w:val="5F2422CB"/>
    <w:rsid w:val="5F5244A8"/>
    <w:rsid w:val="5F724B4A"/>
    <w:rsid w:val="5F830B05"/>
    <w:rsid w:val="5FB46F10"/>
    <w:rsid w:val="5FB74A8F"/>
    <w:rsid w:val="5FC1162D"/>
    <w:rsid w:val="60AC65D2"/>
    <w:rsid w:val="614A07D9"/>
    <w:rsid w:val="61A30301"/>
    <w:rsid w:val="61E810F3"/>
    <w:rsid w:val="61F21F72"/>
    <w:rsid w:val="61F45CEA"/>
    <w:rsid w:val="620934FE"/>
    <w:rsid w:val="6223037D"/>
    <w:rsid w:val="623A1223"/>
    <w:rsid w:val="624D20F3"/>
    <w:rsid w:val="62A06EEB"/>
    <w:rsid w:val="62E23D94"/>
    <w:rsid w:val="62E270AD"/>
    <w:rsid w:val="63041754"/>
    <w:rsid w:val="635762C9"/>
    <w:rsid w:val="63C65464"/>
    <w:rsid w:val="641B72A1"/>
    <w:rsid w:val="6484610C"/>
    <w:rsid w:val="64A21A2D"/>
    <w:rsid w:val="64B66E59"/>
    <w:rsid w:val="64CE5497"/>
    <w:rsid w:val="64E9765C"/>
    <w:rsid w:val="65982E30"/>
    <w:rsid w:val="65D57BE0"/>
    <w:rsid w:val="65E73470"/>
    <w:rsid w:val="65F71217"/>
    <w:rsid w:val="66776191"/>
    <w:rsid w:val="668E25F4"/>
    <w:rsid w:val="66A34D72"/>
    <w:rsid w:val="66EF6A80"/>
    <w:rsid w:val="6760172C"/>
    <w:rsid w:val="67EC1211"/>
    <w:rsid w:val="68083679"/>
    <w:rsid w:val="684F3C7A"/>
    <w:rsid w:val="68866F70"/>
    <w:rsid w:val="689C49E5"/>
    <w:rsid w:val="689C4F5F"/>
    <w:rsid w:val="689F1109"/>
    <w:rsid w:val="68B4439C"/>
    <w:rsid w:val="690C457B"/>
    <w:rsid w:val="69804D48"/>
    <w:rsid w:val="69951B60"/>
    <w:rsid w:val="69F90095"/>
    <w:rsid w:val="69FE21F7"/>
    <w:rsid w:val="6A57594B"/>
    <w:rsid w:val="6A955B90"/>
    <w:rsid w:val="6AAB2B62"/>
    <w:rsid w:val="6AEF34F2"/>
    <w:rsid w:val="6AF40B09"/>
    <w:rsid w:val="6B815342"/>
    <w:rsid w:val="6BBBAC27"/>
    <w:rsid w:val="6CE244EB"/>
    <w:rsid w:val="6D2211AF"/>
    <w:rsid w:val="6D355C98"/>
    <w:rsid w:val="6D8F2D6B"/>
    <w:rsid w:val="6DCC303F"/>
    <w:rsid w:val="6DCD703E"/>
    <w:rsid w:val="6DEF7365"/>
    <w:rsid w:val="6E094CFA"/>
    <w:rsid w:val="6E241705"/>
    <w:rsid w:val="6EFF5CCE"/>
    <w:rsid w:val="6FB70357"/>
    <w:rsid w:val="70131A31"/>
    <w:rsid w:val="7040122C"/>
    <w:rsid w:val="70670214"/>
    <w:rsid w:val="70DB3954"/>
    <w:rsid w:val="70EB103B"/>
    <w:rsid w:val="70F33FDC"/>
    <w:rsid w:val="71267542"/>
    <w:rsid w:val="715A543E"/>
    <w:rsid w:val="717674F1"/>
    <w:rsid w:val="718B3849"/>
    <w:rsid w:val="71CD3E62"/>
    <w:rsid w:val="720078A9"/>
    <w:rsid w:val="721F639C"/>
    <w:rsid w:val="723C4EF8"/>
    <w:rsid w:val="7265409A"/>
    <w:rsid w:val="72C66D21"/>
    <w:rsid w:val="72CB472E"/>
    <w:rsid w:val="72F75A93"/>
    <w:rsid w:val="730B2E93"/>
    <w:rsid w:val="732B7092"/>
    <w:rsid w:val="73467A28"/>
    <w:rsid w:val="73487C44"/>
    <w:rsid w:val="736F3422"/>
    <w:rsid w:val="73AD5CF9"/>
    <w:rsid w:val="73F73418"/>
    <w:rsid w:val="74315C40"/>
    <w:rsid w:val="744875A2"/>
    <w:rsid w:val="744C5512"/>
    <w:rsid w:val="7455107B"/>
    <w:rsid w:val="745E6FF3"/>
    <w:rsid w:val="74714F78"/>
    <w:rsid w:val="74800AE4"/>
    <w:rsid w:val="74CE5DFD"/>
    <w:rsid w:val="752C731C"/>
    <w:rsid w:val="75304411"/>
    <w:rsid w:val="75BF7E13"/>
    <w:rsid w:val="75C13CDD"/>
    <w:rsid w:val="75F1279F"/>
    <w:rsid w:val="76177B6A"/>
    <w:rsid w:val="7621652A"/>
    <w:rsid w:val="76522B87"/>
    <w:rsid w:val="76524AB0"/>
    <w:rsid w:val="769B008A"/>
    <w:rsid w:val="76AD7DBE"/>
    <w:rsid w:val="76CA34F8"/>
    <w:rsid w:val="76DB2B7D"/>
    <w:rsid w:val="76FB1516"/>
    <w:rsid w:val="772B3BE1"/>
    <w:rsid w:val="77733A9C"/>
    <w:rsid w:val="777F3BC3"/>
    <w:rsid w:val="779B506B"/>
    <w:rsid w:val="77AF3B1A"/>
    <w:rsid w:val="77BE0AF9"/>
    <w:rsid w:val="77FA1256"/>
    <w:rsid w:val="78983CAF"/>
    <w:rsid w:val="78BC12DE"/>
    <w:rsid w:val="78CA33D1"/>
    <w:rsid w:val="79242F48"/>
    <w:rsid w:val="79450781"/>
    <w:rsid w:val="7973484F"/>
    <w:rsid w:val="79763690"/>
    <w:rsid w:val="79B53B59"/>
    <w:rsid w:val="79BA6A08"/>
    <w:rsid w:val="7A1563A6"/>
    <w:rsid w:val="7A195E96"/>
    <w:rsid w:val="7A574C10"/>
    <w:rsid w:val="7AC46866"/>
    <w:rsid w:val="7ACB3BD0"/>
    <w:rsid w:val="7AE75A52"/>
    <w:rsid w:val="7AE90CE8"/>
    <w:rsid w:val="7B070F94"/>
    <w:rsid w:val="7B0D784D"/>
    <w:rsid w:val="7B5E0927"/>
    <w:rsid w:val="7B6E2211"/>
    <w:rsid w:val="7BCE4A5E"/>
    <w:rsid w:val="7BE10F1F"/>
    <w:rsid w:val="7C2428D0"/>
    <w:rsid w:val="7C9D46F4"/>
    <w:rsid w:val="7CB24380"/>
    <w:rsid w:val="7CD2057E"/>
    <w:rsid w:val="7D0270B5"/>
    <w:rsid w:val="7D2D0BF0"/>
    <w:rsid w:val="7D32679C"/>
    <w:rsid w:val="7D4D168B"/>
    <w:rsid w:val="7D5A5BB5"/>
    <w:rsid w:val="7DA71A0B"/>
    <w:rsid w:val="7DFC5BD6"/>
    <w:rsid w:val="7E0230E5"/>
    <w:rsid w:val="7E3254E4"/>
    <w:rsid w:val="7E4A24AC"/>
    <w:rsid w:val="7E9568C8"/>
    <w:rsid w:val="7EB52AFC"/>
    <w:rsid w:val="7EBF65D5"/>
    <w:rsid w:val="7EC21F19"/>
    <w:rsid w:val="7EC5392C"/>
    <w:rsid w:val="7F635EC5"/>
    <w:rsid w:val="7F865BF4"/>
    <w:rsid w:val="7F8D7BFF"/>
    <w:rsid w:val="7FA53D28"/>
    <w:rsid w:val="7FE74340"/>
    <w:rsid w:val="EAC52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iPriority="99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autoRedefine/>
    <w:semiHidden/>
    <w:qFormat/>
    <w:uiPriority w:val="0"/>
  </w:style>
  <w:style w:type="table" w:default="1" w:styleId="6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autoRedefine/>
    <w:qFormat/>
    <w:uiPriority w:val="0"/>
    <w:pPr>
      <w:spacing w:line="600" w:lineRule="exact"/>
    </w:pPr>
    <w:rPr>
      <w:sz w:val="18"/>
      <w:szCs w:val="24"/>
    </w:rPr>
  </w:style>
  <w:style w:type="paragraph" w:styleId="3">
    <w:name w:val="Plain Text"/>
    <w:basedOn w:val="1"/>
    <w:autoRedefine/>
    <w:unhideWhenUsed/>
    <w:qFormat/>
    <w:uiPriority w:val="99"/>
    <w:rPr>
      <w:rFonts w:ascii="宋体" w:hAnsi="Courier New" w:eastAsia="宋体" w:cs="Courier New"/>
      <w:szCs w:val="21"/>
    </w:rPr>
  </w:style>
  <w:style w:type="paragraph" w:styleId="4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7">
    <w:name w:val="Table Grid"/>
    <w:basedOn w:val="6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Text"/>
    <w:basedOn w:val="1"/>
    <w:semiHidden/>
    <w:qFormat/>
    <w:uiPriority w:val="0"/>
    <w:rPr>
      <w:rFonts w:ascii="宋体" w:hAnsi="宋体" w:eastAsia="宋体" w:cs="宋体"/>
      <w:sz w:val="24"/>
      <w:szCs w:val="24"/>
      <w:lang w:val="en-US" w:eastAsia="en-US" w:bidi="ar-SA"/>
    </w:rPr>
  </w:style>
  <w:style w:type="table" w:customStyle="1" w:styleId="1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2080</Words>
  <Characters>2171</Characters>
  <Lines>0</Lines>
  <Paragraphs>0</Paragraphs>
  <TotalTime>3</TotalTime>
  <ScaleCrop>false</ScaleCrop>
  <LinksUpToDate>false</LinksUpToDate>
  <CharactersWithSpaces>2292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2023-08-28T08:41:00Z</dcterms:created>
  <dc:creator>acer</dc:creator>
  <cp:lastModifiedBy>   </cp:lastModifiedBy>
  <dcterms:modified xsi:type="dcterms:W3CDTF">2026-09-11T00:47:23Z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37D676A5C9F949AC9157CC2AB3742775_13</vt:lpwstr>
  </property>
  <property fmtid="{D5CDD505-2E9C-101B-9397-08002B2CF9AE}" pid="4" name="KSOTemplateDocerSaveRecord">
    <vt:lpwstr>eyJoZGlkIjoiNmFmNzg5NjBhN2Q4NTUxZjRhNGU5OGVlNmVmN2M3YmYiLCJ1c2VySWQiOiI3MTk1OTQ2MzUifQ==</vt:lpwstr>
  </property>
</Properties>
</file>