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customer-journey-map"/>
      <w:r>
        <w:t xml:space="preserve">NusaLingua — Customer Journey Map</w:t>
      </w:r>
      <w:bookmarkEnd w:id="20"/>
    </w:p>
    <w:p>
      <w:pPr>
        <w:pStyle w:val="BlockText"/>
      </w:pPr>
      <w:r>
        <w:t xml:space="preserve">Pemetaan touchpoint setiap persona dari awareness sampai renewal. Selaras dengan</w:t>
      </w:r>
      <w:r>
        <w:t xml:space="preserve"> </w:t>
      </w:r>
      <w:hyperlink r:id="rId21">
        <w:r>
          <w:rPr>
            <w:rStyle w:val="Hyperlink"/>
          </w:rPr>
          <w:t xml:space="preserve">PERSONAS.md</w:t>
        </w:r>
      </w:hyperlink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NSL-STR-002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Product Lead + Business Dev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ramework-6-stage-universal"/>
      <w:r>
        <w:t xml:space="preserve">Framework: 6 Stage Universal</w:t>
      </w:r>
      <w:bookmarkEnd w:id="22"/>
    </w:p>
    <w:p>
      <w:pPr>
        <w:pStyle w:val="SourceCode"/>
      </w:pPr>
      <w:r>
        <w:rPr>
          <w:rStyle w:val="VerbatimChar"/>
        </w:rPr>
        <w:t xml:space="preserve">Awareness → Consideration → Trial → Purchase → Activation → Renewal/Expansion</w:t>
      </w:r>
    </w:p>
    <w:p>
      <w:pPr>
        <w:pStyle w:val="FirstParagraph"/>
      </w:pPr>
      <w:r>
        <w:t xml:space="preserve">Setiap stage punya:</w:t>
      </w:r>
      <w:r>
        <w:t xml:space="preserve"> </w:t>
      </w:r>
      <w:r>
        <w:rPr>
          <w:b/>
        </w:rPr>
        <w:t xml:space="preserve">Goal user</w:t>
      </w:r>
      <w:r>
        <w:t xml:space="preserve">,</w:t>
      </w:r>
      <w:r>
        <w:t xml:space="preserve"> </w:t>
      </w:r>
      <w:r>
        <w:rPr>
          <w:b/>
        </w:rPr>
        <w:t xml:space="preserve">Touchpoint kita</w:t>
      </w:r>
      <w:r>
        <w:t xml:space="preserve">,</w:t>
      </w:r>
      <w:r>
        <w:t xml:space="preserve"> </w:t>
      </w:r>
      <w:r>
        <w:rPr>
          <w:b/>
        </w:rPr>
        <w:t xml:space="preserve">Pain di stage ini</w:t>
      </w:r>
      <w:r>
        <w:t xml:space="preserve">,</w:t>
      </w:r>
      <w:r>
        <w:t xml:space="preserve"> </w:t>
      </w:r>
      <w:r>
        <w:rPr>
          <w:b/>
        </w:rPr>
        <w:t xml:space="preserve">Metric sukses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journey-1--pak-bambang-b2g-pemda"/>
      <w:r>
        <w:t xml:space="preserve">Journey 1 — Pak Bambang (B2G Pemda)</w:t>
      </w:r>
      <w:bookmarkEnd w:id="23"/>
    </w:p>
    <w:p>
      <w:pPr>
        <w:pStyle w:val="FirstParagraph"/>
      </w:pPr>
      <w:r>
        <w:rPr>
          <w:b/>
        </w:rPr>
        <w:t xml:space="preserve">Total durasi estimasi</w:t>
      </w:r>
      <w:r>
        <w:t xml:space="preserve">: 6–14 bulan (siklus tender Pemda lambat).</w:t>
      </w:r>
    </w:p>
    <w:p>
      <w:pPr>
        <w:pStyle w:val="Heading3"/>
      </w:pPr>
      <w:bookmarkStart w:id="24" w:name="stage-1-awareness-bulan-1"/>
      <w:r>
        <w:t xml:space="preserve">Stage 1. Awareness (Bulan 1)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Tahu solusi chatbot multibahasa lokal yang ada di pasar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Walikota minta strategi AI; lihat showcase di event Smart 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Press release media Kompas/Detik; demo di Smart City Indonesia Expo; rekomendasi peer Kadis lain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Bingung pilih vendor — banyak janji manis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 yang dia konsumsi</w:t>
            </w:r>
          </w:p>
        </w:tc>
        <w:tc>
          <w:p>
            <w:pPr>
              <w:pStyle w:val="Compact"/>
              <w:jc w:val="left"/>
            </w:pPr>
            <w:r>
              <w:t xml:space="preserve">Whitepaper "Chatbot Pemda yang Lulus Audit BSSN"; case study singkat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MQL — Marketing Qualified Lead (mengisi form demo)</w:t>
            </w:r>
          </w:p>
        </w:tc>
      </w:tr>
    </w:tbl>
    <w:p>
      <w:pPr>
        <w:pStyle w:val="Heading3"/>
      </w:pPr>
      <w:bookmarkStart w:id="25" w:name="stage-2-consideration-bulan-24"/>
      <w:r>
        <w:t xml:space="preserve">Stage 2. Consideration (Bulan 2–4)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Yakin NusaLingua superior vs vendor lain; risk acceptable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Site visit + demo on-prem; presentation ke Sekda; ROI calculator custom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Banyak pihak internal harus di-convince (Sekda, Bappeda, Inspektorat)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TCO comparison vs OpenAI/vendor BUMN; compliance matrix BSSN/PDP; reference Pemkot lain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SQL — Sales Qualified Lead; proposal request</w:t>
            </w:r>
          </w:p>
        </w:tc>
      </w:tr>
    </w:tbl>
    <w:p>
      <w:pPr>
        <w:pStyle w:val="Heading3"/>
      </w:pPr>
      <w:bookmarkStart w:id="26" w:name="stage-3-trial-bulan-46"/>
      <w:r>
        <w:t xml:space="preserve">Stage 3. Trial (Bulan 4–6)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PoC (Proof of Concept) jalan di sandbox 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Setup PoC 1 bulan gratis di staging; weekly check-in; training operator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Tim internal butuh training; data internal belum bersih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Dashboard PoC menunjukkan resolution rate naik 25 %+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PoC success rate; conversion to commercial</w:t>
            </w:r>
          </w:p>
        </w:tc>
      </w:tr>
    </w:tbl>
    <w:p>
      <w:pPr>
        <w:pStyle w:val="Heading3"/>
      </w:pPr>
      <w:bookmarkStart w:id="27" w:name="stage-4-purchase-bulan-610"/>
      <w:r>
        <w:t xml:space="preserve">Stage 4. Purchase (Bulan 6–10)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Selesaikan tender / PBJ; tanda tangan kontrak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Dokumen tender lengkap (TKDN, KAK, RAB, sertifikasi); LKPP siap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Birokrasi PBJ lambat; harga harus masuk SBM; tender bisa di-protest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Sertifikat ISO; legal entity Indonesia; rekening BUMN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Won contract; nilai kontrak Rp 200jt–1M/tahun</w:t>
            </w:r>
          </w:p>
        </w:tc>
      </w:tr>
    </w:tbl>
    <w:p>
      <w:pPr>
        <w:pStyle w:val="Heading3"/>
      </w:pPr>
      <w:bookmarkStart w:id="28" w:name="stage-5-activation-bulan-1012"/>
      <w:r>
        <w:t xml:space="preserve">Stage 5. Activation (Bulan 10–12)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Chatbot live di portal pemkot; KPI mulai keangkat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team on-site 1 minggu; training 3 batch; runbook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Integrasi sistem legacy lambat; staff Diskominfo skeptis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Soft-launch internal → public launch dengan press conference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Time-to-first-message; CSAT internal; adoption rate Diskominfo</w:t>
            </w:r>
          </w:p>
        </w:tc>
      </w:tr>
    </w:tbl>
    <w:p>
      <w:pPr>
        <w:pStyle w:val="Heading3"/>
      </w:pPr>
      <w:bookmarkStart w:id="29" w:name="stage-6-renewal--expansion-tahun-ke-2"/>
      <w:r>
        <w:t xml:space="preserve">Stage 6. Renewal &amp; Expansion (Tahun ke-2+)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user</w:t>
            </w:r>
          </w:p>
        </w:tc>
        <w:tc>
          <w:p>
            <w:pPr>
              <w:pStyle w:val="Compact"/>
              <w:jc w:val="left"/>
            </w:pPr>
            <w:r>
              <w:t xml:space="preserve">Renewal kontrak; ekspansi ke layanan lain (e-samsat, dukcapil)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 kita</w:t>
            </w:r>
          </w:p>
        </w:tc>
        <w:tc>
          <w:p>
            <w:pPr>
              <w:pStyle w:val="Compact"/>
              <w:jc w:val="left"/>
            </w:pPr>
            <w:r>
              <w:t xml:space="preserve">Quarterly Business Review (QBR); roadmap aligning; case study publishing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Pergantian Walikota / Kadis bisa reset semua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p>
            <w:pPr>
              <w:pStyle w:val="Compact"/>
              <w:jc w:val="left"/>
            </w:pPr>
            <w:r>
              <w:t xml:space="preserve">Cross-sell: dari 1 layanan jadi 3-5 layanan; upsell premium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kita</w:t>
            </w:r>
          </w:p>
        </w:tc>
        <w:tc>
          <w:p>
            <w:pPr>
              <w:pStyle w:val="Compact"/>
              <w:jc w:val="left"/>
            </w:pPr>
            <w:r>
              <w:t xml:space="preserve">Net Revenue Retention (NRR) ≥ 120 %; reference customer aktif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journey-2--bu-sari-b2b-enterprise-bank"/>
      <w:r>
        <w:t xml:space="preserve">Journey 2 — Bu Sari (B2B Enterprise Bank)</w:t>
      </w:r>
      <w:bookmarkEnd w:id="30"/>
    </w:p>
    <w:p>
      <w:pPr>
        <w:pStyle w:val="FirstParagraph"/>
      </w:pPr>
      <w:r>
        <w:rPr>
          <w:b/>
        </w:rPr>
        <w:t xml:space="preserve">Total durasi</w:t>
      </w:r>
      <w:r>
        <w:t xml:space="preserve">: 4–8 bulan.</w:t>
      </w:r>
    </w:p>
    <w:p>
      <w:pPr>
        <w:pStyle w:val="Heading3"/>
      </w:pPr>
      <w:bookmarkStart w:id="31" w:name="stage-1-awareness-minggu-14"/>
      <w:r>
        <w:t xml:space="preserve">Stage 1. Awareness (Minggu 1–4)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Audit OJK temuan; pressure board; kompetitor launch fitur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LinkedIn thought-leadership; webinar AWS/FinTech Indonesia; warm intro VC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"Compliance-First LLM for Indonesian Banks"; analyst report (e.g. Gartner cool vendor)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MQL via LinkedIn ads + content download</w:t>
            </w:r>
          </w:p>
        </w:tc>
      </w:tr>
    </w:tbl>
    <w:p>
      <w:pPr>
        <w:pStyle w:val="Heading3"/>
      </w:pPr>
      <w:bookmarkStart w:id="32" w:name="stage-2-consideration-bulan-23"/>
      <w:r>
        <w:t xml:space="preserve">Stage 2. Consideration (Bulan 2–3)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Validate technical fit + security posture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Solution architect call; security questionnaire (SIG, CAIQ); demo bilingual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Architecture whitepaper; data flow diagram; SOC 2 readiness 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InfoSec team detailed scrutiny; legal MSA negotiation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Security questionnaire passed</w:t>
            </w:r>
          </w:p>
        </w:tc>
      </w:tr>
    </w:tbl>
    <w:p>
      <w:pPr>
        <w:pStyle w:val="Heading3"/>
      </w:pPr>
      <w:bookmarkStart w:id="33" w:name="stage-3-trial-bulan-34"/>
      <w:r>
        <w:t xml:space="preserve">Stage 3. Trial (Bulan 3–4)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Limited production pilot di 1 product line (e.g. credit card support)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Paid PoC Rp 75 jt (90 hari); A/B test vs incumbent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Metric: NPS pilot vs control, FCR, AHT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PoC NPS uplift ≥ 8 poin; FCR uplift ≥ 10 %</w:t>
            </w:r>
          </w:p>
        </w:tc>
      </w:tr>
    </w:tbl>
    <w:p>
      <w:pPr>
        <w:pStyle w:val="Heading3"/>
      </w:pPr>
      <w:bookmarkStart w:id="34" w:name="stage-4-purchase-bulan-45"/>
      <w:r>
        <w:t xml:space="preserve">Stage 4. Purchase (Bulan 4–5)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MSA + DPA + SLA signed; PO issued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Legal review (2-4 weeks); procurement; CISO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Detailed SLA (99.9 % uptime, p95 &lt; 800 ms); incident escalation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p>
            <w:pPr>
              <w:pStyle w:val="Compact"/>
              <w:jc w:val="left"/>
            </w:pPr>
            <w:r>
              <w:t xml:space="preserve">Rp 150-400 jt setup + Rp 80-200 jt/bulan subscription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Contract Annual Value (CAV) ≥ Rp 1M</w:t>
            </w:r>
          </w:p>
        </w:tc>
      </w:tr>
    </w:tbl>
    <w:p>
      <w:pPr>
        <w:pStyle w:val="Heading3"/>
      </w:pPr>
      <w:bookmarkStart w:id="35" w:name="stage-5-activation-bulan-57"/>
      <w:r>
        <w:t xml:space="preserve">Stage 5. Activation (Bulan 5–7)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Production rollout di multiple product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Dedicated Customer Success Manager; weekly call selama 90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Migration plan; phased rollout (10 % → 50 % → 100 %)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Time-to-Value (TTV) &lt; 60 hari; Production NPS lift ≥ 5</w:t>
            </w:r>
          </w:p>
        </w:tc>
      </w:tr>
    </w:tbl>
    <w:p>
      <w:pPr>
        <w:pStyle w:val="Heading3"/>
      </w:pPr>
      <w:bookmarkStart w:id="36" w:name="stage-6-renewal--expansion-year-2"/>
      <w:r>
        <w:t xml:space="preserve">Stage 6. Renewal &amp; Expansion (Year 2+)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Renewal multi-year + add use cases (lending, investment)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QBR with VP Operations; roadmap co-design; reference call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p>
            <w:pPr>
              <w:pStyle w:val="Compact"/>
              <w:jc w:val="left"/>
            </w:pPr>
            <w:r>
              <w:t xml:space="preserve">Multi-product line; voice channel; agent assist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NRR ≥ 130 %; multi-year contract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journey-3--mas-eko-umkm-self-serve"/>
      <w:r>
        <w:t xml:space="preserve">Journey 3 — Mas Eko (UMKM Self-serve)</w:t>
      </w:r>
      <w:bookmarkEnd w:id="37"/>
    </w:p>
    <w:p>
      <w:pPr>
        <w:pStyle w:val="FirstParagraph"/>
      </w:pPr>
      <w:r>
        <w:rPr>
          <w:b/>
        </w:rPr>
        <w:t xml:space="preserve">Total durasi</w:t>
      </w:r>
      <w:r>
        <w:t xml:space="preserve">: 1 hari–2 minggu (fast funnel).</w:t>
      </w:r>
    </w:p>
    <w:p>
      <w:pPr>
        <w:pStyle w:val="Heading3"/>
      </w:pPr>
      <w:bookmarkStart w:id="38" w:name="stage-1-awareness-hari-1"/>
      <w:r>
        <w:t xml:space="preserve">Stage 1. Awareness (Hari 1)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Lihat Reels Instagram / TikTok "Bot WA bahasa Jawa"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Konten edukasi 60 detik dengan use case batik Solo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Skeptis "AI" — banyak janji palsu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Sosmed organik + ads micro-targeted UMKM kota tier-2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Klik landing page; CPC &lt; Rp 2.000</w:t>
            </w:r>
          </w:p>
        </w:tc>
      </w:tr>
    </w:tbl>
    <w:p>
      <w:pPr>
        <w:pStyle w:val="Heading3"/>
      </w:pPr>
      <w:bookmarkStart w:id="39" w:name="stage-2-consideration-hari-13"/>
      <w:r>
        <w:t xml:space="preserve">Stage 2. Consideration (Hari 1–3)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Yakin ini beda (paham bahasa Jawa beneran)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Landing page dengan demo live preview tanpa signup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Video testimoni UMKM lain; preview output bahasa Jawa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Trust issue — takut data toko bocor; takut bayar duluan tanpa coba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Signup rate ≥ 5 % visitor</w:t>
            </w:r>
          </w:p>
        </w:tc>
      </w:tr>
    </w:tbl>
    <w:p>
      <w:pPr>
        <w:pStyle w:val="Heading3"/>
      </w:pPr>
      <w:bookmarkStart w:id="40" w:name="stage-3-trial-hari-17"/>
      <w:r>
        <w:t xml:space="preserve">Stage 3. Trial (Hari 1–7)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Setup bot WA pertama dalam &lt; 10 menit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Onboarding wizard 5 langkah; chatbot Studio drag-and-drop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p>
            <w:pPr>
              <w:pStyle w:val="Compact"/>
              <w:jc w:val="left"/>
            </w:pPr>
            <w:r>
              <w:t xml:space="preserve">100 pesan/bulan, 1 bot, 2 bahasa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Stuck di integrasi WA Business API (manual setup)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YouTube tutorial step-by-step + WhatsApp support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Activation rate (bot publish ≤ 24 jam): ≥ 40 %</w:t>
            </w:r>
          </w:p>
        </w:tc>
      </w:tr>
    </w:tbl>
    <w:p>
      <w:pPr>
        <w:pStyle w:val="Heading3"/>
      </w:pPr>
      <w:bookmarkStart w:id="41" w:name="stage-4-purchase-hari-714"/>
      <w:r>
        <w:t xml:space="preserve">Stage 4. Purchase (Hari 7–14)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Upgrade dari Free ke Starter (Rp 99rb/bulan)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Limit 100 pesan tercapai; lihat ROI nyata (order naik)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In-app upgrade modal; reminder email; preview "kalau upgrade kamu hemat X jam/minggu"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p>
            <w:pPr>
              <w:pStyle w:val="Compact"/>
              <w:jc w:val="left"/>
            </w:pPr>
            <w:r>
              <w:t xml:space="preserve">Starter Rp 99rb, Pro Rp 299rb, Business Rp 799rb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Bayar via QRIS / Dana / GoPay (bukan kartu kredit)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Free-to-paid conversion: ≥ 8 % dalam 14 hari</w:t>
            </w:r>
          </w:p>
        </w:tc>
      </w:tr>
    </w:tbl>
    <w:p>
      <w:pPr>
        <w:pStyle w:val="Heading3"/>
      </w:pPr>
      <w:bookmarkStart w:id="42" w:name="stage-5-activation-minggu-24"/>
      <w:r>
        <w:t xml:space="preserve">Stage 5. Activation (Minggu 2–4)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Bot jalan 24/7 menjawab pelanggan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Weekly digest email "kamu sudah jawab 1.234 pesan minggu ini, hemat 18 jam"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Komunitas Telegram grup UMKM NusaLingua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Weekly active bot ≥ 80 % paid users</w:t>
            </w:r>
          </w:p>
        </w:tc>
      </w:tr>
    </w:tbl>
    <w:p>
      <w:pPr>
        <w:pStyle w:val="Heading3"/>
      </w:pPr>
      <w:bookmarkStart w:id="43" w:name="stage-6-renewal--expansion"/>
      <w:r>
        <w:t xml:space="preserve">Stage 6. Renewal &amp; Expansion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Tetap subscribe + add bot kedua (e.g. customer service vs sales bot)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Loyalty tier (3 bulan, 6 bulan, 12 bulan discount)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p>
            <w:pPr>
              <w:pStyle w:val="Compact"/>
              <w:jc w:val="left"/>
            </w:pPr>
            <w:r>
              <w:t xml:space="preserve">Up-tier Pro/Business; multi-bot; voice add-on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Logo retention ≥ 70 % per 12 bulan; ARPU growth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journey-4--andre-developer--api"/>
      <w:r>
        <w:t xml:space="preserve">Journey 4 — Andre (Developer / API)</w:t>
      </w:r>
      <w:bookmarkEnd w:id="44"/>
    </w:p>
    <w:p>
      <w:pPr>
        <w:pStyle w:val="FirstParagraph"/>
      </w:pPr>
      <w:r>
        <w:rPr>
          <w:b/>
        </w:rPr>
        <w:t xml:space="preserve">Total durasi</w:t>
      </w:r>
      <w:r>
        <w:t xml:space="preserve">: 30 menit–2 minggu.</w:t>
      </w:r>
    </w:p>
    <w:p>
      <w:pPr>
        <w:pStyle w:val="Heading3"/>
      </w:pPr>
      <w:bookmarkStart w:id="45" w:name="stage-1-awareness-menit-1"/>
      <w:r>
        <w:t xml:space="preserve">Stage 1. Awareness (Menit 1)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Tweet developer Indonesia; spike OpenAI bill; lihat di Product Hunt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Twitter / X thread; GitHub README dengan demo gif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Quickstart 5 menit; benchmark vs OpenAI (latency + price)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GitHub stars; landing page CTR</w:t>
            </w:r>
          </w:p>
        </w:tc>
      </w:tr>
    </w:tbl>
    <w:p>
      <w:pPr>
        <w:pStyle w:val="Heading3"/>
      </w:pPr>
      <w:bookmarkStart w:id="46" w:name="stage-2-consideration-menit-130"/>
      <w:r>
        <w:t xml:space="preserve">Stage 2. Consideration (Menit 1–30)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Yakin API kualitas + kompatibel + cheap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API playground (no signup); docs side-by-side dengan OpenAI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Benchmark Bahasa Bali/Sasak quality; pricing calculator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"Vendor lock-in" + dokumentasi membingungkan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Playground execution → signup rate ≥ 25 %</w:t>
            </w:r>
          </w:p>
        </w:tc>
      </w:tr>
    </w:tbl>
    <w:p>
      <w:pPr>
        <w:pStyle w:val="Heading3"/>
      </w:pPr>
      <w:bookmarkStart w:id="47" w:name="stage-3-trial-menit-30hari-7"/>
      <w:r>
        <w:t xml:space="preserve">Stage 3. Trial (Menit 30–Hari 7)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Integrate API ke side-project, lihat hasil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Free credit Rp 50rb (tanpa kartu kredit); SDK Node/Python npm install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</w:t>
            </w:r>
          </w:p>
        </w:tc>
        <w:tc>
          <w:p>
            <w:pPr>
              <w:pStyle w:val="Compact"/>
              <w:jc w:val="left"/>
            </w:pPr>
            <w:r>
              <w:t xml:space="preserve">Discord channel real-time support; cookbook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Edge case di bahasa daerah → butuh dev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First API call &lt; 24 jam dari signup; weekly active dev</w:t>
            </w:r>
          </w:p>
        </w:tc>
      </w:tr>
    </w:tbl>
    <w:p>
      <w:pPr>
        <w:pStyle w:val="Heading3"/>
      </w:pPr>
      <w:bookmarkStart w:id="48" w:name="stage-4-purchase-hari-714-1"/>
      <w:r>
        <w:t xml:space="preserve">Stage 4. Purchase (Hari 7–14)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Add billing card / top-up; production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Free credit habis; project deadline mendekat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Stripe / Xendit billing; pricing transparent per 1M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p>
            <w:pPr>
              <w:pStyle w:val="Compact"/>
              <w:jc w:val="left"/>
            </w:pPr>
            <w:r>
              <w:t xml:space="preserve">Pay-as-you-go: Rp 5/1K input token, Rp 15/1K output (50 % lebih murah dari OpenAI)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Free-to-paid: ≥ 15 % dalam 30 hari</w:t>
            </w:r>
          </w:p>
        </w:tc>
      </w:tr>
    </w:tbl>
    <w:p>
      <w:pPr>
        <w:pStyle w:val="Heading3"/>
      </w:pPr>
      <w:bookmarkStart w:id="49" w:name="stage-5-activation-bulan-13"/>
      <w:r>
        <w:t xml:space="preserve">Stage 5. Activation (Bulan 1–3)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Produksi stable; trafik naik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Status page; monthly usage report; rate limit alert proactive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p>
            <w:pPr>
              <w:pStyle w:val="Compact"/>
              <w:jc w:val="left"/>
            </w:pPr>
            <w:r>
              <w:t xml:space="preserve">Latency spike di peak hour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Monthly Active Developer (MAD); Token volume</w:t>
            </w:r>
          </w:p>
        </w:tc>
      </w:tr>
    </w:tbl>
    <w:p>
      <w:pPr>
        <w:pStyle w:val="Heading3"/>
      </w:pPr>
      <w:bookmarkStart w:id="50" w:name="stage-6-renewal--expansion-1"/>
      <w:r>
        <w:t xml:space="preserve">Stage 6. Renewal &amp; Expansion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Stay + expand ke voice API + fine-tuning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p>
            <w:pPr>
              <w:pStyle w:val="Compact"/>
              <w:jc w:val="left"/>
            </w:pPr>
            <w:r>
              <w:t xml:space="preserve">Volume discount tier (Tier 1-4 berdasarkan monthly spend)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Expansion</w:t>
            </w:r>
          </w:p>
        </w:tc>
        <w:tc>
          <w:p>
            <w:pPr>
              <w:pStyle w:val="Compact"/>
              <w:jc w:val="left"/>
            </w:pPr>
            <w:r>
              <w:t xml:space="preserve">Voice WebRTC; custom model fine-tune; team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Net token volume growth; multi-product attach 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ross-journey-metric-summary"/>
      <w:r>
        <w:t xml:space="preserve">Cross-Journey Metric Summary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Pak Bambang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 Sari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 Eko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Andre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Cycle length</w:t>
            </w:r>
          </w:p>
        </w:tc>
        <w:tc>
          <w:p>
            <w:pPr>
              <w:pStyle w:val="Compact"/>
              <w:jc w:val="left"/>
            </w:pPr>
            <w:r>
              <w:t xml:space="preserve">6-14 bulan</w:t>
            </w:r>
          </w:p>
        </w:tc>
        <w:tc>
          <w:p>
            <w:pPr>
              <w:pStyle w:val="Compact"/>
              <w:jc w:val="left"/>
            </w:pPr>
            <w:r>
              <w:t xml:space="preserve">4-8 bulan</w:t>
            </w:r>
          </w:p>
        </w:tc>
        <w:tc>
          <w:p>
            <w:pPr>
              <w:pStyle w:val="Compact"/>
              <w:jc w:val="left"/>
            </w:pPr>
            <w:r>
              <w:t xml:space="preserve">1-14 hari</w:t>
            </w:r>
          </w:p>
        </w:tc>
        <w:tc>
          <w:p>
            <w:pPr>
              <w:pStyle w:val="Compact"/>
              <w:jc w:val="left"/>
            </w:pPr>
            <w:r>
              <w:t xml:space="preserve">30 menit-14 hari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 budget</w:t>
            </w:r>
          </w:p>
        </w:tc>
        <w:tc>
          <w:p>
            <w:pPr>
              <w:pStyle w:val="Compact"/>
              <w:jc w:val="left"/>
            </w:pPr>
            <w:r>
              <w:t xml:space="preserve">Rp 30jt</w:t>
            </w:r>
          </w:p>
        </w:tc>
        <w:tc>
          <w:p>
            <w:pPr>
              <w:pStyle w:val="Compact"/>
              <w:jc w:val="left"/>
            </w:pPr>
            <w:r>
              <w:t xml:space="preserve">Rp 15jt</w:t>
            </w:r>
          </w:p>
        </w:tc>
        <w:tc>
          <w:p>
            <w:pPr>
              <w:pStyle w:val="Compact"/>
              <w:jc w:val="left"/>
            </w:pPr>
            <w:r>
              <w:t xml:space="preserve">Rp 50rb</w:t>
            </w:r>
          </w:p>
        </w:tc>
        <w:tc>
          <w:p>
            <w:pPr>
              <w:pStyle w:val="Compact"/>
              <w:jc w:val="left"/>
            </w:pPr>
            <w:r>
              <w:t xml:space="preserve">Rp 25rb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Avg deal size (Y1)</w:t>
            </w:r>
          </w:p>
        </w:tc>
        <w:tc>
          <w:p>
            <w:pPr>
              <w:pStyle w:val="Compact"/>
              <w:jc w:val="left"/>
            </w:pPr>
            <w:r>
              <w:t xml:space="preserve">Rp 400jt</w:t>
            </w:r>
          </w:p>
        </w:tc>
        <w:tc>
          <w:p>
            <w:pPr>
              <w:pStyle w:val="Compact"/>
              <w:jc w:val="left"/>
            </w:pPr>
            <w:r>
              <w:t xml:space="preserve">Rp 1,2 M</w:t>
            </w:r>
          </w:p>
        </w:tc>
        <w:tc>
          <w:p>
            <w:pPr>
              <w:pStyle w:val="Compact"/>
              <w:jc w:val="left"/>
            </w:pPr>
            <w:r>
              <w:t xml:space="preserve">Rp 1,2jt</w:t>
            </w:r>
          </w:p>
        </w:tc>
        <w:tc>
          <w:p>
            <w:pPr>
              <w:pStyle w:val="Compact"/>
              <w:jc w:val="left"/>
            </w:pPr>
            <w:r>
              <w:t xml:space="preserve">Rp 2,4jt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LTV target</w:t>
            </w:r>
          </w:p>
        </w:tc>
        <w:tc>
          <w:p>
            <w:pPr>
              <w:pStyle w:val="Compact"/>
              <w:jc w:val="left"/>
            </w:pPr>
            <w:r>
              <w:t xml:space="preserve">Rp 1,8 M</w:t>
            </w:r>
          </w:p>
        </w:tc>
        <w:tc>
          <w:p>
            <w:pPr>
              <w:pStyle w:val="Compact"/>
              <w:jc w:val="left"/>
            </w:pPr>
            <w:r>
              <w:t xml:space="preserve">Rp 6 M</w:t>
            </w:r>
          </w:p>
        </w:tc>
        <w:tc>
          <w:p>
            <w:pPr>
              <w:pStyle w:val="Compact"/>
              <w:jc w:val="left"/>
            </w:pPr>
            <w:r>
              <w:t xml:space="preserve">Rp 4jt</w:t>
            </w:r>
          </w:p>
        </w:tc>
        <w:tc>
          <w:p>
            <w:pPr>
              <w:pStyle w:val="Compact"/>
              <w:jc w:val="left"/>
            </w:pPr>
            <w:r>
              <w:t xml:space="preserve">Rp 18jt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LTV/CAC ratio</w:t>
            </w:r>
          </w:p>
        </w:tc>
        <w:tc>
          <w:p>
            <w:pPr>
              <w:pStyle w:val="Compact"/>
              <w:jc w:val="left"/>
            </w:pPr>
            <w:r>
              <w:t xml:space="preserve">60×</w:t>
            </w:r>
          </w:p>
        </w:tc>
        <w:tc>
          <w:p>
            <w:pPr>
              <w:pStyle w:val="Compact"/>
              <w:jc w:val="left"/>
            </w:pPr>
            <w:r>
              <w:t xml:space="preserve">400×</w:t>
            </w:r>
          </w:p>
        </w:tc>
        <w:tc>
          <w:p>
            <w:pPr>
              <w:pStyle w:val="Compact"/>
              <w:jc w:val="left"/>
            </w:pPr>
            <w:r>
              <w:t xml:space="preserve">80×</w:t>
            </w:r>
          </w:p>
        </w:tc>
        <w:tc>
          <w:p>
            <w:pPr>
              <w:pStyle w:val="Compact"/>
              <w:jc w:val="left"/>
            </w:pPr>
            <w:r>
              <w:t xml:space="preserve">720×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Conversion bottleneck</w:t>
            </w:r>
          </w:p>
        </w:tc>
        <w:tc>
          <w:p>
            <w:pPr>
              <w:pStyle w:val="Compact"/>
              <w:jc w:val="left"/>
            </w:pPr>
            <w:r>
              <w:t xml:space="preserve">PBJ birokrasi</w:t>
            </w:r>
          </w:p>
        </w:tc>
        <w:tc>
          <w:p>
            <w:pPr>
              <w:pStyle w:val="Compact"/>
              <w:jc w:val="left"/>
            </w:pPr>
            <w:r>
              <w:t xml:space="preserve">InfoSec review</w:t>
            </w:r>
          </w:p>
        </w:tc>
        <w:tc>
          <w:p>
            <w:pPr>
              <w:pStyle w:val="Compact"/>
              <w:jc w:val="left"/>
            </w:pPr>
            <w:r>
              <w:t xml:space="preserve">Activation &lt; 24jam</w:t>
            </w:r>
          </w:p>
        </w:tc>
        <w:tc>
          <w:p>
            <w:pPr>
              <w:pStyle w:val="Compact"/>
              <w:jc w:val="left"/>
            </w:pPr>
            <w:r>
              <w:t xml:space="preserve">First API call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strategi-gtm-berlapis"/>
      <w:r>
        <w:t xml:space="preserve">Strategi GTM Berlapis</w:t>
      </w:r>
      <w:bookmarkEnd w:id="52"/>
    </w:p>
    <w:p>
      <w:pPr>
        <w:pStyle w:val="FirstParagraph"/>
      </w:pPr>
      <w:r>
        <w:t xml:space="preserve">Dari journey map ini, urutan GTM yang masuk akal: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Bulan 1–6</w:t>
      </w:r>
      <w:r>
        <w:t xml:space="preserve">: Fokus</w:t>
      </w:r>
      <w:r>
        <w:t xml:space="preserve"> </w:t>
      </w:r>
      <w:r>
        <w:rPr>
          <w:b/>
        </w:rPr>
        <w:t xml:space="preserve">Andre + Mas Eko</w:t>
      </w:r>
      <w:r>
        <w:t xml:space="preserve"> </w:t>
      </w:r>
      <w:r>
        <w:t xml:space="preserve">(self-serve, cycle pendek, modal CAC rendah) — bangun brand + community + revenue runway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Bulan 4–12</w:t>
      </w:r>
      <w:r>
        <w:t xml:space="preserve">: Mulai</w:t>
      </w:r>
      <w:r>
        <w:t xml:space="preserve"> </w:t>
      </w:r>
      <w:r>
        <w:rPr>
          <w:b/>
        </w:rPr>
        <w:t xml:space="preserve">Bu Sari</w:t>
      </w:r>
      <w:r>
        <w:t xml:space="preserve"> </w:t>
      </w:r>
      <w:r>
        <w:t xml:space="preserve">(B2B enterprise) dengan case study dari Andre/Eko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Bulan 6–18</w:t>
      </w:r>
      <w:r>
        <w:t xml:space="preserve">:</w:t>
      </w:r>
      <w:r>
        <w:t xml:space="preserve"> </w:t>
      </w:r>
      <w:r>
        <w:rPr>
          <w:b/>
        </w:rPr>
        <w:t xml:space="preserve">Pak Bambang</w:t>
      </w:r>
      <w:r>
        <w:t xml:space="preserve"> </w:t>
      </w:r>
      <w:r>
        <w:t xml:space="preserve">(B2G) pakai testimoni B2B + dukungan Kominfo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Bulan 18+</w:t>
      </w:r>
      <w:r>
        <w:t xml:space="preserve">: Ekspansi ASEAN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Customer journey ini hypothesis. Update setelah ada minimal 10 win/loss per persona.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PERSONA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/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2026-05-25T07:53:59Z</dcterms:created>
  <dcterms:modified xsi:type="dcterms:W3CDTF">2026-05-25T07:53:59Z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