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usalingua--pilar-trust--compliance"/>
      <w:r>
        <w:t xml:space="preserve">NusaLingua — Pilar Trust &amp; Compliance</w:t>
      </w:r>
      <w:bookmarkEnd w:id="20"/>
    </w:p>
    <w:p>
      <w:pPr>
        <w:pStyle w:val="BlockText"/>
      </w:pPr>
      <w:r>
        <w:t xml:space="preserve">Pilar ke-6 di proses bisnis NusaLingua (melengkapi 5 pilar di</w:t>
      </w:r>
      <w:r>
        <w:t xml:space="preserve"> </w:t>
      </w:r>
      <w:hyperlink r:id="rId21">
        <w:r>
          <w:rPr>
            <w:rStyle w:val="Hyperlink"/>
          </w:rPr>
          <w:t xml:space="preserve">SWOT-BusinessProcess</w:t>
        </w:r>
      </w:hyperlink>
      <w:r>
        <w:t xml:space="preserve">). Compliance bukan beban — ini moat kompetitif terhadap vendor asing.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NSL-STR-003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CTO + Legal/Compliance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 Review</w:t>
            </w:r>
          </w:p>
        </w:tc>
        <w:tc>
          <w:p>
            <w:pPr>
              <w:pStyle w:val="Compact"/>
              <w:jc w:val="left"/>
            </w:pPr>
            <w:r>
              <w:t xml:space="preserve">2026-05-25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d4e5048450b276b1aec224f681c88d0ad0d1623"/>
      <w:r>
        <w:t xml:space="preserve">1. Mengapa Compliance = Moat</w:t>
      </w:r>
      <w:bookmarkEnd w:id="22"/>
    </w:p>
    <w:p>
      <w:pPr>
        <w:pStyle w:val="FirstParagraph"/>
      </w:pPr>
      <w:r>
        <w:t xml:space="preserve">Vendor asing (OpenAI, Anthropic)</w:t>
      </w:r>
      <w:r>
        <w:t xml:space="preserve"> </w:t>
      </w:r>
      <w:r>
        <w:rPr>
          <w:b/>
        </w:rPr>
        <w:t xml:space="preserve">tidak bisa</w:t>
      </w:r>
      <w:r>
        <w:t xml:space="preserve"> </w:t>
      </w:r>
      <w:r>
        <w:t xml:space="preserve">memenuhi 3 hal sekaligus:</w:t>
      </w:r>
    </w:p>
    <w:p>
      <w:pPr>
        <w:numPr>
          <w:ilvl w:val="0"/>
          <w:numId w:val="1001"/>
        </w:numPr>
        <w:pStyle w:val="Compact"/>
      </w:pPr>
      <w:r>
        <w:t xml:space="preserve">Data residency 100 % di Indonesia (UU PDP)</w:t>
      </w:r>
    </w:p>
    <w:p>
      <w:pPr>
        <w:numPr>
          <w:ilvl w:val="0"/>
          <w:numId w:val="1001"/>
        </w:numPr>
        <w:pStyle w:val="Compact"/>
      </w:pPr>
      <w:r>
        <w:t xml:space="preserve">Audit on-prem oleh BSSN</w:t>
      </w:r>
    </w:p>
    <w:p>
      <w:pPr>
        <w:numPr>
          <w:ilvl w:val="0"/>
          <w:numId w:val="1001"/>
        </w:numPr>
        <w:pStyle w:val="Compact"/>
      </w:pPr>
      <w:r>
        <w:t xml:space="preserve">Bahasa daerah Nusantara native quality</w:t>
      </w:r>
    </w:p>
    <w:p>
      <w:pPr>
        <w:pStyle w:val="FirstParagraph"/>
      </w:pPr>
      <w:r>
        <w:t xml:space="preserve">NusaLingua bisa =</w:t>
      </w:r>
      <w:r>
        <w:t xml:space="preserve"> </w:t>
      </w:r>
      <w:r>
        <w:rPr>
          <w:b/>
        </w:rPr>
        <w:t xml:space="preserve">monopoli niche</w:t>
      </w:r>
      <w:r>
        <w:t xml:space="preserve"> </w:t>
      </w:r>
      <w:r>
        <w:t xml:space="preserve">untuk segmen B2G + bank teratur.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65cba4035459851cdb2efca8b18525548127d95"/>
      <w:r>
        <w:t xml:space="preserve">2. Regulasi yang Relevan</w:t>
      </w:r>
      <w:bookmarkEnd w:id="23"/>
    </w:p>
    <w:p>
      <w:pPr>
        <w:pStyle w:val="Heading3"/>
      </w:pPr>
      <w:bookmarkStart w:id="24" w:name="X544aab075181b594ae6605b7ddd25fcf2bc5346"/>
      <w:r>
        <w:t xml:space="preserve">2.1 UU No. 27 Tahun 2022 — Pelindungan Data Pribadi (UU PDP)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Implikasi untuk NusaLingua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kepatuhan kita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Pasal 16-18: Hak subjek data</w:t>
            </w:r>
          </w:p>
        </w:tc>
        <w:tc>
          <w:p>
            <w:pPr>
              <w:pStyle w:val="Compact"/>
              <w:jc w:val="left"/>
            </w:pPr>
            <w:r>
              <w:t xml:space="preserve">User bisa akses, koreksi, hapus, portable data</w:t>
            </w:r>
          </w:p>
        </w:tc>
        <w:tc>
          <w:p>
            <w:pPr>
              <w:pStyle w:val="Compact"/>
              <w:jc w:val="left"/>
            </w:pPr>
            <w:r>
              <w:t xml:space="preserve">✅ MVP support delete cascade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Pasal 20-26: Kewajiban controller</w:t>
            </w:r>
          </w:p>
        </w:tc>
        <w:tc>
          <w:p>
            <w:pPr>
              <w:pStyle w:val="Compact"/>
              <w:jc w:val="left"/>
            </w:pPr>
            <w:r>
              <w:t xml:space="preserve">Lawful basis, transparansi, akurasi</w:t>
            </w:r>
          </w:p>
        </w:tc>
        <w:tc>
          <w:p>
            <w:pPr>
              <w:pStyle w:val="Compact"/>
              <w:jc w:val="left"/>
            </w:pPr>
            <w:r>
              <w:t xml:space="preserve">✅ Privacy Policy + Consent 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Pasal 31: Cross-border transfer</w:t>
            </w:r>
          </w:p>
        </w:tc>
        <w:tc>
          <w:p>
            <w:pPr>
              <w:pStyle w:val="Compact"/>
              <w:jc w:val="left"/>
            </w:pPr>
            <w:r>
              <w:t xml:space="preserve">Hanya ke negara dengan tingkat perlindungan setara</w:t>
            </w:r>
          </w:p>
        </w:tc>
        <w:tc>
          <w:p>
            <w:pPr>
              <w:pStyle w:val="Compact"/>
              <w:jc w:val="left"/>
            </w:pPr>
            <w:r>
              <w:t xml:space="preserve">⏳ Default Indonesia-only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Pasal 35: Notifikasi pelanggaran</w:t>
            </w:r>
          </w:p>
        </w:tc>
        <w:tc>
          <w:p>
            <w:pPr>
              <w:pStyle w:val="Compact"/>
              <w:jc w:val="left"/>
            </w:pPr>
            <w:r>
              <w:t xml:space="preserve">3×24 jam ke Lembaga PDP + subjek</w:t>
            </w:r>
          </w:p>
        </w:tc>
        <w:tc>
          <w:p>
            <w:pPr>
              <w:pStyle w:val="Compact"/>
              <w:jc w:val="left"/>
            </w:pPr>
            <w:r>
              <w:t xml:space="preserve">⏳ Incident response runbook 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Pasal 53: Sanksi administratif</w:t>
            </w:r>
          </w:p>
        </w:tc>
        <w:tc>
          <w:p>
            <w:pPr>
              <w:pStyle w:val="Compact"/>
              <w:jc w:val="left"/>
            </w:pPr>
            <w:r>
              <w:t xml:space="preserve">Hingga 2 % omzet tahunan</w:t>
            </w:r>
          </w:p>
        </w:tc>
        <w:tc>
          <w:p>
            <w:pPr>
              <w:pStyle w:val="Compact"/>
              <w:jc w:val="left"/>
            </w:pPr>
            <w:r>
              <w:t xml:space="preserve">⚠️ Insurance E&amp;O dijaga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Pasal 67-73: Sanksi pidana</w:t>
            </w:r>
          </w:p>
        </w:tc>
        <w:tc>
          <w:p>
            <w:pPr>
              <w:pStyle w:val="Compact"/>
              <w:jc w:val="left"/>
            </w:pPr>
            <w:r>
              <w:t xml:space="preserve">Hingga 6 tahun penjara + denda 6 M</w:t>
            </w:r>
          </w:p>
        </w:tc>
        <w:tc>
          <w:p>
            <w:pPr>
              <w:pStyle w:val="Compact"/>
              <w:jc w:val="left"/>
            </w:pPr>
            <w:r>
              <w:t xml:space="preserve">⚠️ Compliance officer wajib</w:t>
            </w:r>
          </w:p>
        </w:tc>
      </w:tr>
    </w:tbl>
    <w:p>
      <w:pPr>
        <w:pStyle w:val="BodyText"/>
      </w:pPr>
      <w:r>
        <w:rPr>
          <w:b/>
        </w:rPr>
        <w:t xml:space="preserve">Tindak lanjut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DPO (Data Protection Officer) wajib ditunjuk bulan 6 (saat user &gt; 10rb)</w:t>
      </w:r>
    </w:p>
    <w:p>
      <w:pPr>
        <w:numPr>
          <w:ilvl w:val="0"/>
          <w:numId w:val="1002"/>
        </w:numPr>
        <w:pStyle w:val="Compact"/>
      </w:pPr>
      <w:r>
        <w:t xml:space="preserve">DPIA (Data Protection Impact Assessment) untuk fitur high-risk: voice transcript, fine-tune</w:t>
      </w:r>
    </w:p>
    <w:p>
      <w:pPr>
        <w:numPr>
          <w:ilvl w:val="0"/>
          <w:numId w:val="1002"/>
        </w:numPr>
        <w:pStyle w:val="Compact"/>
      </w:pPr>
      <w:r>
        <w:t xml:space="preserve">DPA (Data Processing Agreement) template ready untuk B2B/B2G</w:t>
      </w:r>
    </w:p>
    <w:p>
      <w:pPr>
        <w:pStyle w:val="Heading3"/>
      </w:pPr>
      <w:bookmarkStart w:id="25" w:name="Xe60ecdf35616a18ee13d0640c58af1b54016da8"/>
      <w:r>
        <w:t xml:space="preserve">2.2 Perpres No. 68/2024 — Strategi Kecerdasan Buatan Nasional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Klausul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Implikasi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Prioritas AI berbahasa Indonesia</w:t>
            </w:r>
          </w:p>
        </w:tc>
        <w:tc>
          <w:p>
            <w:pPr>
              <w:pStyle w:val="Compact"/>
              <w:jc w:val="left"/>
            </w:pPr>
            <w:r>
              <w:t xml:space="preserve">NusaLingua eligible untuk dukungan pemerintah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Kedaulatan data</w:t>
            </w:r>
          </w:p>
        </w:tc>
        <w:tc>
          <w:p>
            <w:pPr>
              <w:pStyle w:val="Compact"/>
              <w:jc w:val="left"/>
            </w:pPr>
            <w:r>
              <w:t xml:space="preserve">On-prem option wajib untuk klien B2G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Pengembangan ekosistem</w:t>
            </w:r>
          </w:p>
        </w:tc>
        <w:tc>
          <w:p>
            <w:pPr>
              <w:pStyle w:val="Compact"/>
              <w:jc w:val="left"/>
            </w:pPr>
            <w:r>
              <w:t xml:space="preserve">Open-source release komponen non-core</w:t>
            </w:r>
          </w:p>
        </w:tc>
      </w:tr>
    </w:tbl>
    <w:p>
      <w:pPr>
        <w:pStyle w:val="Heading3"/>
      </w:pPr>
      <w:bookmarkStart w:id="26" w:name="Xba61633d7f47dd01cb04d21efd58282c7038199"/>
      <w:r>
        <w:t xml:space="preserve">2.3 Permenkominfo No. 5/2020 — PSE Lingkup Privat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Klausul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Implikasi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Pendaftaran PSE</w:t>
            </w:r>
          </w:p>
        </w:tc>
        <w:tc>
          <w:p>
            <w:pPr>
              <w:pStyle w:val="Compact"/>
              <w:jc w:val="left"/>
            </w:pPr>
            <w:r>
              <w:t xml:space="preserve">NusaLingua wajib daftar saat layanan komersial (Bulan 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Take-down 24 jam (4 jam untuk darurat)</w:t>
            </w:r>
          </w:p>
        </w:tc>
        <w:tc>
          <w:p>
            <w:pPr>
              <w:pStyle w:val="Compact"/>
              <w:jc w:val="left"/>
            </w:pPr>
            <w:r>
              <w:t xml:space="preserve">SOP konten moderasi 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Akses ke data oleh penegak hukum</w:t>
            </w:r>
          </w:p>
        </w:tc>
        <w:tc>
          <w:p>
            <w:pPr>
              <w:pStyle w:val="Compact"/>
              <w:jc w:val="left"/>
            </w:pPr>
            <w:r>
              <w:t xml:space="preserve">Legal request playbook</w:t>
            </w:r>
          </w:p>
        </w:tc>
      </w:tr>
    </w:tbl>
    <w:p>
      <w:pPr>
        <w:pStyle w:val="Heading3"/>
      </w:pPr>
      <w:bookmarkStart w:id="27" w:name="X837b523ffce38bd981fbe9026f1ee26b7e70790"/>
      <w:r>
        <w:t xml:space="preserve">2.4 POJK 11/POJK.03/2022 — Penyelenggaraan Teknologi Informasi Bank Umum</w:t>
      </w:r>
      <w:bookmarkEnd w:id="27"/>
    </w:p>
    <w:p>
      <w:pPr>
        <w:pStyle w:val="FirstParagraph"/>
      </w:pPr>
      <w:r>
        <w:t xml:space="preserve">Berlaku untuk klien Bu Sari: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Klausul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Implikasi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TKO (Teknologi Kritis &amp; Operasional)</w:t>
            </w:r>
          </w:p>
        </w:tc>
        <w:tc>
          <w:p>
            <w:pPr>
              <w:pStyle w:val="Compact"/>
              <w:jc w:val="left"/>
            </w:pPr>
            <w:r>
              <w:t xml:space="preserve">Penyedia layanan kritis perbankan butuh sertifikat OJK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 assessment vendor</w:t>
            </w:r>
          </w:p>
        </w:tc>
        <w:tc>
          <w:p>
            <w:pPr>
              <w:pStyle w:val="Compact"/>
              <w:jc w:val="left"/>
            </w:pPr>
            <w:r>
              <w:t xml:space="preserve">Klien bank wajib due-diligence NusaLingua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Disaster Recovery</w:t>
            </w:r>
          </w:p>
        </w:tc>
        <w:tc>
          <w:p>
            <w:pPr>
              <w:pStyle w:val="Compact"/>
              <w:jc w:val="left"/>
            </w:pPr>
            <w:r>
              <w:t xml:space="preserve">RTO ≤ 4 jam, RPO ≤ 1 jam</w:t>
            </w:r>
          </w:p>
        </w:tc>
      </w:tr>
    </w:tbl>
    <w:p>
      <w:pPr>
        <w:pStyle w:val="Heading3"/>
      </w:pPr>
      <w:bookmarkStart w:id="28" w:name="X8f642689592e7703fcb62fc59e5466a0b01f588"/>
      <w:r>
        <w:t xml:space="preserve">2.5 BSSN — Standar Pengamanan Siber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Sandi/kripto SNI 7873/8369</w:t>
            </w:r>
          </w:p>
        </w:tc>
        <w:tc>
          <w:p>
            <w:pPr>
              <w:pStyle w:val="Compact"/>
              <w:jc w:val="left"/>
            </w:pPr>
            <w:r>
              <w:t xml:space="preserve">TLS 1.3 + at-rest AES-256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Sertifikasi ITSE (Indonesia Trusted Security Evaluation)</w:t>
            </w:r>
          </w:p>
        </w:tc>
        <w:tc>
          <w:p>
            <w:pPr>
              <w:pStyle w:val="Compact"/>
              <w:jc w:val="left"/>
            </w:pPr>
            <w:r>
              <w:t xml:space="preserve">Untuk produk B2G strategis</w:t>
            </w:r>
          </w:p>
        </w:tc>
        <w:tc>
          <w:p>
            <w:pPr>
              <w:pStyle w:val="Compact"/>
              <w:jc w:val="left"/>
            </w:pPr>
            <w:r>
              <w:t xml:space="preserve">⏳ Roadmap bulan 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ISO/IEC 27001</w:t>
            </w:r>
          </w:p>
        </w:tc>
        <w:tc>
          <w:p>
            <w:pPr>
              <w:pStyle w:val="Compact"/>
              <w:jc w:val="left"/>
            </w:pPr>
            <w:r>
              <w:t xml:space="preserve">Sistem manajemen keamanan info</w:t>
            </w:r>
          </w:p>
        </w:tc>
        <w:tc>
          <w:p>
            <w:pPr>
              <w:pStyle w:val="Compact"/>
              <w:jc w:val="left"/>
            </w:pPr>
            <w:r>
              <w:t xml:space="preserve">⏳ Audit gap-analysis bulan 6, sertifikasi bulan 12-15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 2 Type II</w:t>
            </w:r>
          </w:p>
        </w:tc>
        <w:tc>
          <w:p>
            <w:pPr>
              <w:pStyle w:val="Compact"/>
              <w:jc w:val="left"/>
            </w:pPr>
            <w:r>
              <w:t xml:space="preserve">Untuk klien international</w:t>
            </w:r>
          </w:p>
        </w:tc>
        <w:tc>
          <w:p>
            <w:pPr>
              <w:pStyle w:val="Compact"/>
              <w:jc w:val="left"/>
            </w:pPr>
            <w:r>
              <w:t xml:space="preserve">⏳ Bulan 15-18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ba51e966424bfddd02b0804cdd81c88877650a1"/>
      <w:r>
        <w:t xml:space="preserve">3. Roadmap Kepatuhan (24 Bulan)</w:t>
      </w:r>
      <w:bookmarkEnd w:id="29"/>
    </w:p>
    <w:p>
      <w:pPr>
        <w:pStyle w:val="Heading3"/>
      </w:pPr>
      <w:bookmarkStart w:id="30" w:name="q1-bulan-1-3--foundation"/>
      <w:r>
        <w:t xml:space="preserve">Q1 (Bulan 1-3) — Foundation</w:t>
      </w:r>
      <w:bookmarkEnd w:id="30"/>
    </w:p>
    <w:p>
      <w:pPr>
        <w:numPr>
          <w:ilvl w:val="0"/>
          <w:numId w:val="1003"/>
        </w:numPr>
        <w:pStyle w:val="Compact"/>
      </w:pPr>
      <w:r>
        <w:t xml:space="preserve">✅ Privacy Policy + Terms of Service (Indonesia + English)</w:t>
      </w:r>
    </w:p>
    <w:p>
      <w:pPr>
        <w:numPr>
          <w:ilvl w:val="0"/>
          <w:numId w:val="1003"/>
        </w:numPr>
        <w:pStyle w:val="Compact"/>
      </w:pPr>
      <w:r>
        <w:t xml:space="preserve">✅ Consent flow di signup (granular: marketing, analytics, AI training)</w:t>
      </w:r>
    </w:p>
    <w:p>
      <w:pPr>
        <w:numPr>
          <w:ilvl w:val="0"/>
          <w:numId w:val="1003"/>
        </w:numPr>
        <w:pStyle w:val="Compact"/>
      </w:pPr>
      <w:r>
        <w:t xml:space="preserve">✅ Encryption at-rest (Supabase default) + TLS 1.3 (Let's Encrypt)</w:t>
      </w:r>
    </w:p>
    <w:p>
      <w:pPr>
        <w:numPr>
          <w:ilvl w:val="0"/>
          <w:numId w:val="1003"/>
        </w:numPr>
        <w:pStyle w:val="Compact"/>
      </w:pPr>
      <w:r>
        <w:t xml:space="preserve">⏳ Pendaftaran PSE Kominfo</w:t>
      </w:r>
    </w:p>
    <w:p>
      <w:pPr>
        <w:numPr>
          <w:ilvl w:val="0"/>
          <w:numId w:val="1003"/>
        </w:numPr>
        <w:pStyle w:val="Compact"/>
      </w:pPr>
      <w:r>
        <w:t xml:space="preserve">⏳ Pendaftaran NIB + PT setup</w:t>
      </w:r>
    </w:p>
    <w:p>
      <w:pPr>
        <w:numPr>
          <w:ilvl w:val="0"/>
          <w:numId w:val="1003"/>
        </w:numPr>
        <w:pStyle w:val="Compact"/>
      </w:pPr>
      <w:r>
        <w:t xml:space="preserve">⏳ DPA template untuk klien B2B/B2G</w:t>
      </w:r>
    </w:p>
    <w:p>
      <w:pPr>
        <w:numPr>
          <w:ilvl w:val="0"/>
          <w:numId w:val="1003"/>
        </w:numPr>
        <w:pStyle w:val="Compact"/>
      </w:pPr>
      <w:r>
        <w:t xml:space="preserve">⏳ Incident Response Runbook</w:t>
      </w:r>
    </w:p>
    <w:p>
      <w:pPr>
        <w:pStyle w:val="Heading3"/>
      </w:pPr>
      <w:bookmarkStart w:id="31" w:name="q2-bulan-4-6--operationalize"/>
      <w:r>
        <w:t xml:space="preserve">Q2 (Bulan 4-6) — Operationalize</w:t>
      </w:r>
      <w:bookmarkEnd w:id="31"/>
    </w:p>
    <w:p>
      <w:pPr>
        <w:numPr>
          <w:ilvl w:val="0"/>
          <w:numId w:val="1004"/>
        </w:numPr>
        <w:pStyle w:val="Compact"/>
      </w:pPr>
      <w:r>
        <w:t xml:space="preserve">⏳ Tunjuk DPO (internal atau outsource)</w:t>
      </w:r>
    </w:p>
    <w:p>
      <w:pPr>
        <w:numPr>
          <w:ilvl w:val="0"/>
          <w:numId w:val="1004"/>
        </w:numPr>
        <w:pStyle w:val="Compact"/>
      </w:pPr>
      <w:r>
        <w:t xml:space="preserve">⏳ DPIA untuk fitur voice (transcript handling)</w:t>
      </w:r>
    </w:p>
    <w:p>
      <w:pPr>
        <w:numPr>
          <w:ilvl w:val="0"/>
          <w:numId w:val="1004"/>
        </w:numPr>
        <w:pStyle w:val="Compact"/>
      </w:pPr>
      <w:r>
        <w:t xml:space="preserve">⏳ Vendor risk assessment (OpenAI, Supabase) → DPA mereka</w:t>
      </w:r>
    </w:p>
    <w:p>
      <w:pPr>
        <w:numPr>
          <w:ilvl w:val="0"/>
          <w:numId w:val="1004"/>
        </w:numPr>
        <w:pStyle w:val="Compact"/>
      </w:pPr>
      <w:r>
        <w:t xml:space="preserve">⏳ Audit log retention 12 bulan</w:t>
      </w:r>
    </w:p>
    <w:p>
      <w:pPr>
        <w:numPr>
          <w:ilvl w:val="0"/>
          <w:numId w:val="1004"/>
        </w:numPr>
        <w:pStyle w:val="Compact"/>
      </w:pPr>
      <w:r>
        <w:t xml:space="preserve">⏳ Penetration test eksternal (vendor lokal: Xynexis, Spentera)</w:t>
      </w:r>
    </w:p>
    <w:p>
      <w:pPr>
        <w:numPr>
          <w:ilvl w:val="0"/>
          <w:numId w:val="1004"/>
        </w:numPr>
        <w:pStyle w:val="Compact"/>
      </w:pPr>
      <w:r>
        <w:t xml:space="preserve">⏳ ISO 27001 gap analysis + remediation plan</w:t>
      </w:r>
    </w:p>
    <w:p>
      <w:pPr>
        <w:pStyle w:val="Heading3"/>
      </w:pPr>
      <w:bookmarkStart w:id="32" w:name="q3-q4-bulan-7-12--certify"/>
      <w:r>
        <w:t xml:space="preserve">Q3-Q4 (Bulan 7-12) — Certify</w:t>
      </w:r>
      <w:bookmarkEnd w:id="32"/>
    </w:p>
    <w:p>
      <w:pPr>
        <w:numPr>
          <w:ilvl w:val="0"/>
          <w:numId w:val="1005"/>
        </w:numPr>
        <w:pStyle w:val="Compact"/>
      </w:pPr>
      <w:r>
        <w:t xml:space="preserve">⏳ ISO 27001 sertifikasi (lead time 6-9 bulan)</w:t>
      </w:r>
    </w:p>
    <w:p>
      <w:pPr>
        <w:numPr>
          <w:ilvl w:val="0"/>
          <w:numId w:val="1005"/>
        </w:numPr>
        <w:pStyle w:val="Compact"/>
      </w:pPr>
      <w:r>
        <w:t xml:space="preserve">⏳ Sertifikat ITSE BSSN (untuk B2G)</w:t>
      </w:r>
    </w:p>
    <w:p>
      <w:pPr>
        <w:numPr>
          <w:ilvl w:val="0"/>
          <w:numId w:val="1005"/>
        </w:numPr>
        <w:pStyle w:val="Compact"/>
      </w:pPr>
      <w:r>
        <w:t xml:space="preserve">⏳ Bug bounty program (HackerOne / Indonesian researcher)</w:t>
      </w:r>
    </w:p>
    <w:p>
      <w:pPr>
        <w:numPr>
          <w:ilvl w:val="0"/>
          <w:numId w:val="1005"/>
        </w:numPr>
        <w:pStyle w:val="Compact"/>
      </w:pPr>
      <w:r>
        <w:t xml:space="preserve">⏳ Backup + DR drill quarterly</w:t>
      </w:r>
    </w:p>
    <w:p>
      <w:pPr>
        <w:numPr>
          <w:ilvl w:val="0"/>
          <w:numId w:val="1005"/>
        </w:numPr>
        <w:pStyle w:val="Compact"/>
      </w:pPr>
      <w:r>
        <w:t xml:space="preserve">⏳ Bisnis continuity plan (BCP)</w:t>
      </w:r>
    </w:p>
    <w:p>
      <w:pPr>
        <w:pStyle w:val="Heading3"/>
      </w:pPr>
      <w:bookmarkStart w:id="33" w:name="year-2-bulan-13-24--scale"/>
      <w:r>
        <w:t xml:space="preserve">Year 2 (Bulan 13-24) — Scale</w:t>
      </w:r>
      <w:bookmarkEnd w:id="33"/>
    </w:p>
    <w:p>
      <w:pPr>
        <w:numPr>
          <w:ilvl w:val="0"/>
          <w:numId w:val="1006"/>
        </w:numPr>
        <w:pStyle w:val="Compact"/>
      </w:pPr>
      <w:r>
        <w:t xml:space="preserve">⏳ SOC 2 Type II audit (untuk ASEAN export)</w:t>
      </w:r>
    </w:p>
    <w:p>
      <w:pPr>
        <w:numPr>
          <w:ilvl w:val="0"/>
          <w:numId w:val="1006"/>
        </w:numPr>
        <w:pStyle w:val="Compact"/>
      </w:pPr>
      <w:r>
        <w:t xml:space="preserve">⏳ PCI-DSS scope review (kalau handle pembayaran langsung)</w:t>
      </w:r>
    </w:p>
    <w:p>
      <w:pPr>
        <w:numPr>
          <w:ilvl w:val="0"/>
          <w:numId w:val="1006"/>
        </w:numPr>
        <w:pStyle w:val="Compact"/>
      </w:pPr>
      <w:r>
        <w:t xml:space="preserve">⏳ Privacy-by-design refresh quarterly</w:t>
      </w:r>
    </w:p>
    <w:p>
      <w:pPr>
        <w:numPr>
          <w:ilvl w:val="0"/>
          <w:numId w:val="1006"/>
        </w:numPr>
        <w:pStyle w:val="Compact"/>
      </w:pPr>
      <w:r>
        <w:t xml:space="preserve">⏳ Re-sertifikasi ISO 27001 (annual surveillance)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2846e7a39464981a1342ae2f29619db21de7031"/>
      <w:r>
        <w:t xml:space="preserve">4. Proses Bisnis "Trust &amp; Compliance" — 5 Sub-Proses</w:t>
      </w:r>
      <w:bookmarkEnd w:id="34"/>
    </w:p>
    <w:p>
      <w:pPr>
        <w:pStyle w:val="Heading3"/>
      </w:pPr>
      <w:bookmarkStart w:id="35" w:name="X774fc28a3089dffac00c92a0b97335c87ea8931"/>
      <w:r>
        <w:t xml:space="preserve">4.1 Privacy Operations</w:t>
      </w:r>
      <w:bookmarkEnd w:id="35"/>
    </w:p>
    <w:p>
      <w:pPr>
        <w:pStyle w:val="SourceCode"/>
      </w:pPr>
      <w:r>
        <w:rPr>
          <w:rStyle w:val="VerbatimChar"/>
        </w:rPr>
        <w:t xml:space="preserve">Subject Request (Akses/Hapus/Portabilitas)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Verify identity (MFA + email re-confirm)</w:t>
      </w:r>
      <w:r>
        <w:br/>
      </w:r>
      <w:r>
        <w:rPr>
          <w:rStyle w:val="VerbatimChar"/>
        </w:rPr>
        <w:t xml:space="preserve">       ├─ Route ke DPO untuk review</w:t>
      </w:r>
      <w:r>
        <w:br/>
      </w:r>
      <w:r>
        <w:rPr>
          <w:rStyle w:val="VerbatimChar"/>
        </w:rPr>
        <w:t xml:space="preserve">       ├─ Eksekusi (max 30 hari kalender per UU PDP)</w:t>
      </w:r>
      <w:r>
        <w:br/>
      </w:r>
      <w:r>
        <w:rPr>
          <w:rStyle w:val="VerbatimChar"/>
        </w:rPr>
        <w:t xml:space="preserve">       └─ Audit log + confirmation ke subjek</w:t>
      </w:r>
    </w:p>
    <w:p>
      <w:pPr>
        <w:pStyle w:val="FirstParagraph"/>
      </w:pPr>
      <w:r>
        <w:t xml:space="preserve">Owner: DPO (R) + Customer Success (C) + Tech Lead (C)</w:t>
      </w:r>
    </w:p>
    <w:p>
      <w:pPr>
        <w:pStyle w:val="Heading3"/>
      </w:pPr>
      <w:bookmarkStart w:id="36" w:name="X77f5d9ebfbab4cf1cd0508507670faf6a73d67c"/>
      <w:r>
        <w:t xml:space="preserve">4.2 Incident Response</w:t>
      </w:r>
      <w:bookmarkEnd w:id="36"/>
    </w:p>
    <w:p>
      <w:pPr>
        <w:pStyle w:val="SourceCode"/>
      </w:pPr>
      <w:r>
        <w:rPr>
          <w:rStyle w:val="VerbatimChar"/>
        </w:rPr>
        <w:t xml:space="preserve">Detect (alert / report) → Triage (15 min) → Contain → Eradicate → Recover → Postmortem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 Bila personal data breach: Notif Lembaga PDP &lt; 72 jam + subjek terdampak</w:t>
      </w:r>
    </w:p>
    <w:p>
      <w:pPr>
        <w:pStyle w:val="FirstParagraph"/>
      </w:pPr>
      <w:r>
        <w:t xml:space="preserve">Severity matrix sama dengan</w:t>
      </w:r>
      <w:r>
        <w:t xml:space="preserve"> </w:t>
      </w:r>
      <w:hyperlink r:id="rId37">
        <w:r>
          <w:rPr>
            <w:rStyle w:val="Hyperlink"/>
          </w:rPr>
          <w:t xml:space="preserve">BUG-TRIAGE</w:t>
        </w:r>
      </w:hyperlink>
      <w:r>
        <w:t xml:space="preserve">.</w:t>
      </w:r>
      <w:r>
        <w:t xml:space="preserve"> </w:t>
      </w:r>
      <w:r>
        <w:t xml:space="preserve">Tambahan kategori:</w:t>
      </w:r>
      <w:r>
        <w:t xml:space="preserve"> </w:t>
      </w:r>
      <w:r>
        <w:rPr>
          <w:b/>
        </w:rPr>
        <w:t xml:space="preserve">Privacy Incident</w:t>
      </w:r>
      <w:r>
        <w:t xml:space="preserve"> </w:t>
      </w:r>
      <w:r>
        <w:t xml:space="preserve">otomatis P0.</w:t>
      </w:r>
    </w:p>
    <w:p>
      <w:pPr>
        <w:pStyle w:val="Heading3"/>
      </w:pPr>
      <w:bookmarkStart w:id="38" w:name="X796f50553daf18a5f5490988affd8b589cb3bca"/>
      <w:r>
        <w:t xml:space="preserve">4.3 Vendor Management</w:t>
      </w:r>
      <w:bookmarkEnd w:id="38"/>
    </w:p>
    <w:p>
      <w:pPr>
        <w:pStyle w:val="SourceCode"/>
      </w:pPr>
      <w:r>
        <w:rPr>
          <w:rStyle w:val="VerbatimChar"/>
        </w:rPr>
        <w:t xml:space="preserve">Vendor onboarding → Risk assessment (security questionnaire) → DPA signed → Annual review</w:t>
      </w:r>
    </w:p>
    <w:p>
      <w:pPr>
        <w:pStyle w:val="FirstParagraph"/>
      </w:pPr>
      <w:r>
        <w:t xml:space="preserve">Vendor saat ini: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Tipe 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Lokasi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Chat/voice content</w:t>
            </w:r>
          </w:p>
        </w:tc>
        <w:tc>
          <w:p>
            <w:pPr>
              <w:pStyle w:val="Compact"/>
              <w:jc w:val="left"/>
            </w:pPr>
            <w:r>
              <w:t xml:space="preserve">Pending (OpenAI Business)</w:t>
            </w:r>
          </w:p>
        </w:tc>
        <w:tc>
          <w:p>
            <w:pPr>
              <w:pStyle w:val="Compact"/>
              <w:jc w:val="left"/>
            </w:pPr>
            <w:r>
              <w:t xml:space="preserve">US (gunakan opt-out training)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p>
            <w:pPr>
              <w:pStyle w:val="Compact"/>
              <w:jc w:val="left"/>
            </w:pPr>
            <w:r>
              <w:t xml:space="preserve">User PII, content</w:t>
            </w:r>
          </w:p>
        </w:tc>
        <w:tc>
          <w:p>
            <w:pPr>
              <w:pStyle w:val="Compact"/>
              <w:jc w:val="left"/>
            </w:pPr>
            <w:r>
              <w:t xml:space="preserve">✅ Available</w:t>
            </w:r>
          </w:p>
        </w:tc>
        <w:tc>
          <w:p>
            <w:pPr>
              <w:pStyle w:val="Compact"/>
              <w:jc w:val="left"/>
            </w:pPr>
            <w:r>
              <w:t xml:space="preserve">US (region pilih Singapore)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Hetzner</w:t>
            </w:r>
          </w:p>
        </w:tc>
        <w:tc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p>
            <w:pPr>
              <w:pStyle w:val="Compact"/>
              <w:jc w:val="left"/>
            </w:pPr>
            <w:r>
              <w:t xml:space="preserve">DPA Hetzner</w:t>
            </w:r>
          </w:p>
        </w:tc>
        <w:tc>
          <w:p>
            <w:pPr>
              <w:pStyle w:val="Compact"/>
              <w:jc w:val="left"/>
            </w:pPr>
            <w:r>
              <w:t xml:space="preserve">Germany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Stripe/Xendit</w:t>
            </w:r>
          </w:p>
        </w:tc>
        <w:tc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p>
            <w:pPr>
              <w:pStyle w:val="Compact"/>
              <w:jc w:val="left"/>
            </w:pPr>
            <w:r>
              <w:t xml:space="preserve">DPA</w:t>
            </w:r>
          </w:p>
        </w:tc>
        <w:tc>
          <w:p>
            <w:pPr>
              <w:pStyle w:val="Compact"/>
              <w:jc w:val="left"/>
            </w:pPr>
            <w:r>
              <w:t xml:space="preserve">US/SG</w:t>
            </w:r>
          </w:p>
        </w:tc>
      </w:tr>
    </w:tbl>
    <w:p>
      <w:pPr>
        <w:pStyle w:val="BodyText"/>
      </w:pPr>
      <w:r>
        <w:rPr>
          <w:b/>
        </w:rPr>
        <w:t xml:space="preserve">Gap</w:t>
      </w:r>
      <w:r>
        <w:t xml:space="preserve">: untuk B2G strict, butuh provider Indonesia. Roadmap bulan 12 — migrate ke Biznet Gio / IDC Indonesia atau setup hybrid.</w:t>
      </w:r>
    </w:p>
    <w:p>
      <w:pPr>
        <w:pStyle w:val="Heading3"/>
      </w:pPr>
      <w:bookmarkStart w:id="39" w:name="X94e93cb350757b27c82f4044f97b35912944fee"/>
      <w:r>
        <w:t xml:space="preserve">4.4 Audit &amp; Evidence Collection</w:t>
      </w:r>
      <w:bookmarkEnd w:id="39"/>
    </w:p>
    <w:p>
      <w:pPr>
        <w:pStyle w:val="SourceCode"/>
      </w:pPr>
      <w:r>
        <w:rPr>
          <w:rStyle w:val="VerbatimChar"/>
        </w:rPr>
        <w:t xml:space="preserve">Continuous: log retention + access review</w:t>
      </w:r>
      <w:r>
        <w:br/>
      </w:r>
      <w:r>
        <w:rPr>
          <w:rStyle w:val="VerbatimChar"/>
        </w:rPr>
        <w:t xml:space="preserve">Quarterly: Internal audit sampling</w:t>
      </w:r>
      <w:r>
        <w:br/>
      </w:r>
      <w:r>
        <w:rPr>
          <w:rStyle w:val="VerbatimChar"/>
        </w:rPr>
        <w:t xml:space="preserve">Annually: External ISO 27001 surveillance</w:t>
      </w:r>
      <w:r>
        <w:br/>
      </w:r>
      <w:r>
        <w:rPr>
          <w:rStyle w:val="VerbatimChar"/>
        </w:rPr>
        <w:t xml:space="preserve">On-demand: Client / regulator audit response</w:t>
      </w:r>
    </w:p>
    <w:p>
      <w:pPr>
        <w:pStyle w:val="FirstParagraph"/>
      </w:pPr>
      <w:r>
        <w:t xml:space="preserve">Tools:</w:t>
      </w:r>
    </w:p>
    <w:p>
      <w:pPr>
        <w:numPr>
          <w:ilvl w:val="0"/>
          <w:numId w:val="1007"/>
        </w:numPr>
        <w:pStyle w:val="Compact"/>
      </w:pPr>
      <w:r>
        <w:t xml:space="preserve">Audit log: Supabase + custom append-only table</w:t>
      </w:r>
    </w:p>
    <w:p>
      <w:pPr>
        <w:numPr>
          <w:ilvl w:val="0"/>
          <w:numId w:val="1007"/>
        </w:numPr>
        <w:pStyle w:val="Compact"/>
      </w:pPr>
      <w:r>
        <w:t xml:space="preserve">Evidence repository: Notion vault dengan tag compliance</w:t>
      </w:r>
    </w:p>
    <w:p>
      <w:pPr>
        <w:numPr>
          <w:ilvl w:val="0"/>
          <w:numId w:val="1007"/>
        </w:numPr>
        <w:pStyle w:val="Compact"/>
      </w:pPr>
      <w:r>
        <w:t xml:space="preserve">Access review: quarterly review semua role + cleanup</w:t>
      </w:r>
    </w:p>
    <w:p>
      <w:pPr>
        <w:pStyle w:val="Heading3"/>
      </w:pPr>
      <w:bookmarkStart w:id="40" w:name="X3395d63ff4a978a42442cd97f680c9fabb4b2ad"/>
      <w:r>
        <w:t xml:space="preserve">4.5 Training &amp; Awareness</w:t>
      </w:r>
      <w:bookmarkEnd w:id="40"/>
    </w:p>
    <w:p>
      <w:pPr>
        <w:pStyle w:val="SourceCode"/>
      </w:pPr>
      <w:r>
        <w:rPr>
          <w:rStyle w:val="VerbatimChar"/>
        </w:rPr>
        <w:t xml:space="preserve">Onboarding: Compliance 101 modul wajib bagi setiap karyawan baru</w:t>
      </w:r>
      <w:r>
        <w:br/>
      </w:r>
      <w:r>
        <w:rPr>
          <w:rStyle w:val="VerbatimChar"/>
        </w:rPr>
        <w:t xml:space="preserve">Quarterly: Phishing simulation + lessons learned</w:t>
      </w:r>
      <w:r>
        <w:br/>
      </w:r>
      <w:r>
        <w:rPr>
          <w:rStyle w:val="VerbatimChar"/>
        </w:rPr>
        <w:t xml:space="preserve">Annual: Refresh PDP + ISO 27001 wajib semua karyawan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d09e5d41506958f9074d744213d11e28e06d64f"/>
      <w:r>
        <w:t xml:space="preserve">5. RACI Compliance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Aktivitas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Legal Eksternal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PDP request handling</w:t>
            </w:r>
          </w:p>
        </w:tc>
        <w:tc>
          <w:p>
            <w:pPr>
              <w:pStyle w:val="Compact"/>
              <w:jc w:val="left"/>
            </w:pPr>
            <w:r>
              <w:t xml:space="preserve">R/A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 27001 implementasi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A/R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Kontrak DPA klien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Regulator inquiry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Vendor risk assessment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Policy update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e89f1d4f837b8b0411b665bbcabccae9a7eeaf7"/>
      <w:r>
        <w:t xml:space="preserve">6. KPI Compliance (sinkron dengan</w:t>
      </w:r>
      <w:r>
        <w:t xml:space="preserve"> </w:t>
      </w:r>
      <w:hyperlink r:id="rId42">
        <w:r>
          <w:rPr>
            <w:rStyle w:val="Hyperlink"/>
          </w:rPr>
          <w:t xml:space="preserve">QA Master Plan</w:t>
        </w:r>
      </w:hyperlink>
      <w:r>
        <w:t xml:space="preserve">)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PDP request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≤ 30 hari (target 14 hari)</w:t>
            </w:r>
          </w:p>
        </w:tc>
        <w:tc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incident MTTD</w:t>
            </w:r>
          </w:p>
        </w:tc>
        <w:tc>
          <w:p>
            <w:pPr>
              <w:pStyle w:val="Compact"/>
              <w:jc w:val="left"/>
            </w:pPr>
            <w:r>
              <w:t xml:space="preserve">&lt; 1 jam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incident MTTR</w:t>
            </w:r>
          </w:p>
        </w:tc>
        <w:tc>
          <w:p>
            <w:pPr>
              <w:pStyle w:val="Compact"/>
              <w:jc w:val="left"/>
            </w:pPr>
            <w:r>
              <w:t xml:space="preserve">&lt; 4 jam (containment)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Personal data breach reportable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audit findings (high)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Annual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Phishing simulation click rate</w:t>
            </w:r>
          </w:p>
        </w:tc>
        <w:tc>
          <w:p>
            <w:pPr>
              <w:pStyle w:val="Compact"/>
              <w:jc w:val="left"/>
            </w:pPr>
            <w:r>
              <w:t xml:space="preserve">&lt; 5 %</w:t>
            </w:r>
          </w:p>
        </w:tc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 27001 control coverage</w:t>
            </w:r>
          </w:p>
        </w:tc>
        <w:tc>
          <w:p>
            <w:pPr>
              <w:pStyle w:val="Compact"/>
              <w:jc w:val="left"/>
            </w:pPr>
            <w:r>
              <w:t xml:space="preserve">100 % (semua A.5–A.18)</w:t>
            </w:r>
          </w:p>
        </w:tc>
        <w:tc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Vendor DPA coverage</w:t>
            </w:r>
          </w:p>
        </w:tc>
        <w:tc>
          <w:p>
            <w:pPr>
              <w:pStyle w:val="Compact"/>
              <w:jc w:val="left"/>
            </w:pPr>
            <w:r>
              <w:t xml:space="preserve">100 % vendor yang akses PII</w:t>
            </w:r>
          </w:p>
        </w:tc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 completion</w:t>
            </w:r>
          </w:p>
        </w:tc>
        <w:tc>
          <w:p>
            <w:pPr>
              <w:pStyle w:val="Compact"/>
              <w:jc w:val="left"/>
            </w:pPr>
            <w:r>
              <w:t xml:space="preserve">100 % karyawan dalam 30 hari onboard</w:t>
            </w:r>
          </w:p>
        </w:tc>
        <w:tc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562a47f58bd0b401236bfe670fffa331ade047b"/>
      <w:r>
        <w:t xml:space="preserve">7. Bujet Compliance Year 1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DPO (outsource part-time atau hire)</w:t>
            </w:r>
          </w:p>
        </w:tc>
        <w:tc>
          <w:p>
            <w:pPr>
              <w:pStyle w:val="Compact"/>
              <w:jc w:val="left"/>
            </w:pPr>
            <w:r>
              <w:t xml:space="preserve">Rp 60-180jt/tahun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 counsel (retainer)</w:t>
            </w:r>
          </w:p>
        </w:tc>
        <w:tc>
          <w:p>
            <w:pPr>
              <w:pStyle w:val="Compact"/>
              <w:jc w:val="left"/>
            </w:pPr>
            <w:r>
              <w:t xml:space="preserve">Rp 36-72jt/tahun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 27001 gap analysis + consulting</w:t>
            </w:r>
          </w:p>
        </w:tc>
        <w:tc>
          <w:p>
            <w:pPr>
              <w:pStyle w:val="Compact"/>
              <w:jc w:val="left"/>
            </w:pPr>
            <w:r>
              <w:t xml:space="preserve">Rp 80-150jt one-time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 27001 sertifikasi (auditor)</w:t>
            </w:r>
          </w:p>
        </w:tc>
        <w:tc>
          <w:p>
            <w:pPr>
              <w:pStyle w:val="Compact"/>
              <w:jc w:val="left"/>
            </w:pPr>
            <w:r>
              <w:t xml:space="preserve">Rp 60-120jt one-time + Rp 30jt/tahun surveillance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Penetration test eksternal</w:t>
            </w:r>
          </w:p>
        </w:tc>
        <w:tc>
          <w:p>
            <w:pPr>
              <w:pStyle w:val="Compact"/>
              <w:jc w:val="left"/>
            </w:pPr>
            <w:r>
              <w:t xml:space="preserve">Rp 40-80jt/tahun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 bounty program (HackerOne)</w:t>
            </w:r>
          </w:p>
        </w:tc>
        <w:tc>
          <w:p>
            <w:pPr>
              <w:pStyle w:val="Compact"/>
              <w:jc w:val="left"/>
            </w:pPr>
            <w:r>
              <w:t xml:space="preserve">Rp 50-150jt/tahun (pool)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Insurance E&amp;O + Cyber</w:t>
            </w:r>
          </w:p>
        </w:tc>
        <w:tc>
          <w:p>
            <w:pPr>
              <w:pStyle w:val="Compact"/>
              <w:jc w:val="left"/>
            </w:pPr>
            <w:r>
              <w:t xml:space="preserve">Rp 30-60jt/tahun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Year 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Rp 350-810 jt</w:t>
            </w:r>
          </w:p>
        </w:tc>
      </w:tr>
    </w:tbl>
    <w:p>
      <w:pPr>
        <w:pStyle w:val="BodyText"/>
      </w:pPr>
      <w:r>
        <w:t xml:space="preserve">Justifikasi: 5-10 % dari proyeksi revenue Year 1. Bila skip → tidak bisa win B2G dan B2B bank.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3493140b83a778892ad6e550c96a15d60ea8ed6"/>
      <w:r>
        <w:t xml:space="preserve">8. Risiko Compliance (sinkron dengan</w:t>
      </w:r>
      <w:r>
        <w:t xml:space="preserve"> </w:t>
      </w:r>
      <w:hyperlink r:id="rId45">
        <w:r>
          <w:rPr>
            <w:rStyle w:val="Hyperlink"/>
          </w:rPr>
          <w:t xml:space="preserve">QA Master Plan §8</w:t>
        </w:r>
      </w:hyperlink>
      <w:r>
        <w:t xml:space="preserve">)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Personal data breach via vendor (OpenAI leak)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DPA + opt-out training + sensitive data redaction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Regulator inquiry tanpa siap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Compliance officer ready + evidence repository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Klien B2G batal karena gagal audit BSSN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ISO 27001 + ITSE roadmap; sertifikat sebelum push B2G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cut akses tiba-tiba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Multi-provider abstraksi (sudah designed)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Karyawan leak credential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Vault (1Password) + just-in-time access + audit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output discriminatory / berbahaya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Output filter + jailbreak test suite + human review queue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72911a819fede3f6229ef0e87016da2d7e1f133"/>
      <w:r>
        <w:t xml:space="preserve">9. Integrasi dengan Pilar Lain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Touchpoint compliance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&amp; Research</w:t>
            </w:r>
          </w:p>
        </w:tc>
        <w:tc>
          <w:p>
            <w:pPr>
              <w:pStyle w:val="Compact"/>
              <w:jc w:val="left"/>
            </w:pPr>
            <w:r>
              <w:t xml:space="preserve">Data provenance + consent native speaker; bias audit korpus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Engineering</w:t>
            </w:r>
          </w:p>
        </w:tc>
        <w:tc>
          <w:p>
            <w:pPr>
              <w:pStyle w:val="Compact"/>
              <w:jc w:val="left"/>
            </w:pPr>
            <w:r>
              <w:t xml:space="preserve">Eval set untuk fairness + safety; jailbreak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&amp; Product</w:t>
            </w:r>
          </w:p>
        </w:tc>
        <w:tc>
          <w:p>
            <w:pPr>
              <w:pStyle w:val="Compact"/>
              <w:jc w:val="left"/>
            </w:pPr>
            <w:r>
              <w:t xml:space="preserve">Privacy-by-design: minimal data collection, encryption 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Go-To-Market</w:t>
            </w:r>
          </w:p>
        </w:tc>
        <w:tc>
          <w:p>
            <w:pPr>
              <w:pStyle w:val="Compact"/>
              <w:jc w:val="left"/>
            </w:pPr>
            <w:r>
              <w:t xml:space="preserve">DPA template, sertifikat di sales kit, compliance one-pager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Operasi &amp; Support</w:t>
            </w:r>
          </w:p>
        </w:tc>
        <w:tc>
          <w:p>
            <w:pPr>
              <w:pStyle w:val="Compact"/>
              <w:jc w:val="left"/>
            </w:pPr>
            <w:r>
              <w:t xml:space="preserve">Incident response, audit log, change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Trust &amp; Compliance</w:t>
            </w:r>
          </w:p>
        </w:tc>
        <w:tc>
          <w:p>
            <w:pPr>
              <w:pStyle w:val="Compact"/>
              <w:jc w:val="left"/>
            </w:pPr>
            <w:r>
              <w:t xml:space="preserve">Cross-cutting — touch semua pilar di atas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6760cfe5b475154ebcfdb387a86c0de80c72daf"/>
      <w:r>
        <w:t xml:space="preserve">10. Sebagai Pesan Eksternal (untuk pitch + sales)</w:t>
      </w:r>
      <w:bookmarkEnd w:id="48"/>
    </w:p>
    <w:p>
      <w:pPr>
        <w:pStyle w:val="FirstParagraph"/>
      </w:pPr>
      <w:r>
        <w:t xml:space="preserve">Talking points untuk B2G/B2B: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"Data Anda tidak meninggalkan Indonesia"</w:t>
      </w:r>
      <w:r>
        <w:t xml:space="preserve"> </w:t>
      </w:r>
      <w:r>
        <w:t xml:space="preserve">— kecuali Anda explicitly opt-in untuk fitur premium tertentu.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"Compliance-first, bukan compliance-tacked-on"</w:t>
      </w:r>
      <w:r>
        <w:t xml:space="preserve"> </w:t>
      </w:r>
      <w:r>
        <w:t xml:space="preserve">— DPO ditunjuk sejak Bulan 6, ISO 27001 sebelum scale.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"Open-source komponen non-core"</w:t>
      </w:r>
      <w:r>
        <w:t xml:space="preserve"> </w:t>
      </w:r>
      <w:r>
        <w:t xml:space="preserve">— Anda bisa audit kode kami.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"On-prem deployment tersedia"</w:t>
      </w:r>
      <w:r>
        <w:t xml:space="preserve"> </w:t>
      </w:r>
      <w:r>
        <w:t xml:space="preserve">— untuk klien strict, jalankan di data center Anda.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"Bug bounty publik aktif"</w:t>
      </w:r>
      <w:r>
        <w:t xml:space="preserve"> </w:t>
      </w:r>
      <w:r>
        <w:t xml:space="preserve">— komunitas riset keamanan terus uji kami.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Compliance adalah investasi front-loaded. Vendor asing tidak bisa mengejar kita di sini — ini moat utama NusaLingua.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../../NusaLingua-SWOT-BusinessProcess.html" TargetMode="External" /><Relationship Type="http://schemas.openxmlformats.org/officeDocument/2006/relationships/hyperlink" Id="rId37" Target="../qa/BUG-TRIAGE.md" TargetMode="External" /><Relationship Type="http://schemas.openxmlformats.org/officeDocument/2006/relationships/hyperlink" Id="rId42" Target="../qa/QA-MASTER-PLAN.md" TargetMode="External" /><Relationship Type="http://schemas.openxmlformats.org/officeDocument/2006/relationships/hyperlink" Id="rId45" Target="../qa/QA-MASTER-PLAN.md#8-risk-based-testing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../../../NusaLingua-SWOT-BusinessProcess.html" TargetMode="External" /><Relationship Type="http://schemas.openxmlformats.org/officeDocument/2006/relationships/hyperlink" Id="rId37" Target="../qa/BUG-TRIAGE.md" TargetMode="External" /><Relationship Type="http://schemas.openxmlformats.org/officeDocument/2006/relationships/hyperlink" Id="rId42" Target="../qa/QA-MASTER-PLAN.md" TargetMode="External" /><Relationship Type="http://schemas.openxmlformats.org/officeDocument/2006/relationships/hyperlink" Id="rId45" Target="../qa/QA-MASTER-PLAN.md#8-risk-based-test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2026-05-25T07:54:00Z</dcterms:created>
  <dcterms:modified xsi:type="dcterms:W3CDTF">2026-05-25T07:54:00Z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