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6B62"/>
          <w:sz w:val="30"/>
        </w:rPr>
        <w:t>Security Access Matrix — Database Privileged Access</w:t>
      </w:r>
    </w:p>
    <w:p>
      <w:r>
        <w:t>Ref: SAM-DBAM-2026 · Owner: IAM (PAM) · Classification: Internal · Reviewed: 15 Jan 2026</w:t>
      </w:r>
    </w:p>
    <w:p>
      <w:r>
        <w:t>Defines the approved privileged roles for production databases and the permissions and controls that apply to each. Access must be granted per least privilege and vaulted in CyberArk.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Permissions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Vaulting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Recertification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DBA (Personal)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instances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DDL/DML, config, user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CyberArk (mandatory)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Semi-annual (enhancement pending)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Application Service Account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Owning application DBs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DML, execute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CyberArk (mandatory)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Read-Only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in-scope DBs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 on catalog/audit 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CyberArk (mandatory)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Break-glass / Emergency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Any (time-boxed)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Elevated, time-limited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CyberArk (mandatory)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Per-use 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Cloud DB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AWS/Azure managed DBs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Managed-instance admin via IAM 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CyberArk + cloud IAM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</w:rPr>
        <w:t xml:space="preserve">Note: </w:t>
      </w:r>
      <w:r>
        <w:t>MongoDB privileged accounts provisioned outside the standard onboarding flow are not currently captured by CyberArk discovery — see audit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