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B3A5C"/>
        </w:rPr>
        <w:t>Database Audit</w:t>
      </w:r>
    </w:p>
    <w:p>
      <w:pPr>
        <w:pStyle w:val="Heading1"/>
        <w:jc w:val="center"/>
      </w:pPr>
      <w:r>
        <w:t>Control Workpaper: Monitoring</w:t>
      </w:r>
    </w:p>
    <w:p>
      <w:pPr>
        <w:pStyle w:val="Heading2"/>
      </w:pPr>
      <w:r>
        <w:t>Workpaper Information</w:t>
      </w:r>
    </w:p>
    <w:tbl>
      <w:tblPr>
        <w:tblStyle w:val="TableGrid"/>
        <w:tblW w:type="auto" w:w="0"/>
        <w:jc w:val="center"/>
        <w:tblLook w:firstColumn="1" w:firstRow="1" w:lastColumn="0" w:lastRow="0" w:noHBand="0" w:noVBand="1" w:val="04A0"/>
      </w:tblPr>
      <w:tblGrid>
        <w:gridCol w:w="4536"/>
        <w:gridCol w:w="4536"/>
      </w:tblGrid>
      <w:tr>
        <w:tc>
          <w:tcPr>
            <w:tcW w:type="dxa" w:w="4536"/>
            <w:shd w:fill="1B3A5C" w:val="clear"/>
          </w:tcPr>
          <w:p>
            <w:pPr>
              <w:jc w:val="center"/>
            </w:pPr>
            <w:r>
              <w:rPr>
                <w:rFonts w:ascii="Calibri" w:hAnsi="Calibri"/>
                <w:b/>
                <w:color w:val="FFFFFF"/>
                <w:sz w:val="18"/>
              </w:rPr>
              <w:t>Field</w:t>
            </w:r>
          </w:p>
        </w:tc>
        <w:tc>
          <w:tcPr>
            <w:tcW w:type="dxa" w:w="4536"/>
            <w:shd w:fill="1B3A5C" w:val="clear"/>
          </w:tcPr>
          <w:p>
            <w:pPr>
              <w:jc w:val="center"/>
            </w:pPr>
            <w:r>
              <w:rPr>
                <w:rFonts w:ascii="Calibri" w:hAnsi="Calibri"/>
                <w:b/>
                <w:color w:val="FFFFFF"/>
                <w:sz w:val="18"/>
              </w:rPr>
              <w:t>Value</w:t>
            </w:r>
          </w:p>
        </w:tc>
      </w:tr>
      <w:tr>
        <w:tc>
          <w:tcPr>
            <w:tcW w:type="dxa" w:w="4536"/>
            <w:shd w:fill="F2F6FA" w:val="clear"/>
          </w:tcPr>
          <w:p>
            <w:r>
              <w:rPr>
                <w:rFonts w:ascii="Calibri" w:hAnsi="Calibri"/>
                <w:sz w:val="18"/>
              </w:rPr>
              <w:t>Audit Name</w:t>
            </w:r>
          </w:p>
        </w:tc>
        <w:tc>
          <w:tcPr>
            <w:tcW w:type="dxa" w:w="4536"/>
            <w:shd w:fill="F2F6FA" w:val="clear"/>
          </w:tcPr>
          <w:p>
            <w:r>
              <w:rPr>
                <w:rFonts w:ascii="Calibri" w:hAnsi="Calibri"/>
                <w:sz w:val="18"/>
              </w:rPr>
              <w:t>Database Audit</w:t>
            </w:r>
          </w:p>
        </w:tc>
      </w:tr>
      <w:tr>
        <w:tc>
          <w:tcPr>
            <w:tcW w:type="dxa" w:w="4536"/>
          </w:tcPr>
          <w:p>
            <w:r>
              <w:rPr>
                <w:rFonts w:ascii="Calibri" w:hAnsi="Calibri"/>
                <w:sz w:val="18"/>
              </w:rPr>
              <w:t>Control Name</w:t>
            </w:r>
          </w:p>
        </w:tc>
        <w:tc>
          <w:tcPr>
            <w:tcW w:type="dxa" w:w="4536"/>
          </w:tcPr>
          <w:p>
            <w:r>
              <w:rPr>
                <w:rFonts w:ascii="Calibri" w:hAnsi="Calibri"/>
                <w:sz w:val="18"/>
              </w:rPr>
              <w:t>Monitoring</w:t>
            </w:r>
          </w:p>
        </w:tc>
      </w:tr>
      <w:tr>
        <w:tc>
          <w:tcPr>
            <w:tcW w:type="dxa" w:w="4536"/>
            <w:shd w:fill="F2F6FA" w:val="clear"/>
          </w:tcPr>
          <w:p>
            <w:r>
              <w:rPr>
                <w:rFonts w:ascii="Calibri" w:hAnsi="Calibri"/>
                <w:sz w:val="18"/>
              </w:rPr>
              <w:t>Workpaper ID</w:t>
            </w:r>
          </w:p>
        </w:tc>
        <w:tc>
          <w:tcPr>
            <w:tcW w:type="dxa" w:w="4536"/>
            <w:shd w:fill="F2F6FA" w:val="clear"/>
          </w:tcPr>
          <w:p>
            <w:r>
              <w:rPr>
                <w:rFonts w:ascii="Calibri" w:hAnsi="Calibri"/>
                <w:sz w:val="18"/>
              </w:rPr>
              <w:t>fc7ac6df</w:t>
            </w:r>
          </w:p>
        </w:tc>
      </w:tr>
      <w:tr>
        <w:tc>
          <w:tcPr>
            <w:tcW w:type="dxa" w:w="4536"/>
          </w:tcPr>
          <w:p>
            <w:r>
              <w:rPr>
                <w:rFonts w:ascii="Calibri" w:hAnsi="Calibri"/>
                <w:sz w:val="18"/>
              </w:rPr>
              <w:t>Created</w:t>
            </w:r>
          </w:p>
        </w:tc>
        <w:tc>
          <w:tcPr>
            <w:tcW w:type="dxa" w:w="4536"/>
          </w:tcPr>
          <w:p>
            <w:r>
              <w:rPr>
                <w:rFonts w:ascii="Calibri" w:hAnsi="Calibri"/>
                <w:sz w:val="18"/>
              </w:rPr>
              <w:t>2026-04-06 08:01</w:t>
            </w:r>
          </w:p>
        </w:tc>
      </w:tr>
      <w:tr>
        <w:tc>
          <w:tcPr>
            <w:tcW w:type="dxa" w:w="4536"/>
            <w:shd w:fill="F2F6FA" w:val="clear"/>
          </w:tcPr>
          <w:p>
            <w:r>
              <w:rPr>
                <w:rFonts w:ascii="Calibri" w:hAnsi="Calibri"/>
                <w:sz w:val="18"/>
              </w:rPr>
              <w:t>Last Updated</w:t>
            </w:r>
          </w:p>
        </w:tc>
        <w:tc>
          <w:tcPr>
            <w:tcW w:type="dxa" w:w="4536"/>
            <w:shd w:fill="F2F6FA" w:val="clear"/>
          </w:tcPr>
          <w:p>
            <w:r>
              <w:rPr>
                <w:rFonts w:ascii="Calibri" w:hAnsi="Calibri"/>
                <w:sz w:val="18"/>
              </w:rPr>
              <w:t>2026-04-06 08:01</w:t>
            </w:r>
          </w:p>
        </w:tc>
      </w:tr>
      <w:tr>
        <w:tc>
          <w:tcPr>
            <w:tcW w:type="dxa" w:w="4536"/>
          </w:tcPr>
          <w:p>
            <w:r>
              <w:rPr>
                <w:rFonts w:ascii="Calibri" w:hAnsi="Calibri"/>
                <w:sz w:val="18"/>
              </w:rPr>
              <w:t>Completed Phases</w:t>
            </w:r>
          </w:p>
        </w:tc>
        <w:tc>
          <w:tcPr>
            <w:tcW w:type="dxa" w:w="4536"/>
          </w:tcPr>
          <w:p>
            <w:r>
              <w:rPr>
                <w:rFonts w:ascii="Calibri" w:hAnsi="Calibri"/>
                <w:sz w:val="18"/>
              </w:rPr>
              <w:t>Control Walkthrough</w:t>
            </w:r>
          </w:p>
        </w:tc>
      </w:tr>
      <w:tr>
        <w:tc>
          <w:tcPr>
            <w:tcW w:type="dxa" w:w="4536"/>
            <w:shd w:fill="F2F6FA" w:val="clear"/>
          </w:tcPr>
          <w:p>
            <w:r>
              <w:rPr>
                <w:rFonts w:ascii="Calibri" w:hAnsi="Calibri"/>
                <w:sz w:val="18"/>
              </w:rPr>
              <w:t>Overall Effectiveness</w:t>
            </w:r>
          </w:p>
        </w:tc>
        <w:tc>
          <w:tcPr>
            <w:tcW w:type="dxa" w:w="4536"/>
            <w:shd w:fill="F2F6FA" w:val="clear"/>
          </w:tcPr>
          <w:p>
            <w:r>
              <w:rPr>
                <w:rFonts w:ascii="Calibri" w:hAnsi="Calibri"/>
                <w:sz w:val="18"/>
              </w:rPr>
              <w:t>Not Assessed</w:t>
            </w:r>
          </w:p>
        </w:tc>
      </w:tr>
      <w:tr>
        <w:tc>
          <w:tcPr>
            <w:tcW w:type="dxa" w:w="4536"/>
          </w:tcPr>
          <w:p>
            <w:r>
              <w:rPr>
                <w:rFonts w:ascii="Calibri" w:hAnsi="Calibri"/>
                <w:sz w:val="18"/>
              </w:rPr>
              <w:t>Progress</w:t>
            </w:r>
          </w:p>
        </w:tc>
        <w:tc>
          <w:tcPr>
            <w:tcW w:type="dxa" w:w="4536"/>
          </w:tcPr>
          <w:p>
            <w:r>
              <w:rPr>
                <w:rFonts w:ascii="Calibri" w:hAnsi="Calibri"/>
                <w:sz w:val="18"/>
              </w:rPr>
              <w:t>20%</w:t>
            </w:r>
          </w:p>
        </w:tc>
      </w:tr>
    </w:tbl>
    <w:p>
      <w:r>
        <w:br w:type="page"/>
      </w:r>
    </w:p>
    <w:p>
      <w:pPr>
        <w:pStyle w:val="Heading2"/>
      </w:pPr>
      <w:r>
        <w:t>Risk Control Matrix (RCM)</w:t>
      </w:r>
    </w:p>
    <w:p>
      <w:pPr>
        <w:pStyle w:val="Heading3"/>
      </w:pPr>
      <w:r>
        <w:t>Risk-Control Pair 1: R-001 / C-001</w:t>
      </w:r>
    </w:p>
    <w:tbl>
      <w:tblPr>
        <w:tblStyle w:val="TableGrid"/>
        <w:tblW w:type="auto" w:w="0"/>
        <w:jc w:val="center"/>
        <w:tblLook w:firstColumn="1" w:firstRow="1" w:lastColumn="0" w:lastRow="0" w:noHBand="0" w:noVBand="1" w:val="04A0"/>
      </w:tblPr>
      <w:tblGrid>
        <w:gridCol w:w="4536"/>
        <w:gridCol w:w="4536"/>
      </w:tblGrid>
      <w:tr>
        <w:tc>
          <w:tcPr>
            <w:tcW w:type="dxa" w:w="4536"/>
            <w:shd w:fill="1B3A5C" w:val="clear"/>
          </w:tcPr>
          <w:p>
            <w:pPr>
              <w:jc w:val="center"/>
            </w:pPr>
            <w:r>
              <w:rPr>
                <w:rFonts w:ascii="Calibri" w:hAnsi="Calibri"/>
                <w:b/>
                <w:color w:val="FFFFFF"/>
                <w:sz w:val="18"/>
              </w:rPr>
              <w:t>Attribute</w:t>
            </w:r>
          </w:p>
        </w:tc>
        <w:tc>
          <w:tcPr>
            <w:tcW w:type="dxa" w:w="4536"/>
            <w:shd w:fill="1B3A5C" w:val="clear"/>
          </w:tcPr>
          <w:p>
            <w:pPr>
              <w:jc w:val="center"/>
            </w:pPr>
            <w:r>
              <w:rPr>
                <w:rFonts w:ascii="Calibri" w:hAnsi="Calibri"/>
                <w:b/>
                <w:color w:val="FFFFFF"/>
                <w:sz w:val="18"/>
              </w:rPr>
              <w:t>Detail</w:t>
            </w:r>
          </w:p>
        </w:tc>
      </w:tr>
      <w:tr>
        <w:tc>
          <w:tcPr>
            <w:tcW w:type="dxa" w:w="4536"/>
            <w:shd w:fill="F2F6FA" w:val="clear"/>
          </w:tcPr>
          <w:p>
            <w:r>
              <w:rPr>
                <w:rFonts w:ascii="Calibri" w:hAnsi="Calibri"/>
                <w:sz w:val="18"/>
              </w:rPr>
              <w:t>Risk ID</w:t>
            </w:r>
          </w:p>
        </w:tc>
        <w:tc>
          <w:tcPr>
            <w:tcW w:type="dxa" w:w="4536"/>
            <w:shd w:fill="F2F6FA" w:val="clear"/>
          </w:tcPr>
          <w:p>
            <w:r>
              <w:rPr>
                <w:rFonts w:ascii="Calibri" w:hAnsi="Calibri"/>
                <w:sz w:val="18"/>
              </w:rPr>
              <w:t>R-001</w:t>
            </w:r>
          </w:p>
        </w:tc>
      </w:tr>
      <w:tr>
        <w:tc>
          <w:tcPr>
            <w:tcW w:type="dxa" w:w="4536"/>
          </w:tcPr>
          <w:p>
            <w:r>
              <w:rPr>
                <w:rFonts w:ascii="Calibri" w:hAnsi="Calibri"/>
                <w:sz w:val="18"/>
              </w:rPr>
              <w:t>Risk Description</w:t>
            </w:r>
          </w:p>
        </w:tc>
        <w:tc>
          <w:tcPr>
            <w:tcW w:type="dxa" w:w="4536"/>
          </w:tcPr>
          <w:p>
            <w:r>
              <w:rPr>
                <w:rFonts w:ascii="Calibri" w:hAnsi="Calibri"/>
                <w:sz w:val="18"/>
              </w:rPr>
              <w:t>Security breaches, database downtime, performance issues, and unauthorized access to sensitive data</w:t>
            </w:r>
          </w:p>
        </w:tc>
      </w:tr>
      <w:tr>
        <w:tc>
          <w:tcPr>
            <w:tcW w:type="dxa" w:w="4536"/>
            <w:shd w:fill="F2F6FA" w:val="clear"/>
          </w:tcPr>
          <w:p>
            <w:r>
              <w:rPr>
                <w:rFonts w:ascii="Calibri" w:hAnsi="Calibri"/>
                <w:sz w:val="18"/>
              </w:rPr>
              <w:t>Risk Category</w:t>
            </w:r>
          </w:p>
        </w:tc>
        <w:tc>
          <w:tcPr>
            <w:tcW w:type="dxa" w:w="4536"/>
            <w:shd w:fill="F2F6FA" w:val="clear"/>
          </w:tcPr>
          <w:p>
            <w:r>
              <w:rPr>
                <w:rFonts w:ascii="Calibri" w:hAnsi="Calibri"/>
                <w:sz w:val="18"/>
              </w:rPr>
              <w:t>Technology/Security</w:t>
            </w:r>
          </w:p>
        </w:tc>
      </w:tr>
      <w:tr>
        <w:tc>
          <w:tcPr>
            <w:tcW w:type="dxa" w:w="4536"/>
          </w:tcPr>
          <w:p>
            <w:r>
              <w:rPr>
                <w:rFonts w:ascii="Calibri" w:hAnsi="Calibri"/>
                <w:sz w:val="18"/>
              </w:rPr>
              <w:t>Control ID</w:t>
            </w:r>
          </w:p>
        </w:tc>
        <w:tc>
          <w:tcPr>
            <w:tcW w:type="dxa" w:w="4536"/>
          </w:tcPr>
          <w:p>
            <w:r>
              <w:rPr>
                <w:rFonts w:ascii="Calibri" w:hAnsi="Calibri"/>
                <w:sz w:val="18"/>
              </w:rPr>
              <w:t>C-001</w:t>
            </w:r>
          </w:p>
        </w:tc>
      </w:tr>
      <w:tr>
        <w:tc>
          <w:tcPr>
            <w:tcW w:type="dxa" w:w="4536"/>
            <w:shd w:fill="F2F6FA" w:val="clear"/>
          </w:tcPr>
          <w:p>
            <w:r>
              <w:rPr>
                <w:rFonts w:ascii="Calibri" w:hAnsi="Calibri"/>
                <w:sz w:val="18"/>
              </w:rPr>
              <w:t>Control Objective</w:t>
            </w:r>
          </w:p>
        </w:tc>
        <w:tc>
          <w:tcPr>
            <w:tcW w:type="dxa" w:w="4536"/>
            <w:shd w:fill="F2F6FA" w:val="clear"/>
          </w:tcPr>
          <w:p>
            <w:r>
              <w:rPr>
                <w:rFonts w:ascii="Calibri" w:hAnsi="Calibri"/>
                <w:sz w:val="18"/>
              </w:rPr>
              <w:t>To monitor database performance and security events</w:t>
            </w:r>
          </w:p>
        </w:tc>
      </w:tr>
      <w:tr>
        <w:tc>
          <w:tcPr>
            <w:tcW w:type="dxa" w:w="4536"/>
          </w:tcPr>
          <w:p>
            <w:r>
              <w:rPr>
                <w:rFonts w:ascii="Calibri" w:hAnsi="Calibri"/>
                <w:sz w:val="18"/>
              </w:rPr>
              <w:t>Control Description</w:t>
            </w:r>
          </w:p>
        </w:tc>
        <w:tc>
          <w:tcPr>
            <w:tcW w:type="dxa" w:w="4536"/>
          </w:tcPr>
          <w:p>
            <w:r>
              <w:rPr>
                <w:rFonts w:ascii="Calibri" w:hAnsi="Calibri"/>
                <w:sz w:val="18"/>
              </w:rPr>
              <w:t>The control uses Splunk for log aggregation of DB audit logs and Redgate SQL Monitor for performance monitoring, with alerts set for critical security breaches, DB downtime, high CPU usage, and long running queries</w:t>
            </w:r>
          </w:p>
        </w:tc>
      </w:tr>
      <w:tr>
        <w:tc>
          <w:tcPr>
            <w:tcW w:type="dxa" w:w="4536"/>
            <w:shd w:fill="F2F6FA" w:val="clear"/>
          </w:tcPr>
          <w:p>
            <w:r>
              <w:rPr>
                <w:rFonts w:ascii="Calibri" w:hAnsi="Calibri"/>
                <w:sz w:val="18"/>
              </w:rPr>
              <w:t>Control Owner</w:t>
            </w:r>
          </w:p>
        </w:tc>
        <w:tc>
          <w:tcPr>
            <w:tcW w:type="dxa" w:w="4536"/>
            <w:shd w:fill="F2F6FA" w:val="clear"/>
          </w:tcPr>
          <w:p>
            <w:r>
              <w:rPr>
                <w:rFonts w:ascii="Calibri" w:hAnsi="Calibri"/>
                <w:sz w:val="18"/>
              </w:rPr>
              <w:t>Rachel Green (Monitoring Lead) and Tom Brady (DBA)</w:t>
            </w:r>
          </w:p>
        </w:tc>
      </w:tr>
      <w:tr>
        <w:tc>
          <w:tcPr>
            <w:tcW w:type="dxa" w:w="4536"/>
          </w:tcPr>
          <w:p>
            <w:r>
              <w:rPr>
                <w:rFonts w:ascii="Calibri" w:hAnsi="Calibri"/>
                <w:sz w:val="18"/>
              </w:rPr>
              <w:t>Frequency</w:t>
            </w:r>
          </w:p>
        </w:tc>
        <w:tc>
          <w:tcPr>
            <w:tcW w:type="dxa" w:w="4536"/>
          </w:tcPr>
          <w:p>
            <w:r>
              <w:rPr>
                <w:rFonts w:ascii="Calibri" w:hAnsi="Calibri"/>
                <w:sz w:val="18"/>
              </w:rPr>
              <w:t>Daily</w:t>
            </w:r>
          </w:p>
        </w:tc>
      </w:tr>
      <w:tr>
        <w:tc>
          <w:tcPr>
            <w:tcW w:type="dxa" w:w="4536"/>
            <w:shd w:fill="F2F6FA" w:val="clear"/>
          </w:tcPr>
          <w:p>
            <w:r>
              <w:rPr>
                <w:rFonts w:ascii="Calibri" w:hAnsi="Calibri"/>
                <w:sz w:val="18"/>
              </w:rPr>
              <w:t>Type</w:t>
            </w:r>
          </w:p>
        </w:tc>
        <w:tc>
          <w:tcPr>
            <w:tcW w:type="dxa" w:w="4536"/>
            <w:shd w:fill="F2F6FA" w:val="clear"/>
          </w:tcPr>
          <w:p>
            <w:r>
              <w:rPr>
                <w:rFonts w:ascii="Calibri" w:hAnsi="Calibri"/>
                <w:sz w:val="18"/>
              </w:rPr>
              <w:t>Preventive</w:t>
            </w:r>
          </w:p>
        </w:tc>
      </w:tr>
      <w:tr>
        <w:tc>
          <w:tcPr>
            <w:tcW w:type="dxa" w:w="4536"/>
          </w:tcPr>
          <w:p>
            <w:r>
              <w:rPr>
                <w:rFonts w:ascii="Calibri" w:hAnsi="Calibri"/>
                <w:sz w:val="18"/>
              </w:rPr>
              <w:t>Nature</w:t>
            </w:r>
          </w:p>
        </w:tc>
        <w:tc>
          <w:tcPr>
            <w:tcW w:type="dxa" w:w="4536"/>
          </w:tcPr>
          <w:p>
            <w:r>
              <w:rPr>
                <w:rFonts w:ascii="Calibri" w:hAnsi="Calibri"/>
                <w:sz w:val="18"/>
              </w:rPr>
              <w:t>Manual</w:t>
            </w:r>
          </w:p>
        </w:tc>
      </w:tr>
      <w:tr>
        <w:tc>
          <w:tcPr>
            <w:tcW w:type="dxa" w:w="4536"/>
            <w:shd w:fill="F2F6FA" w:val="clear"/>
          </w:tcPr>
          <w:p>
            <w:r>
              <w:rPr>
                <w:rFonts w:ascii="Calibri" w:hAnsi="Calibri"/>
                <w:sz w:val="18"/>
              </w:rPr>
              <w:t>Mitigating Activities</w:t>
            </w:r>
          </w:p>
        </w:tc>
        <w:tc>
          <w:tcPr>
            <w:tcW w:type="dxa" w:w="4536"/>
            <w:shd w:fill="F2F6FA" w:val="clear"/>
          </w:tcPr>
          <w:p>
            <w:r>
              <w:rPr>
                <w:rFonts w:ascii="Calibri" w:hAnsi="Calibri"/>
                <w:sz w:val="18"/>
              </w:rPr>
              <w:t>Log aggregation and monitoring, Alert response and escalation, Performance monitoring</w:t>
            </w:r>
          </w:p>
        </w:tc>
      </w:tr>
      <w:tr>
        <w:tc>
          <w:tcPr>
            <w:tcW w:type="dxa" w:w="4536"/>
          </w:tcPr>
          <w:p>
            <w:r>
              <w:rPr>
                <w:rFonts w:ascii="Calibri" w:hAnsi="Calibri"/>
                <w:sz w:val="18"/>
              </w:rPr>
              <w:t>Systems/Applications</w:t>
            </w:r>
          </w:p>
        </w:tc>
        <w:tc>
          <w:tcPr>
            <w:tcW w:type="dxa" w:w="4536"/>
          </w:tcPr>
          <w:p>
            <w:r>
              <w:rPr>
                <w:rFonts w:ascii="Calibri" w:hAnsi="Calibri"/>
                <w:sz w:val="18"/>
              </w:rPr>
              <w:t>Splunk, Redgate SQL Monitor</w:t>
            </w:r>
          </w:p>
        </w:tc>
      </w:tr>
      <w:tr>
        <w:tc>
          <w:tcPr>
            <w:tcW w:type="dxa" w:w="4536"/>
            <w:shd w:fill="F2F6FA" w:val="clear"/>
          </w:tcPr>
          <w:p>
            <w:r>
              <w:rPr>
                <w:rFonts w:ascii="Calibri" w:hAnsi="Calibri"/>
                <w:sz w:val="18"/>
              </w:rPr>
              <w:t>Testing Approach</w:t>
            </w:r>
          </w:p>
        </w:tc>
        <w:tc>
          <w:tcPr>
            <w:tcW w:type="dxa" w:w="4536"/>
            <w:shd w:fill="F2F6FA" w:val="clear"/>
          </w:tcPr>
          <w:p>
            <w:r>
              <w:rPr>
                <w:rFonts w:ascii="Calibri" w:hAnsi="Calibri"/>
                <w:sz w:val="18"/>
              </w:rPr>
              <w:t>CDE, COE</w:t>
            </w:r>
          </w:p>
        </w:tc>
      </w:tr>
      <w:tr>
        <w:tc>
          <w:tcPr>
            <w:tcW w:type="dxa" w:w="4536"/>
          </w:tcPr>
          <w:p>
            <w:r>
              <w:rPr>
                <w:rFonts w:ascii="Calibri" w:hAnsi="Calibri"/>
                <w:sz w:val="18"/>
              </w:rPr>
              <w:t>Evidence Required</w:t>
            </w:r>
          </w:p>
        </w:tc>
        <w:tc>
          <w:tcPr>
            <w:tcW w:type="dxa" w:w="4536"/>
          </w:tcPr>
          <w:p>
            <w:r>
              <w:rPr>
                <w:rFonts w:ascii="Calibri" w:hAnsi="Calibri"/>
                <w:sz w:val="18"/>
              </w:rPr>
              <w:t>Audit logs, Alert records, Response time metrics</w:t>
            </w:r>
          </w:p>
        </w:tc>
      </w:tr>
    </w:tbl>
    <w:p/>
    <w:p>
      <w:r>
        <w:br w:type="page"/>
      </w:r>
    </w:p>
    <w:p>
      <w:pPr>
        <w:pStyle w:val="Heading2"/>
      </w:pPr>
      <w:r>
        <w:t>Overall Conclusion</w:t>
      </w:r>
    </w:p>
    <w:p>
      <w:r>
        <w:rPr>
          <w:b/>
          <w:sz w:val="28"/>
        </w:rPr>
        <w:t>Control Effectiveness: Not Assessed</w:t>
      </w:r>
    </w:p>
    <w:p/>
    <w:p>
      <w:pPr>
        <w:jc w:val="center"/>
      </w:pPr>
      <w:r>
        <w:rPr>
          <w:i/>
          <w:color w:val="95A5A6"/>
          <w:sz w:val="16"/>
        </w:rPr>
        <w:t>Generated by UC-01 v2 Agentic AI Audit Workpaper Assistant | 2026-04-06 08:09</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