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f04r99o06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컬럼 설명 (중요도 순)</w:t>
      </w:r>
    </w:p>
    <w:tbl>
      <w:tblPr>
        <w:tblStyle w:val="Table1"/>
        <w:tblW w:w="7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645"/>
        <w:gridCol w:w="4905"/>
        <w:tblGridChange w:id="0">
          <w:tblGrid>
            <w:gridCol w:w="1695"/>
            <w:gridCol w:w="645"/>
            <w:gridCol w:w="490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고유 ID (index key)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임베딩 텍스트 (조문 내용)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law_family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주택임대차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law_name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주택임대차보호법 / 민법 등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law_type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특별법 / 시행령 / 시행규칙 / 일반법 / 사법규칙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제3조, 제623조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article_title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조문 제목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1~4 (우선순위)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effective_date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시행일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source_file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원본 파일명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qy7g86w959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priority 값 다시 한번 정리 (중요)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8heyzet930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| Priority | 구분 | 예시 | 비고 |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8heyzet93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| --- | --- | --- | --- |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8heyzet930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| **1** | **특별법** | 주택임대차보호법 | 최우선 적용 |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8heyzet930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| **2** | **시행령** | 주택임대차보호법 시행령 | 법률의 구체적 위임 |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8heyzet930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| **3** | **시행규칙** | 주택임대차보호법 시행규칙 | 절차 및 서식 등 |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8heyzet930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| **4** | **일반법** | 민법 (임대차 편) | 특별법에 없을 때 적용 |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8heyzet930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| **5** | **대법원 판례** | 대법원 20XX다XXXX | 확정된 법리 해석 |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8heyzet930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| **6** | **하급심 판례** | 서울지방법원... | 구체적 사실관계 참조 |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dgrysmc1kt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| **7** | **상담 사례** | 분쟁조정위원회 사례 | 유사 사례 참고용 |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8heyzet93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6vpjqxywchph" w:id="4"/>
      <w:bookmarkEnd w:id="4"/>
      <w:r w:rsidDel="00000000" w:rsidR="00000000" w:rsidRPr="00000000">
        <w:rPr>
          <w:rtl w:val="0"/>
        </w:rPr>
        <w:t xml:space="preserve">👉 rerank 단계에서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priority 낮을수록 가중치 높게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