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ETF 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ETF Weight(%)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ETF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IHI</w:t>
            </w:r>
          </w:p>
        </w:tc>
        <w:tc>
          <w:p>
            <w:pPr>
              <w:pStyle w:val="Compact"/>
              <w:jc w:val="right"/>
            </w:pPr>
            <w:r>
              <w:t xml:space="preserve">20.561</w:t>
            </w:r>
          </w:p>
        </w:tc>
        <w:tc>
          <w:p>
            <w:pPr>
              <w:pStyle w:val="Compact"/>
              <w:jc w:val="left"/>
            </w:pPr>
            <w:r>
              <w:t xml:space="preserve">iShares U.S. Medical Devices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EWT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  <w:tc>
          <w:p>
            <w:pPr>
              <w:pStyle w:val="Compact"/>
              <w:jc w:val="left"/>
            </w:pPr>
            <w:r>
              <w:t xml:space="preserve">iShares MSCI Taiwan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PFF</w:t>
            </w:r>
          </w:p>
        </w:tc>
        <w:tc>
          <w:p>
            <w:pPr>
              <w:pStyle w:val="Compact"/>
              <w:jc w:val="right"/>
            </w:pPr>
            <w:r>
              <w:t xml:space="preserve">16.175</w:t>
            </w:r>
          </w:p>
        </w:tc>
        <w:tc>
          <w:p>
            <w:pPr>
              <w:pStyle w:val="Compact"/>
              <w:jc w:val="left"/>
            </w:pPr>
            <w:r>
              <w:t xml:space="preserve">iShares Preferred and Income Securities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ISZE</w:t>
            </w:r>
          </w:p>
        </w:tc>
        <w:tc>
          <w:p>
            <w:pPr>
              <w:pStyle w:val="Compact"/>
              <w:jc w:val="right"/>
            </w:pPr>
            <w:r>
              <w:t xml:space="preserve">11.514</w:t>
            </w:r>
          </w:p>
        </w:tc>
        <w:tc>
          <w:p>
            <w:pPr>
              <w:pStyle w:val="Compact"/>
              <w:jc w:val="left"/>
            </w:pPr>
            <w:r>
              <w:t xml:space="preserve">iShares MSCI Intl Size Factor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QAT</w:t>
            </w:r>
          </w:p>
        </w:tc>
        <w:tc>
          <w:p>
            <w:pPr>
              <w:pStyle w:val="Compact"/>
              <w:jc w:val="right"/>
            </w:pPr>
            <w:r>
              <w:t xml:space="preserve">9.912</w:t>
            </w:r>
          </w:p>
        </w:tc>
        <w:tc>
          <w:p>
            <w:pPr>
              <w:pStyle w:val="Compact"/>
              <w:jc w:val="left"/>
            </w:pPr>
            <w:r>
              <w:t xml:space="preserve">iShares MSCI Qatar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right"/>
            </w:pPr>
            <w:r>
              <w:t xml:space="preserve">8.477</w:t>
            </w:r>
          </w:p>
        </w:tc>
        <w:tc>
          <w:p>
            <w:pPr>
              <w:pStyle w:val="Compact"/>
              <w:jc w:val="left"/>
            </w:pPr>
            <w:r>
              <w:t xml:space="preserve">iShares MSCI Global Gold Miners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HJPX</w:t>
            </w:r>
          </w:p>
        </w:tc>
        <w:tc>
          <w:p>
            <w:pPr>
              <w:pStyle w:val="Compact"/>
              <w:jc w:val="right"/>
            </w:pPr>
            <w:r>
              <w:t xml:space="preserve">5.375</w:t>
            </w:r>
          </w:p>
        </w:tc>
        <w:tc>
          <w:p>
            <w:pPr>
              <w:pStyle w:val="Compact"/>
              <w:jc w:val="left"/>
            </w:pPr>
            <w:r>
              <w:t xml:space="preserve">iShares Currency Hedged JPX-Nikkei 400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EDEN</w:t>
            </w:r>
          </w:p>
        </w:tc>
        <w:tc>
          <w:p>
            <w:pPr>
              <w:pStyle w:val="Compact"/>
              <w:jc w:val="right"/>
            </w:pPr>
            <w:r>
              <w:t xml:space="preserve">3.633</w:t>
            </w:r>
          </w:p>
        </w:tc>
        <w:tc>
          <w:p>
            <w:pPr>
              <w:pStyle w:val="Compact"/>
              <w:jc w:val="left"/>
            </w:pPr>
            <w:r>
              <w:t xml:space="preserve">iShares MSCI Denmark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HEWC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left"/>
            </w:pPr>
            <w:r>
              <w:t xml:space="preserve">iShares Currency Hedged MSCI Canada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IDU</w:t>
            </w:r>
          </w:p>
        </w:tc>
        <w:tc>
          <w:p>
            <w:pPr>
              <w:pStyle w:val="Compact"/>
              <w:jc w:val="right"/>
            </w:pPr>
            <w:r>
              <w:t xml:space="preserve">2.605</w:t>
            </w:r>
          </w:p>
        </w:tc>
        <w:tc>
          <w:p>
            <w:pPr>
              <w:pStyle w:val="Compact"/>
              <w:jc w:val="left"/>
            </w:pPr>
            <w:r>
              <w:t xml:space="preserve">iShares U.S. Utilities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IWY</w:t>
            </w:r>
          </w:p>
        </w:tc>
        <w:tc>
          <w:p>
            <w:pPr>
              <w:pStyle w:val="Compact"/>
              <w:jc w:val="right"/>
            </w:pPr>
            <w:r>
              <w:t xml:space="preserve">1.508</w:t>
            </w:r>
          </w:p>
        </w:tc>
        <w:tc>
          <w:p>
            <w:pPr>
              <w:pStyle w:val="Compact"/>
              <w:jc w:val="left"/>
            </w:pPr>
            <w:r>
              <w:t xml:space="preserve">iShares Russell Top 200 Growth ETF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SCJ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iShares MSCI Japan Small-Cap ETF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2022-04-12T15:24:43Z</dcterms:created>
  <dcterms:modified xsi:type="dcterms:W3CDTF">2022-04-12T15:24:43Z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pdf_document</vt:lpwstr>
  </property>
</Properties>
</file>