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Times New Roman" w:hAnsi="Times New Roman"/>
          <w:b/>
          <w:sz w:val="24"/>
        </w:rPr>
        <w:t>APPENDIX – G</w:t>
        <w:br/>
        <w:t>DISSERTATION ABSTRACT</w:t>
      </w:r>
    </w:p>
    <w:p>
      <w:pPr>
        <w:keepNext w:val="0"/>
        <w:spacing w:before="0" w:after="0" w:line="360" w:lineRule="auto"/>
        <w:jc w:val="both"/>
      </w:pPr>
    </w:p>
    <w:p>
      <w:pPr>
        <w:keepNext w:val="0"/>
        <w:spacing w:before="0" w:after="0" w:line="360" w:lineRule="auto"/>
        <w:jc w:val="both"/>
      </w:pPr>
    </w:p>
    <w:p>
      <w:pPr>
        <w:spacing w:after="120"/>
        <w:jc w:val="left"/>
      </w:pPr>
      <w:r>
        <w:rPr>
          <w:rFonts w:ascii="Times New Roman" w:hAnsi="Times New Roman"/>
          <w:sz w:val="24"/>
        </w:rPr>
        <w:t>a) Title of the dissertation (in Capital letters) : PREDICTIVE RISK INTELLIGENCE FOR METABOLIC SCREENING IN DIABETES</w:t>
      </w:r>
    </w:p>
    <w:p>
      <w:pPr>
        <w:spacing w:after="120"/>
        <w:jc w:val="left"/>
      </w:pPr>
      <w:r>
        <w:rPr>
          <w:rFonts w:ascii="Times New Roman" w:hAnsi="Times New Roman"/>
          <w:sz w:val="24"/>
        </w:rPr>
        <w:t>b) Full name of student (s) : ________________________________________________</w:t>
      </w:r>
    </w:p>
    <w:p>
      <w:pPr>
        <w:spacing w:after="120"/>
        <w:jc w:val="left"/>
      </w:pPr>
      <w:r>
        <w:rPr>
          <w:rFonts w:ascii="Times New Roman" w:hAnsi="Times New Roman"/>
          <w:sz w:val="24"/>
        </w:rPr>
        <w:t>c) Name and address of Major Advisor : ________________________________________________</w:t>
      </w:r>
    </w:p>
    <w:p>
      <w:pPr>
        <w:keepNext w:val="0"/>
        <w:spacing w:before="0" w:after="0" w:line="360" w:lineRule="auto"/>
        <w:jc w:val="both"/>
      </w:pPr>
    </w:p>
    <w:p>
      <w:pPr>
        <w:keepNext w:val="0"/>
        <w:spacing w:before="0" w:after="120" w:line="360" w:lineRule="auto"/>
        <w:jc w:val="both"/>
      </w:pPr>
      <w:r>
        <w:rPr>
          <w:rFonts w:ascii="Times New Roman" w:hAnsi="Times New Roman"/>
          <w:b w:val="0"/>
          <w:i w:val="0"/>
          <w:sz w:val="24"/>
          <w:u w:val="none"/>
        </w:rPr>
        <w:t>Millions of adults worldwide receive a clean bill of health simply because their Body Mass Index falls within the normal range (18.5 &lt;= BMI &lt;= 24.9 kg/m^2). However, BMI is blind to fat distribution and ectopic tissue accumulation. Underneath a healthy-looking exterior, a patient may carry a silent, severe dual metabolic burden—simultaneous insulin resistance and hepatic steatosis—invisible to traditional screening.</w:t>
      </w:r>
    </w:p>
    <w:p>
      <w:pPr>
        <w:keepNext w:val="0"/>
        <w:spacing w:before="0" w:after="120" w:line="360" w:lineRule="auto"/>
        <w:jc w:val="both"/>
      </w:pPr>
      <w:r>
        <w:rPr>
          <w:rFonts w:ascii="Times New Roman" w:hAnsi="Times New Roman"/>
          <w:b w:val="0"/>
          <w:i w:val="0"/>
          <w:sz w:val="24"/>
          <w:u w:val="none"/>
        </w:rPr>
        <w:t>The Latent Metabolic State Inference System (LMSIS) deploys a Dual-Anchored Semi-Supervised Identifiable Variational Autoencoder (DA-SS-iVAE) to recover a continuous 2D latent metabolic geometry from 14 routine blood biomarkers. The model maps routine features to biological pathways using monotone anchor networks to strictly enforce clinical identifiability.</w:t>
      </w:r>
    </w:p>
    <w:p>
      <w:pPr>
        <w:keepNext w:val="0"/>
        <w:spacing w:before="0" w:after="120" w:line="360" w:lineRule="auto"/>
        <w:jc w:val="both"/>
      </w:pPr>
      <w:r>
        <w:rPr>
          <w:rFonts w:ascii="Times New Roman" w:hAnsi="Times New Roman"/>
          <w:b w:val="0"/>
          <w:i w:val="0"/>
          <w:sz w:val="24"/>
          <w:u w:val="none"/>
        </w:rPr>
        <w:t>LMSIS dramatically outperforms traditional clinical indices, achieving an AUROC of 0.841 for steatosis detection in a cohort where BMI was statistically useless (AUROC 0.512). Furthermore, the integration of Mondrian Conformal Prediction ensures that the system provides statistically guaranteed bounds on predictive uncertainty, correcting the severe coverage disparities observed in the high-risk Dual-Burden subpopulation. Ultimately, this research provides a scalable, computationally rigorous framework for proactive metabolic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