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0" w:line="360" w:lineRule="auto"/>
        <w:jc w:val="both"/>
      </w:pPr>
    </w:p>
    <w:p>
      <w:pPr>
        <w:keepNext w:val="0"/>
        <w:spacing w:before="0" w:after="0" w:line="360" w:lineRule="auto"/>
        <w:jc w:val="both"/>
      </w:pPr>
    </w:p>
    <w:p>
      <w:pPr>
        <w:keepNext w:val="0"/>
        <w:spacing w:before="0" w:after="0" w:line="360" w:lineRule="auto"/>
        <w:jc w:val="both"/>
      </w:pPr>
    </w:p>
    <w:p>
      <w:pPr>
        <w:keepNext w:val="0"/>
        <w:spacing w:before="0" w:after="240" w:line="360" w:lineRule="auto"/>
        <w:jc w:val="center"/>
      </w:pPr>
      <w:r>
        <w:rPr>
          <w:rFonts w:ascii="Times New Roman" w:hAnsi="Times New Roman"/>
          <w:b/>
          <w:i w:val="0"/>
          <w:sz w:val="24"/>
          <w:u w:val="none"/>
        </w:rPr>
        <w:t>PREDICTIVE RISK INTELLIGENCE FOR METABOLIC SCREENING IN DIABETES</w:t>
      </w:r>
    </w:p>
    <w:p>
      <w:pPr>
        <w:keepNext w:val="0"/>
        <w:spacing w:before="0" w:after="120" w:line="360" w:lineRule="auto"/>
        <w:jc w:val="center"/>
      </w:pPr>
      <w:r>
        <w:rPr>
          <w:rFonts w:ascii="Times New Roman" w:hAnsi="Times New Roman"/>
          <w:b w:val="0"/>
          <w:i/>
          <w:sz w:val="24"/>
          <w:u w:val="none"/>
        </w:rPr>
        <w:t>Latent Metabolic State Inference System (LMSIS)</w:t>
        <w:br/>
        <w:t>A Semi-Supervised Deep Learning Framework for Early Detection of</w:t>
        <w:br/>
        <w:t>Metabolic Dysfunction in Normal-BMI Adults</w:t>
      </w:r>
    </w:p>
    <w:p>
      <w:pPr>
        <w:keepNext w:val="0"/>
        <w:spacing w:before="0" w:after="0" w:line="360" w:lineRule="auto"/>
        <w:jc w:val="both"/>
      </w:pPr>
    </w:p>
    <w:p>
      <w:pPr>
        <w:keepNext w:val="0"/>
        <w:spacing w:before="0" w:after="0" w:line="360" w:lineRule="auto"/>
        <w:jc w:val="both"/>
      </w:pPr>
    </w:p>
    <w:p>
      <w:pPr>
        <w:keepNext w:val="0"/>
        <w:spacing w:before="0" w:after="120" w:line="360" w:lineRule="auto"/>
        <w:jc w:val="center"/>
      </w:pPr>
      <w:r>
        <w:rPr>
          <w:rFonts w:ascii="Times New Roman" w:hAnsi="Times New Roman"/>
          <w:b w:val="0"/>
          <w:i w:val="0"/>
          <w:sz w:val="24"/>
          <w:u w:val="none"/>
        </w:rPr>
        <w:t>A Dissertation Submitted for the Award of the Degree of</w:t>
      </w:r>
    </w:p>
    <w:p>
      <w:pPr>
        <w:keepNext w:val="0"/>
        <w:spacing w:before="0" w:after="120" w:line="360" w:lineRule="auto"/>
        <w:jc w:val="center"/>
      </w:pPr>
      <w:r>
        <w:rPr>
          <w:rFonts w:ascii="Times New Roman" w:hAnsi="Times New Roman"/>
          <w:b w:val="0"/>
          <w:i w:val="0"/>
          <w:sz w:val="24"/>
          <w:u w:val="none"/>
        </w:rPr>
      </w:r>
    </w:p>
    <w:p>
      <w:pPr>
        <w:keepNext w:val="0"/>
        <w:spacing w:before="0" w:after="120" w:line="360" w:lineRule="auto"/>
        <w:jc w:val="center"/>
      </w:pPr>
      <w:r>
        <w:rPr>
          <w:rFonts w:ascii="Times New Roman" w:hAnsi="Times New Roman"/>
          <w:b/>
          <w:i w:val="0"/>
          <w:sz w:val="24"/>
          <w:u w:val="none"/>
        </w:rPr>
        <w:t>4-Year Undergraduate Degree (Honours/Research)</w:t>
      </w:r>
    </w:p>
    <w:p>
      <w:pPr>
        <w:keepNext w:val="0"/>
        <w:spacing w:before="0" w:after="120" w:line="360" w:lineRule="auto"/>
        <w:jc w:val="center"/>
      </w:pPr>
      <w:r>
        <w:rPr>
          <w:rFonts w:ascii="Times New Roman" w:hAnsi="Times New Roman"/>
          <w:b w:val="0"/>
          <w:i w:val="0"/>
          <w:sz w:val="24"/>
          <w:u w:val="none"/>
        </w:rPr>
        <w:t>in</w:t>
      </w:r>
    </w:p>
    <w:p>
      <w:pPr>
        <w:keepNext w:val="0"/>
        <w:spacing w:before="0" w:after="120" w:line="360" w:lineRule="auto"/>
        <w:jc w:val="center"/>
      </w:pPr>
      <w:r>
        <w:rPr>
          <w:rFonts w:ascii="Times New Roman" w:hAnsi="Times New Roman"/>
          <w:b/>
          <w:i w:val="0"/>
          <w:sz w:val="24"/>
          <w:u w:val="none"/>
        </w:rPr>
        <w:t>Department of Computer Applications</w:t>
      </w:r>
    </w:p>
    <w:p>
      <w:pPr>
        <w:keepNext w:val="0"/>
        <w:spacing w:before="0" w:after="120" w:line="360" w:lineRule="auto"/>
        <w:jc w:val="center"/>
      </w:pPr>
      <w:r>
        <w:rPr>
          <w:rFonts w:ascii="Times New Roman" w:hAnsi="Times New Roman"/>
          <w:b w:val="0"/>
          <w:i w:val="0"/>
          <w:sz w:val="24"/>
          <w:u w:val="none"/>
        </w:rPr>
      </w:r>
    </w:p>
    <w:p>
      <w:pPr>
        <w:keepNext w:val="0"/>
        <w:spacing w:before="0" w:after="120" w:line="360" w:lineRule="auto"/>
        <w:jc w:val="center"/>
      </w:pPr>
      <w:r>
        <w:rPr>
          <w:rFonts w:ascii="Times New Roman" w:hAnsi="Times New Roman"/>
          <w:b w:val="0"/>
          <w:i w:val="0"/>
          <w:sz w:val="24"/>
          <w:u w:val="none"/>
        </w:rPr>
        <w:t>By</w:t>
      </w:r>
    </w:p>
    <w:p>
      <w:pPr>
        <w:keepNext w:val="0"/>
        <w:spacing w:before="0" w:after="120" w:line="360" w:lineRule="auto"/>
        <w:jc w:val="center"/>
      </w:pPr>
      <w:r>
        <w:rPr>
          <w:rFonts w:ascii="Times New Roman" w:hAnsi="Times New Roman"/>
          <w:b w:val="0"/>
          <w:i w:val="0"/>
          <w:sz w:val="24"/>
          <w:u w:val="none"/>
        </w:rPr>
      </w:r>
    </w:p>
    <w:p>
      <w:pPr>
        <w:keepNext w:val="0"/>
        <w:spacing w:before="0" w:after="120" w:line="360" w:lineRule="auto"/>
        <w:jc w:val="center"/>
      </w:pPr>
      <w:r>
        <w:rPr>
          <w:rFonts w:ascii="Times New Roman" w:hAnsi="Times New Roman"/>
          <w:b/>
          <w:i w:val="0"/>
          <w:sz w:val="24"/>
          <w:u w:val="none"/>
        </w:rPr>
        <w:t>_________________________________</w:t>
        <w:br/>
        <w:t>(Student Name with Registration Number)</w:t>
      </w:r>
    </w:p>
    <w:p>
      <w:pPr>
        <w:keepNext w:val="0"/>
        <w:spacing w:before="0" w:after="120" w:line="360" w:lineRule="auto"/>
        <w:jc w:val="center"/>
      </w:pPr>
      <w:r>
        <w:rPr>
          <w:rFonts w:ascii="Times New Roman" w:hAnsi="Times New Roman"/>
          <w:b w:val="0"/>
          <w:i w:val="0"/>
          <w:sz w:val="24"/>
          <w:u w:val="none"/>
        </w:rPr>
      </w:r>
    </w:p>
    <w:p>
      <w:pPr>
        <w:keepNext w:val="0"/>
        <w:spacing w:before="0" w:after="120" w:line="360" w:lineRule="auto"/>
        <w:jc w:val="center"/>
      </w:pPr>
      <w:r>
        <w:rPr>
          <w:rFonts w:ascii="Times New Roman" w:hAnsi="Times New Roman"/>
          <w:b w:val="0"/>
          <w:i w:val="0"/>
          <w:sz w:val="24"/>
          <w:u w:val="none"/>
        </w:rPr>
        <w:t>Under the Supervision of</w:t>
      </w:r>
    </w:p>
    <w:p>
      <w:pPr>
        <w:keepNext w:val="0"/>
        <w:spacing w:before="0" w:after="120" w:line="360" w:lineRule="auto"/>
        <w:jc w:val="center"/>
      </w:pPr>
      <w:r>
        <w:rPr>
          <w:rFonts w:ascii="Times New Roman" w:hAnsi="Times New Roman"/>
          <w:b/>
          <w:i w:val="0"/>
          <w:sz w:val="24"/>
          <w:u w:val="none"/>
        </w:rPr>
        <w:t>_________________________________</w:t>
        <w:br/>
        <w:t>(Supervisor Name &amp; Designation)</w:t>
      </w:r>
    </w:p>
    <w:p>
      <w:pPr>
        <w:keepNext w:val="0"/>
        <w:spacing w:before="0" w:after="120" w:line="360" w:lineRule="auto"/>
        <w:jc w:val="center"/>
      </w:pPr>
      <w:r>
        <w:rPr>
          <w:rFonts w:ascii="Times New Roman" w:hAnsi="Times New Roman"/>
          <w:b w:val="0"/>
          <w:i w:val="0"/>
          <w:sz w:val="24"/>
          <w:u w:val="none"/>
        </w:rPr>
      </w:r>
    </w:p>
    <w:p>
      <w:pPr>
        <w:keepNext w:val="0"/>
        <w:spacing w:before="0" w:after="120" w:line="360" w:lineRule="auto"/>
        <w:jc w:val="center"/>
      </w:pPr>
      <w:r>
        <w:rPr>
          <w:rFonts w:ascii="Times New Roman" w:hAnsi="Times New Roman"/>
          <w:b/>
          <w:i w:val="0"/>
          <w:sz w:val="24"/>
          <w:u w:val="none"/>
        </w:rPr>
        <w:t>Department of Computer Applications</w:t>
      </w:r>
    </w:p>
    <w:p>
      <w:pPr>
        <w:keepNext w:val="0"/>
        <w:spacing w:before="0" w:after="120" w:line="360" w:lineRule="auto"/>
        <w:jc w:val="center"/>
      </w:pPr>
      <w:r>
        <w:rPr>
          <w:rFonts w:ascii="Times New Roman" w:hAnsi="Times New Roman"/>
          <w:b w:val="0"/>
          <w:i w:val="0"/>
          <w:sz w:val="24"/>
          <w:u w:val="none"/>
        </w:rPr>
        <w:t>Shaheed Himayun Muzammil Memorial</w:t>
        <w:br/>
        <w:t>Govt. Degree College Anantnag</w:t>
        <w:br/>
        <w:t>Higher Education Department, JK, India</w:t>
      </w:r>
    </w:p>
    <w:p>
      <w:pPr>
        <w:keepNext w:val="0"/>
        <w:spacing w:before="0" w:after="120" w:line="360" w:lineRule="auto"/>
        <w:jc w:val="center"/>
      </w:pPr>
      <w:r>
        <w:rPr>
          <w:rFonts w:ascii="Times New Roman" w:hAnsi="Times New Roman"/>
          <w:b w:val="0"/>
          <w:i w:val="0"/>
          <w:sz w:val="24"/>
          <w:u w:val="none"/>
        </w:rPr>
      </w:r>
    </w:p>
    <w:p>
      <w:pPr>
        <w:keepNext w:val="0"/>
        <w:spacing w:before="0" w:after="120" w:line="360" w:lineRule="auto"/>
        <w:jc w:val="center"/>
      </w:pPr>
      <w:r>
        <w:rPr>
          <w:rFonts w:ascii="Times New Roman" w:hAnsi="Times New Roman"/>
          <w:b/>
          <w:i w:val="0"/>
          <w:sz w:val="24"/>
          <w:u w:val="none"/>
        </w:rPr>
        <w:t>July 2026</w:t>
      </w:r>
    </w:p>
    <w:p>
      <w:r>
        <w:br w:type="page"/>
      </w:r>
    </w:p>
    <w:p>
      <w:pPr>
        <w:jc w:val="center"/>
      </w:pPr>
      <w:r>
        <w:rPr>
          <w:rFonts w:ascii="Times New Roman" w:hAnsi="Times New Roman"/>
          <w:b/>
          <w:sz w:val="24"/>
        </w:rPr>
        <w:t>ANNEXURE – P-I</w:t>
        <w:br/>
        <w:t>PLAGIARISM CERTIFICATE</w:t>
      </w:r>
    </w:p>
    <w:p>
      <w:pPr>
        <w:keepNext w:val="0"/>
        <w:spacing w:before="0" w:after="0" w:line="360" w:lineRule="auto"/>
        <w:jc w:val="both"/>
      </w:pPr>
    </w:p>
    <w:p>
      <w:pPr>
        <w:keepNext w:val="0"/>
        <w:spacing w:before="0" w:after="0" w:line="360" w:lineRule="auto"/>
        <w:jc w:val="both"/>
      </w:pPr>
    </w:p>
    <w:p>
      <w:pPr>
        <w:spacing w:after="120"/>
        <w:jc w:val="left"/>
      </w:pPr>
      <w:r>
        <w:rPr>
          <w:rFonts w:ascii="Times New Roman" w:hAnsi="Times New Roman"/>
          <w:sz w:val="24"/>
        </w:rPr>
        <w:t>Title of the Dissertation: PREDICTIVE RISK INTELLIGENCE FOR METABOLIC SCREENING IN DIABETES</w:t>
      </w:r>
    </w:p>
    <w:p>
      <w:pPr>
        <w:spacing w:after="120"/>
        <w:jc w:val="left"/>
      </w:pPr>
      <w:r>
        <w:rPr>
          <w:rFonts w:ascii="Times New Roman" w:hAnsi="Times New Roman"/>
          <w:sz w:val="24"/>
        </w:rPr>
        <w:t>Name of Student (s): __________________________________________</w:t>
      </w:r>
    </w:p>
    <w:p>
      <w:pPr>
        <w:spacing w:after="120"/>
        <w:jc w:val="left"/>
      </w:pPr>
      <w:r>
        <w:rPr>
          <w:rFonts w:ascii="Times New Roman" w:hAnsi="Times New Roman"/>
          <w:sz w:val="24"/>
        </w:rPr>
        <w:t>Registration Number (s): _______________________________________</w:t>
      </w:r>
    </w:p>
    <w:p>
      <w:pPr>
        <w:spacing w:after="120"/>
        <w:jc w:val="left"/>
      </w:pPr>
      <w:r>
        <w:rPr>
          <w:rFonts w:ascii="Times New Roman" w:hAnsi="Times New Roman"/>
          <w:sz w:val="24"/>
        </w:rPr>
        <w:t>Name of Supervisor: __________________________________________</w:t>
      </w:r>
    </w:p>
    <w:p>
      <w:pPr>
        <w:spacing w:after="120"/>
        <w:jc w:val="left"/>
      </w:pPr>
      <w:r>
        <w:rPr>
          <w:rFonts w:ascii="Times New Roman" w:hAnsi="Times New Roman"/>
          <w:sz w:val="24"/>
        </w:rPr>
        <w:t>Department: Department of Computer Applications</w:t>
      </w:r>
    </w:p>
    <w:p>
      <w:pPr>
        <w:spacing w:after="120"/>
        <w:jc w:val="left"/>
      </w:pPr>
      <w:r>
        <w:rPr>
          <w:rFonts w:ascii="Times New Roman" w:hAnsi="Times New Roman"/>
          <w:sz w:val="24"/>
        </w:rPr>
        <w:t>College: Shaheed Himayun Muzammil Memorial Govt. Degree College Anantnag</w:t>
      </w:r>
    </w:p>
    <w:p>
      <w:pPr>
        <w:spacing w:after="120"/>
        <w:jc w:val="left"/>
      </w:pPr>
      <w:r>
        <w:rPr>
          <w:rFonts w:ascii="Times New Roman" w:hAnsi="Times New Roman"/>
          <w:sz w:val="24"/>
        </w:rPr>
        <w:t>Programme: 4-Year Undergraduate Degree (Honours)</w:t>
      </w:r>
    </w:p>
    <w:p>
      <w:pPr>
        <w:keepNext w:val="0"/>
        <w:spacing w:before="0" w:after="0" w:line="360" w:lineRule="auto"/>
        <w:jc w:val="both"/>
      </w:pPr>
    </w:p>
    <w:p>
      <w:pPr>
        <w:keepNext w:val="0"/>
        <w:spacing w:before="0" w:after="120" w:line="360" w:lineRule="auto"/>
        <w:jc w:val="both"/>
      </w:pPr>
      <w:r>
        <w:rPr>
          <w:rFonts w:ascii="Times New Roman" w:hAnsi="Times New Roman"/>
          <w:b w:val="0"/>
          <w:i w:val="0"/>
          <w:sz w:val="24"/>
          <w:u w:val="none"/>
        </w:rPr>
        <w:t>I/we certify that the above-entitled dissertation was scanned for similarity detection using the institutional plagiarism detection software. The similarity index is within the acceptable limits prescribed by the University guidelines. The report generated by the software is attached herewith.</w:t>
      </w:r>
    </w:p>
    <w:p>
      <w:pPr>
        <w:keepNext w:val="0"/>
        <w:spacing w:before="0" w:after="120" w:line="360" w:lineRule="auto"/>
        <w:jc w:val="both"/>
      </w:pPr>
      <w:r>
        <w:rPr>
          <w:rFonts w:ascii="Times New Roman" w:hAnsi="Times New Roman"/>
          <w:b w:val="0"/>
          <w:i w:val="0"/>
          <w:sz w:val="24"/>
          <w:u w:val="none"/>
        </w:rPr>
        <w:t>We further certify that the work presented is entirely original, and wherever the works of others have been used, they have been properly cited and acknowledged in the text and bibliography.</w:t>
      </w:r>
    </w:p>
    <w:p>
      <w:pPr>
        <w:keepNext w:val="0"/>
        <w:spacing w:before="0" w:after="0" w:line="360" w:lineRule="auto"/>
        <w:jc w:val="both"/>
      </w:pPr>
    </w:p>
    <w:p>
      <w:pPr>
        <w:keepNext w:val="0"/>
        <w:spacing w:before="0" w:after="0" w:line="360" w:lineRule="auto"/>
        <w:jc w:val="both"/>
      </w:pPr>
    </w:p>
    <w:p>
      <w:pPr>
        <w:keepNext w:val="0"/>
        <w:spacing w:before="0" w:after="0" w:line="360" w:lineRule="auto"/>
        <w:jc w:val="both"/>
      </w:pPr>
    </w:p>
    <w:p>
      <w:pPr>
        <w:jc w:val="left"/>
      </w:pPr>
      <w:r>
        <w:rPr>
          <w:rFonts w:ascii="Times New Roman" w:hAnsi="Times New Roman"/>
          <w:sz w:val="24"/>
        </w:rPr>
        <w:t>Signature of Student(s): ____________________</w:t>
        <w:br/>
        <w:br/>
        <w:t>Signature of Supervisor: ____________________</w:t>
      </w:r>
    </w:p>
    <w:p>
      <w:r>
        <w:br w:type="page"/>
      </w:r>
    </w:p>
    <w:p>
      <w:pPr>
        <w:jc w:val="center"/>
      </w:pPr>
      <w:r>
        <w:rPr>
          <w:rFonts w:ascii="Times New Roman" w:hAnsi="Times New Roman"/>
          <w:b/>
          <w:sz w:val="24"/>
        </w:rPr>
        <w:t>ANNEXURE – P-II</w:t>
        <w:br/>
        <w:t>LIST OF EXCLUDED SOURCES</w:t>
      </w:r>
    </w:p>
    <w:p>
      <w:pPr>
        <w:keepNext w:val="0"/>
        <w:spacing w:before="0" w:after="0" w:line="360" w:lineRule="auto"/>
        <w:jc w:val="both"/>
      </w:pPr>
    </w:p>
    <w:p>
      <w:pPr>
        <w:keepNext w:val="0"/>
        <w:spacing w:before="0" w:after="0" w:line="360" w:lineRule="auto"/>
        <w:jc w:val="both"/>
      </w:pPr>
    </w:p>
    <w:p>
      <w:pPr>
        <w:keepNext w:val="0"/>
        <w:spacing w:before="0" w:after="120" w:line="360" w:lineRule="auto"/>
        <w:jc w:val="both"/>
      </w:pPr>
      <w:r>
        <w:rPr>
          <w:rFonts w:ascii="Times New Roman" w:hAnsi="Times New Roman"/>
          <w:b w:val="0"/>
          <w:i w:val="0"/>
          <w:sz w:val="24"/>
          <w:u w:val="none"/>
        </w:rPr>
        <w:t>The following self-cited publications and matching institutional repository drafts were explicitly excluded from the final similarity detection scan, in accordance with the university research policy.</w:t>
      </w:r>
    </w:p>
    <w:tbl>
      <w:tblPr>
        <w:tblStyle w:val="TableGrid"/>
        <w:tblW w:type="auto" w:w="0"/>
        <w:tblLook w:firstColumn="1" w:firstRow="1" w:lastColumn="0" w:lastRow="0" w:noHBand="0" w:noVBand="1" w:val="04A0"/>
      </w:tblPr>
      <w:tblGrid>
        <w:gridCol w:w="1323"/>
        <w:gridCol w:w="1323"/>
        <w:gridCol w:w="1323"/>
        <w:gridCol w:w="1323"/>
        <w:gridCol w:w="1323"/>
        <w:gridCol w:w="1323"/>
      </w:tblGrid>
      <w:tr>
        <w:tc>
          <w:tcPr>
            <w:tcW w:type="dxa" w:w="1323"/>
          </w:tcPr>
          <w:p>
            <w:pPr>
              <w:spacing w:before="40" w:after="40" w:line="240" w:lineRule="auto"/>
              <w:jc w:val="center"/>
            </w:pPr>
            <w:r/>
            <w:r>
              <w:rPr>
                <w:rFonts w:ascii="Times New Roman" w:hAnsi="Times New Roman"/>
                <w:b/>
                <w:i w:val="0"/>
                <w:sz w:val="20"/>
                <w:u w:val="none"/>
              </w:rPr>
              <w:t>S. No.</w:t>
            </w:r>
          </w:p>
        </w:tc>
        <w:tc>
          <w:tcPr>
            <w:tcW w:type="dxa" w:w="1323"/>
          </w:tcPr>
          <w:p>
            <w:pPr>
              <w:spacing w:before="40" w:after="40" w:line="240" w:lineRule="auto"/>
              <w:jc w:val="center"/>
            </w:pPr>
            <w:r/>
            <w:r>
              <w:rPr>
                <w:rFonts w:ascii="Times New Roman" w:hAnsi="Times New Roman"/>
                <w:b/>
                <w:i w:val="0"/>
                <w:sz w:val="20"/>
                <w:u w:val="none"/>
              </w:rPr>
              <w:t>Title of Paper</w:t>
            </w:r>
          </w:p>
        </w:tc>
        <w:tc>
          <w:tcPr>
            <w:tcW w:type="dxa" w:w="1323"/>
          </w:tcPr>
          <w:p>
            <w:pPr>
              <w:spacing w:before="40" w:after="40" w:line="240" w:lineRule="auto"/>
              <w:jc w:val="center"/>
            </w:pPr>
            <w:r/>
            <w:r>
              <w:rPr>
                <w:rFonts w:ascii="Times New Roman" w:hAnsi="Times New Roman"/>
                <w:b/>
                <w:i w:val="0"/>
                <w:sz w:val="20"/>
                <w:u w:val="none"/>
              </w:rPr>
              <w:t>Authors</w:t>
            </w:r>
          </w:p>
        </w:tc>
        <w:tc>
          <w:tcPr>
            <w:tcW w:type="dxa" w:w="1323"/>
          </w:tcPr>
          <w:p>
            <w:pPr>
              <w:spacing w:before="40" w:after="40" w:line="240" w:lineRule="auto"/>
              <w:jc w:val="center"/>
            </w:pPr>
            <w:r/>
            <w:r>
              <w:rPr>
                <w:rFonts w:ascii="Times New Roman" w:hAnsi="Times New Roman"/>
                <w:b/>
                <w:i w:val="0"/>
                <w:sz w:val="20"/>
                <w:u w:val="none"/>
              </w:rPr>
              <w:t>Journal/Repo</w:t>
            </w:r>
          </w:p>
        </w:tc>
        <w:tc>
          <w:tcPr>
            <w:tcW w:type="dxa" w:w="1323"/>
          </w:tcPr>
          <w:p>
            <w:pPr>
              <w:spacing w:before="40" w:after="40" w:line="240" w:lineRule="auto"/>
              <w:jc w:val="center"/>
            </w:pPr>
            <w:r/>
            <w:r>
              <w:rPr>
                <w:rFonts w:ascii="Times New Roman" w:hAnsi="Times New Roman"/>
                <w:b/>
                <w:i w:val="0"/>
                <w:sz w:val="20"/>
                <w:u w:val="none"/>
              </w:rPr>
              <w:t>Year</w:t>
            </w:r>
          </w:p>
        </w:tc>
        <w:tc>
          <w:tcPr>
            <w:tcW w:type="dxa" w:w="1323"/>
          </w:tcPr>
          <w:p>
            <w:pPr>
              <w:spacing w:before="40" w:after="40" w:line="240" w:lineRule="auto"/>
              <w:jc w:val="center"/>
            </w:pPr>
            <w:r/>
            <w:r>
              <w:rPr>
                <w:rFonts w:ascii="Times New Roman" w:hAnsi="Times New Roman"/>
                <w:b/>
                <w:i w:val="0"/>
                <w:sz w:val="20"/>
                <w:u w:val="none"/>
              </w:rPr>
              <w:t>Reason</w:t>
            </w:r>
          </w:p>
        </w:tc>
      </w:tr>
      <w:tr>
        <w:tc>
          <w:tcPr>
            <w:tcW w:type="dxa" w:w="1323"/>
          </w:tcPr>
          <w:p>
            <w:pPr>
              <w:spacing w:before="40" w:after="40" w:line="240" w:lineRule="auto"/>
              <w:jc w:val="left"/>
            </w:pPr>
            <w:r/>
            <w:r>
              <w:rPr>
                <w:rFonts w:ascii="Times New Roman" w:hAnsi="Times New Roman"/>
                <w:b w:val="0"/>
                <w:i w:val="0"/>
                <w:sz w:val="20"/>
                <w:u w:val="none"/>
              </w:rPr>
              <w:t>1</w:t>
            </w:r>
          </w:p>
        </w:tc>
        <w:tc>
          <w:tcPr>
            <w:tcW w:type="dxa" w:w="1323"/>
          </w:tcPr>
          <w:p>
            <w:pPr>
              <w:spacing w:before="40" w:after="40" w:line="240" w:lineRule="auto"/>
              <w:jc w:val="left"/>
            </w:pPr>
            <w:r/>
            <w:r>
              <w:rPr>
                <w:rFonts w:ascii="Times New Roman" w:hAnsi="Times New Roman"/>
                <w:b w:val="0"/>
                <w:i w:val="0"/>
                <w:sz w:val="20"/>
                <w:u w:val="none"/>
              </w:rPr>
              <w:t>Predictive Risk Intelligence for Metabolic Screening</w:t>
            </w:r>
          </w:p>
        </w:tc>
        <w:tc>
          <w:tcPr>
            <w:tcW w:type="dxa" w:w="1323"/>
          </w:tcPr>
          <w:p>
            <w:pPr>
              <w:spacing w:before="40" w:after="40" w:line="240" w:lineRule="auto"/>
              <w:jc w:val="left"/>
            </w:pPr>
            <w:r/>
            <w:r>
              <w:rPr>
                <w:rFonts w:ascii="Times New Roman" w:hAnsi="Times New Roman"/>
                <w:b w:val="0"/>
                <w:i w:val="0"/>
                <w:sz w:val="20"/>
                <w:u w:val="none"/>
              </w:rPr>
              <w:t>Student Name, et al.</w:t>
            </w:r>
          </w:p>
        </w:tc>
        <w:tc>
          <w:tcPr>
            <w:tcW w:type="dxa" w:w="1323"/>
          </w:tcPr>
          <w:p>
            <w:pPr>
              <w:spacing w:before="40" w:after="40" w:line="240" w:lineRule="auto"/>
              <w:jc w:val="left"/>
            </w:pPr>
            <w:r/>
            <w:r>
              <w:rPr>
                <w:rFonts w:ascii="Times New Roman" w:hAnsi="Times New Roman"/>
                <w:b w:val="0"/>
                <w:i w:val="0"/>
                <w:sz w:val="20"/>
                <w:u w:val="none"/>
              </w:rPr>
              <w:t>arXiv Preprint</w:t>
            </w:r>
          </w:p>
        </w:tc>
        <w:tc>
          <w:tcPr>
            <w:tcW w:type="dxa" w:w="1323"/>
          </w:tcPr>
          <w:p>
            <w:pPr>
              <w:spacing w:before="40" w:after="40" w:line="240" w:lineRule="auto"/>
              <w:jc w:val="left"/>
            </w:pPr>
            <w:r/>
            <w:r>
              <w:rPr>
                <w:rFonts w:ascii="Times New Roman" w:hAnsi="Times New Roman"/>
                <w:b w:val="0"/>
                <w:i w:val="0"/>
                <w:sz w:val="20"/>
                <w:u w:val="none"/>
              </w:rPr>
              <w:t>2025</w:t>
            </w:r>
          </w:p>
        </w:tc>
        <w:tc>
          <w:tcPr>
            <w:tcW w:type="dxa" w:w="1323"/>
          </w:tcPr>
          <w:p>
            <w:pPr>
              <w:spacing w:before="40" w:after="40" w:line="240" w:lineRule="auto"/>
              <w:jc w:val="left"/>
            </w:pPr>
            <w:r/>
            <w:r>
              <w:rPr>
                <w:rFonts w:ascii="Times New Roman" w:hAnsi="Times New Roman"/>
                <w:b w:val="0"/>
                <w:i w:val="0"/>
                <w:sz w:val="20"/>
                <w:u w:val="none"/>
              </w:rPr>
              <w:t>Self-cited preliminary research</w:t>
            </w:r>
          </w:p>
        </w:tc>
      </w:tr>
      <w:tr>
        <w:tc>
          <w:tcPr>
            <w:tcW w:type="dxa" w:w="1323"/>
          </w:tcPr>
          <w:p>
            <w:pPr>
              <w:spacing w:before="40" w:after="40" w:line="240" w:lineRule="auto"/>
              <w:jc w:val="left"/>
            </w:pPr>
            <w:r/>
            <w:r>
              <w:rPr>
                <w:rFonts w:ascii="Times New Roman" w:hAnsi="Times New Roman"/>
                <w:b w:val="0"/>
                <w:i w:val="0"/>
                <w:sz w:val="20"/>
                <w:u w:val="none"/>
              </w:rPr>
              <w:t>2</w:t>
            </w:r>
          </w:p>
        </w:tc>
        <w:tc>
          <w:tcPr>
            <w:tcW w:type="dxa" w:w="1323"/>
          </w:tcPr>
          <w:p>
            <w:pPr>
              <w:spacing w:before="40" w:after="40" w:line="240" w:lineRule="auto"/>
              <w:jc w:val="left"/>
            </w:pPr>
            <w:r/>
            <w:r>
              <w:rPr>
                <w:rFonts w:ascii="Times New Roman" w:hAnsi="Times New Roman"/>
                <w:b w:val="0"/>
                <w:i w:val="0"/>
                <w:sz w:val="20"/>
                <w:u w:val="none"/>
              </w:rPr>
            </w:r>
          </w:p>
        </w:tc>
        <w:tc>
          <w:tcPr>
            <w:tcW w:type="dxa" w:w="1323"/>
          </w:tcPr>
          <w:p>
            <w:pPr>
              <w:spacing w:before="40" w:after="40" w:line="240" w:lineRule="auto"/>
              <w:jc w:val="left"/>
            </w:pPr>
            <w:r/>
            <w:r>
              <w:rPr>
                <w:rFonts w:ascii="Times New Roman" w:hAnsi="Times New Roman"/>
                <w:b w:val="0"/>
                <w:i w:val="0"/>
                <w:sz w:val="20"/>
                <w:u w:val="none"/>
              </w:rPr>
            </w:r>
          </w:p>
        </w:tc>
        <w:tc>
          <w:tcPr>
            <w:tcW w:type="dxa" w:w="1323"/>
          </w:tcPr>
          <w:p>
            <w:pPr>
              <w:spacing w:before="40" w:after="40" w:line="240" w:lineRule="auto"/>
              <w:jc w:val="left"/>
            </w:pPr>
            <w:r/>
            <w:r>
              <w:rPr>
                <w:rFonts w:ascii="Times New Roman" w:hAnsi="Times New Roman"/>
                <w:b w:val="0"/>
                <w:i w:val="0"/>
                <w:sz w:val="20"/>
                <w:u w:val="none"/>
              </w:rPr>
            </w:r>
          </w:p>
        </w:tc>
        <w:tc>
          <w:tcPr>
            <w:tcW w:type="dxa" w:w="1323"/>
          </w:tcPr>
          <w:p>
            <w:pPr>
              <w:spacing w:before="40" w:after="40" w:line="240" w:lineRule="auto"/>
              <w:jc w:val="left"/>
            </w:pPr>
            <w:r/>
            <w:r>
              <w:rPr>
                <w:rFonts w:ascii="Times New Roman" w:hAnsi="Times New Roman"/>
                <w:b w:val="0"/>
                <w:i w:val="0"/>
                <w:sz w:val="20"/>
                <w:u w:val="none"/>
              </w:rPr>
            </w:r>
          </w:p>
        </w:tc>
        <w:tc>
          <w:tcPr>
            <w:tcW w:type="dxa" w:w="1323"/>
          </w:tcPr>
          <w:p>
            <w:pPr>
              <w:spacing w:before="40" w:after="40" w:line="240" w:lineRule="auto"/>
              <w:jc w:val="left"/>
            </w:pPr>
            <w:r/>
            <w:r>
              <w:rPr>
                <w:rFonts w:ascii="Times New Roman" w:hAnsi="Times New Roman"/>
                <w:b w:val="0"/>
                <w:i w:val="0"/>
                <w:sz w:val="20"/>
                <w:u w:val="none"/>
              </w:rPr>
            </w:r>
          </w:p>
        </w:tc>
      </w:tr>
      <w:tr>
        <w:tc>
          <w:tcPr>
            <w:tcW w:type="dxa" w:w="1323"/>
          </w:tcPr>
          <w:p>
            <w:pPr>
              <w:spacing w:before="40" w:after="40" w:line="240" w:lineRule="auto"/>
              <w:jc w:val="left"/>
            </w:pPr>
            <w:r/>
            <w:r>
              <w:rPr>
                <w:rFonts w:ascii="Times New Roman" w:hAnsi="Times New Roman"/>
                <w:b w:val="0"/>
                <w:i w:val="0"/>
                <w:sz w:val="20"/>
                <w:u w:val="none"/>
              </w:rPr>
              <w:t>3</w:t>
            </w:r>
          </w:p>
        </w:tc>
        <w:tc>
          <w:tcPr>
            <w:tcW w:type="dxa" w:w="1323"/>
          </w:tcPr>
          <w:p>
            <w:pPr>
              <w:spacing w:before="40" w:after="40" w:line="240" w:lineRule="auto"/>
              <w:jc w:val="left"/>
            </w:pPr>
            <w:r/>
            <w:r>
              <w:rPr>
                <w:rFonts w:ascii="Times New Roman" w:hAnsi="Times New Roman"/>
                <w:b w:val="0"/>
                <w:i w:val="0"/>
                <w:sz w:val="20"/>
                <w:u w:val="none"/>
              </w:rPr>
            </w:r>
          </w:p>
        </w:tc>
        <w:tc>
          <w:tcPr>
            <w:tcW w:type="dxa" w:w="1323"/>
          </w:tcPr>
          <w:p>
            <w:pPr>
              <w:spacing w:before="40" w:after="40" w:line="240" w:lineRule="auto"/>
              <w:jc w:val="left"/>
            </w:pPr>
            <w:r/>
            <w:r>
              <w:rPr>
                <w:rFonts w:ascii="Times New Roman" w:hAnsi="Times New Roman"/>
                <w:b w:val="0"/>
                <w:i w:val="0"/>
                <w:sz w:val="20"/>
                <w:u w:val="none"/>
              </w:rPr>
            </w:r>
          </w:p>
        </w:tc>
        <w:tc>
          <w:tcPr>
            <w:tcW w:type="dxa" w:w="1323"/>
          </w:tcPr>
          <w:p>
            <w:pPr>
              <w:spacing w:before="40" w:after="40" w:line="240" w:lineRule="auto"/>
              <w:jc w:val="left"/>
            </w:pPr>
            <w:r/>
            <w:r>
              <w:rPr>
                <w:rFonts w:ascii="Times New Roman" w:hAnsi="Times New Roman"/>
                <w:b w:val="0"/>
                <w:i w:val="0"/>
                <w:sz w:val="20"/>
                <w:u w:val="none"/>
              </w:rPr>
            </w:r>
          </w:p>
        </w:tc>
        <w:tc>
          <w:tcPr>
            <w:tcW w:type="dxa" w:w="1323"/>
          </w:tcPr>
          <w:p>
            <w:pPr>
              <w:spacing w:before="40" w:after="40" w:line="240" w:lineRule="auto"/>
              <w:jc w:val="left"/>
            </w:pPr>
            <w:r/>
            <w:r>
              <w:rPr>
                <w:rFonts w:ascii="Times New Roman" w:hAnsi="Times New Roman"/>
                <w:b w:val="0"/>
                <w:i w:val="0"/>
                <w:sz w:val="20"/>
                <w:u w:val="none"/>
              </w:rPr>
            </w:r>
          </w:p>
        </w:tc>
        <w:tc>
          <w:tcPr>
            <w:tcW w:type="dxa" w:w="1323"/>
          </w:tcPr>
          <w:p>
            <w:pPr>
              <w:spacing w:before="40" w:after="40" w:line="240" w:lineRule="auto"/>
              <w:jc w:val="left"/>
            </w:pPr>
            <w:r/>
            <w:r>
              <w:rPr>
                <w:rFonts w:ascii="Times New Roman" w:hAnsi="Times New Roman"/>
                <w:b w:val="0"/>
                <w:i w:val="0"/>
                <w:sz w:val="20"/>
                <w:u w:val="none"/>
              </w:rPr>
            </w:r>
          </w:p>
        </w:tc>
      </w:tr>
    </w:tbl>
    <w:p>
      <w:pPr>
        <w:keepNext w:val="0"/>
        <w:spacing w:before="0" w:after="200" w:line="360" w:lineRule="auto"/>
        <w:jc w:val="both"/>
      </w:pPr>
    </w:p>
    <w:p>
      <w:pPr>
        <w:sectPr>
          <w:footerReference w:type="default" r:id="rId9"/>
          <w:headerReference w:type="default" r:id="rId10"/>
          <w:footerReference w:type="first" r:id="rId11"/>
          <w:pgSz w:w="11906" w:h="16838"/>
          <w:pgMar w:top="1701" w:right="1134" w:bottom="1701" w:left="2835" w:header="720" w:footer="720" w:gutter="0"/>
          <w:cols w:space="720"/>
          <w:docGrid w:linePitch="360"/>
          <w:pgNumType w:fmt="lowerRoman" w:start="1"/>
          <w:titlePg/>
        </w:sectPr>
      </w:pPr>
    </w:p>
    <w:p>
      <w:r>
        <w:br w:type="page"/>
      </w:r>
    </w:p>
    <w:p>
      <w:pPr>
        <w:keepNext w:val="0"/>
        <w:spacing w:before="0" w:after="0" w:line="360" w:lineRule="auto"/>
        <w:jc w:val="both"/>
      </w:pPr>
    </w:p>
    <w:p>
      <w:pPr>
        <w:keepNext w:val="0"/>
        <w:spacing w:before="0" w:after="0" w:line="360" w:lineRule="auto"/>
        <w:jc w:val="both"/>
      </w:pPr>
    </w:p>
    <w:p>
      <w:pPr>
        <w:keepNext/>
        <w:spacing w:before="0" w:after="360" w:line="360" w:lineRule="auto"/>
        <w:jc w:val="center"/>
      </w:pPr>
      <w:r>
        <w:rPr>
          <w:rFonts w:ascii="Times New Roman" w:hAnsi="Times New Roman"/>
          <w:b/>
          <w:i w:val="0"/>
          <w:sz w:val="24"/>
          <w:u w:val="none"/>
        </w:rPr>
        <w:t>DECLARATION</w:t>
      </w:r>
    </w:p>
    <w:p>
      <w:pPr>
        <w:keepNext w:val="0"/>
        <w:spacing w:before="0" w:after="120" w:line="360" w:lineRule="auto"/>
        <w:jc w:val="both"/>
      </w:pPr>
      <w:r>
        <w:rPr>
          <w:rFonts w:ascii="Times New Roman" w:hAnsi="Times New Roman"/>
          <w:b w:val="0"/>
          <w:i w:val="0"/>
          <w:sz w:val="24"/>
          <w:u w:val="none"/>
        </w:rPr>
        <w:t>I/we hereby declare that the experimental research work and interpretation of the dissertation entitled:</w:t>
      </w:r>
    </w:p>
    <w:p>
      <w:pPr>
        <w:keepNext w:val="0"/>
        <w:spacing w:before="120" w:after="120" w:line="360" w:lineRule="auto"/>
        <w:jc w:val="center"/>
      </w:pPr>
      <w:r>
        <w:rPr>
          <w:rFonts w:ascii="Times New Roman" w:hAnsi="Times New Roman"/>
          <w:b/>
          <w:i/>
          <w:sz w:val="24"/>
          <w:u w:val="none"/>
        </w:rPr>
        <w:t>"PREDICTIVE RISK INTELLIGENCE FOR METABOLIC SCREENING IN DIABETES"</w:t>
      </w:r>
    </w:p>
    <w:p>
      <w:pPr>
        <w:keepNext w:val="0"/>
        <w:spacing w:before="0" w:after="120" w:line="360" w:lineRule="auto"/>
        <w:jc w:val="both"/>
      </w:pPr>
      <w:r>
        <w:rPr>
          <w:rFonts w:ascii="Times New Roman" w:hAnsi="Times New Roman"/>
          <w:b w:val="0"/>
          <w:i w:val="0"/>
          <w:sz w:val="24"/>
          <w:u w:val="none"/>
        </w:rPr>
        <w:t>as part thereof has not been submitted for any other degree or diploma of any University, nor have the data been derived from any dissertation/thesis/publication of any University or scientific organisation. The sources of materials used and all assistance received during the course of investigation have been duly acknowledged.</w:t>
      </w:r>
    </w:p>
    <w:p>
      <w:pPr>
        <w:keepNext w:val="0"/>
        <w:spacing w:before="0" w:after="0" w:line="360" w:lineRule="auto"/>
        <w:jc w:val="both"/>
      </w:pPr>
    </w:p>
    <w:p>
      <w:pPr>
        <w:keepNext w:val="0"/>
        <w:spacing w:before="0" w:after="0" w:line="360" w:lineRule="auto"/>
        <w:jc w:val="both"/>
      </w:pPr>
    </w:p>
    <w:p>
      <w:pPr>
        <w:keepNext w:val="0"/>
        <w:spacing w:before="0" w:after="0" w:line="360" w:lineRule="auto"/>
        <w:jc w:val="both"/>
      </w:pPr>
    </w:p>
    <w:tbl>
      <w:tblPr>
        <w:tblW w:type="auto" w:w="0"/>
        <w:tblLook w:firstColumn="1" w:firstRow="1" w:lastColumn="0" w:lastRow="0" w:noHBand="0" w:noVBand="1" w:val="04A0"/>
      </w:tblPr>
      <w:tblGrid>
        <w:gridCol w:w="3968"/>
        <w:gridCol w:w="3968"/>
      </w:tblGrid>
      <w:tr>
        <w:tc>
          <w:tcPr>
            <w:tcW w:type="dxa" w:w="3968"/>
          </w:tcPr>
          <w:p>
            <w:pPr>
              <w:spacing w:before="80" w:after="80"/>
            </w:pPr>
            <w:r/>
            <w:r>
              <w:rPr>
                <w:rFonts w:ascii="Times New Roman" w:hAnsi="Times New Roman"/>
                <w:sz w:val="20"/>
              </w:rPr>
              <w:t>Signature(s): ___________________</w:t>
            </w:r>
          </w:p>
        </w:tc>
        <w:tc>
          <w:tcPr>
            <w:tcW w:type="dxa" w:w="3968"/>
          </w:tcPr>
          <w:p>
            <w:pPr>
              <w:spacing w:before="80" w:after="80"/>
            </w:pPr>
            <w:r/>
            <w:r>
              <w:rPr>
                <w:rFonts w:ascii="Times New Roman" w:hAnsi="Times New Roman"/>
                <w:sz w:val="20"/>
              </w:rPr>
              <w:t>Signature(s): ___________________</w:t>
            </w:r>
          </w:p>
        </w:tc>
      </w:tr>
      <w:tr>
        <w:tc>
          <w:tcPr>
            <w:tcW w:type="dxa" w:w="3968"/>
          </w:tcPr>
          <w:p>
            <w:pPr>
              <w:spacing w:before="80" w:after="80"/>
            </w:pPr>
            <w:r/>
            <w:r>
              <w:rPr>
                <w:rFonts w:ascii="Times New Roman" w:hAnsi="Times New Roman"/>
                <w:sz w:val="20"/>
              </w:rPr>
              <w:t>Name of Student: ________________</w:t>
            </w:r>
          </w:p>
        </w:tc>
        <w:tc>
          <w:tcPr>
            <w:tcW w:type="dxa" w:w="3968"/>
          </w:tcPr>
          <w:p>
            <w:pPr>
              <w:spacing w:before="80" w:after="80"/>
            </w:pPr>
            <w:r/>
            <w:r>
              <w:rPr>
                <w:rFonts w:ascii="Times New Roman" w:hAnsi="Times New Roman"/>
                <w:sz w:val="20"/>
              </w:rPr>
              <w:t>Name of Student: ________________</w:t>
            </w:r>
          </w:p>
        </w:tc>
      </w:tr>
      <w:tr>
        <w:tc>
          <w:tcPr>
            <w:tcW w:type="dxa" w:w="3968"/>
          </w:tcPr>
          <w:p>
            <w:pPr>
              <w:spacing w:before="80" w:after="80"/>
            </w:pPr>
            <w:r/>
            <w:r>
              <w:rPr>
                <w:rFonts w:ascii="Times New Roman" w:hAnsi="Times New Roman"/>
                <w:sz w:val="20"/>
              </w:rPr>
              <w:t>University Reg. No.: ____________</w:t>
            </w:r>
          </w:p>
        </w:tc>
        <w:tc>
          <w:tcPr>
            <w:tcW w:type="dxa" w:w="3968"/>
          </w:tcPr>
          <w:p>
            <w:pPr>
              <w:spacing w:before="80" w:after="80"/>
            </w:pPr>
            <w:r/>
            <w:r>
              <w:rPr>
                <w:rFonts w:ascii="Times New Roman" w:hAnsi="Times New Roman"/>
                <w:sz w:val="20"/>
              </w:rPr>
              <w:t>University Reg. No.: ____________</w:t>
            </w:r>
          </w:p>
        </w:tc>
      </w:tr>
    </w:tbl>
    <w:p>
      <w:pPr>
        <w:keepNext w:val="0"/>
        <w:spacing w:before="0" w:after="0" w:line="360" w:lineRule="auto"/>
        <w:jc w:val="both"/>
      </w:pPr>
    </w:p>
    <w:p>
      <w:pPr>
        <w:keepNext w:val="0"/>
        <w:spacing w:before="120" w:after="0" w:line="360" w:lineRule="auto"/>
        <w:jc w:val="left"/>
      </w:pPr>
      <w:r>
        <w:rPr>
          <w:rFonts w:ascii="Times New Roman" w:hAnsi="Times New Roman"/>
          <w:b w:val="0"/>
          <w:i w:val="0"/>
          <w:sz w:val="24"/>
          <w:u w:val="none"/>
        </w:rPr>
        <w:t>Date: ____________________________</w:t>
      </w:r>
    </w:p>
    <w:p>
      <w:r>
        <w:br w:type="page"/>
      </w:r>
    </w:p>
    <w:p>
      <w:pPr>
        <w:keepNext w:val="0"/>
        <w:spacing w:before="0" w:after="0" w:line="360" w:lineRule="auto"/>
        <w:jc w:val="both"/>
      </w:pPr>
    </w:p>
    <w:p>
      <w:pPr>
        <w:keepNext w:val="0"/>
        <w:spacing w:before="0" w:after="0" w:line="360" w:lineRule="auto"/>
        <w:jc w:val="both"/>
      </w:pPr>
    </w:p>
    <w:p>
      <w:pPr>
        <w:keepNext/>
        <w:spacing w:before="0" w:after="360" w:line="360" w:lineRule="auto"/>
        <w:jc w:val="center"/>
      </w:pPr>
      <w:r>
        <w:rPr>
          <w:rFonts w:ascii="Times New Roman" w:hAnsi="Times New Roman"/>
          <w:b/>
          <w:i w:val="0"/>
          <w:sz w:val="24"/>
          <w:u w:val="none"/>
        </w:rPr>
        <w:t>CERTIFICATE</w:t>
      </w:r>
    </w:p>
    <w:p>
      <w:pPr>
        <w:keepNext w:val="0"/>
        <w:spacing w:before="0" w:after="120" w:line="360" w:lineRule="auto"/>
        <w:jc w:val="both"/>
      </w:pPr>
      <w:r>
        <w:rPr>
          <w:rFonts w:ascii="Times New Roman" w:hAnsi="Times New Roman"/>
          <w:b w:val="0"/>
          <w:i w:val="0"/>
          <w:sz w:val="24"/>
          <w:u w:val="none"/>
        </w:rPr>
        <w:t>This is to certify that the dissertation entitled</w:t>
      </w:r>
    </w:p>
    <w:p>
      <w:pPr>
        <w:keepNext w:val="0"/>
        <w:spacing w:before="120" w:after="120" w:line="360" w:lineRule="auto"/>
        <w:jc w:val="center"/>
      </w:pPr>
      <w:r>
        <w:rPr>
          <w:rFonts w:ascii="Times New Roman" w:hAnsi="Times New Roman"/>
          <w:b/>
          <w:i/>
          <w:sz w:val="24"/>
          <w:u w:val="none"/>
        </w:rPr>
        <w:t>"PREDICTIVE RISK INTELLIGENCE FOR METABOLIC SCREENING IN DIABETES"</w:t>
      </w:r>
    </w:p>
    <w:p>
      <w:pPr>
        <w:keepNext w:val="0"/>
        <w:spacing w:before="0" w:after="120" w:line="360" w:lineRule="auto"/>
        <w:jc w:val="both"/>
      </w:pPr>
      <w:r>
        <w:rPr>
          <w:rFonts w:ascii="Times New Roman" w:hAnsi="Times New Roman"/>
          <w:b w:val="0"/>
          <w:i w:val="0"/>
          <w:sz w:val="24"/>
          <w:u w:val="none"/>
        </w:rPr>
        <w:t>submitted by Mr./Ms. ___________________________________, Registration No. ___________________________, to the Department of Computer Applications, Shaheed Himayun Muzammil Memorial Government Degree College Anantnag, Higher Education Department, Jammu and Kashmir, India, in partial fulfillment of the requirements for the award of the 4-Year Undergraduate Degree (Honours/Research) has been carried out by the student under my supervision and guidance.</w:t>
      </w:r>
    </w:p>
    <w:p>
      <w:pPr>
        <w:keepNext w:val="0"/>
        <w:spacing w:before="0" w:after="120" w:line="360" w:lineRule="auto"/>
        <w:jc w:val="both"/>
      </w:pPr>
      <w:r>
        <w:rPr>
          <w:rFonts w:ascii="Times New Roman" w:hAnsi="Times New Roman"/>
          <w:b w:val="0"/>
          <w:i w:val="0"/>
          <w:sz w:val="24"/>
          <w:u w:val="none"/>
        </w:rPr>
        <w:t>To the best of my knowledge, the work embodied in this dissertation is original and has not been submitted elsewhere for the award of any other degree or diploma.</w:t>
      </w:r>
    </w:p>
    <w:p>
      <w:pPr>
        <w:keepNext w:val="0"/>
        <w:spacing w:before="0" w:after="0" w:line="360" w:lineRule="auto"/>
        <w:jc w:val="both"/>
      </w:pPr>
    </w:p>
    <w:p>
      <w:pPr>
        <w:keepNext w:val="0"/>
        <w:spacing w:before="0" w:after="0" w:line="360" w:lineRule="auto"/>
        <w:jc w:val="both"/>
      </w:pPr>
    </w:p>
    <w:p>
      <w:pPr>
        <w:keepNext w:val="0"/>
        <w:spacing w:before="0" w:after="0" w:line="360" w:lineRule="auto"/>
        <w:jc w:val="both"/>
      </w:pPr>
    </w:p>
    <w:tbl>
      <w:tblPr>
        <w:tblW w:type="auto" w:w="0"/>
        <w:tblLook w:firstColumn="1" w:firstRow="1" w:lastColumn="0" w:lastRow="0" w:noHBand="0" w:noVBand="1" w:val="04A0"/>
      </w:tblPr>
      <w:tblGrid>
        <w:gridCol w:w="3968"/>
        <w:gridCol w:w="3968"/>
      </w:tblGrid>
      <w:tr>
        <w:tc>
          <w:tcPr>
            <w:tcW w:type="dxa" w:w="3968"/>
          </w:tcPr>
          <w:p>
            <w:pPr>
              <w:spacing w:before="80" w:after="80"/>
            </w:pPr>
            <w:r/>
            <w:r>
              <w:rPr>
                <w:rFonts w:ascii="Times New Roman" w:hAnsi="Times New Roman"/>
                <w:b/>
                <w:i w:val="0"/>
                <w:sz w:val="20"/>
                <w:u w:val="none"/>
              </w:rPr>
              <w:t>Supervisor</w:t>
            </w:r>
          </w:p>
        </w:tc>
        <w:tc>
          <w:tcPr>
            <w:tcW w:type="dxa" w:w="3968"/>
          </w:tcPr>
          <w:p>
            <w:pPr>
              <w:spacing w:before="80" w:after="80"/>
            </w:pPr>
            <w:r/>
            <w:r>
              <w:rPr>
                <w:rFonts w:ascii="Times New Roman" w:hAnsi="Times New Roman"/>
                <w:b/>
                <w:i w:val="0"/>
                <w:sz w:val="20"/>
                <w:u w:val="none"/>
              </w:rPr>
              <w:t>Co-Supervisor</w:t>
            </w:r>
          </w:p>
        </w:tc>
      </w:tr>
      <w:tr>
        <w:tc>
          <w:tcPr>
            <w:tcW w:type="dxa" w:w="3968"/>
          </w:tcPr>
          <w:p>
            <w:pPr>
              <w:spacing w:before="80" w:after="80"/>
            </w:pPr>
            <w:r/>
            <w:r>
              <w:rPr>
                <w:rFonts w:ascii="Times New Roman" w:hAnsi="Times New Roman"/>
                <w:b w:val="0"/>
                <w:i w:val="0"/>
                <w:sz w:val="20"/>
                <w:u w:val="none"/>
              </w:rPr>
              <w:t>Name: ___________________</w:t>
            </w:r>
          </w:p>
        </w:tc>
        <w:tc>
          <w:tcPr>
            <w:tcW w:type="dxa" w:w="3968"/>
          </w:tcPr>
          <w:p>
            <w:pPr>
              <w:spacing w:before="80" w:after="80"/>
            </w:pPr>
            <w:r/>
            <w:r>
              <w:rPr>
                <w:rFonts w:ascii="Times New Roman" w:hAnsi="Times New Roman"/>
                <w:b w:val="0"/>
                <w:i w:val="0"/>
                <w:sz w:val="20"/>
                <w:u w:val="none"/>
              </w:rPr>
              <w:t>Name: ___________________</w:t>
            </w:r>
          </w:p>
        </w:tc>
      </w:tr>
      <w:tr>
        <w:tc>
          <w:tcPr>
            <w:tcW w:type="dxa" w:w="3968"/>
          </w:tcPr>
          <w:p>
            <w:pPr>
              <w:spacing w:before="80" w:after="80"/>
            </w:pPr>
            <w:r/>
            <w:r>
              <w:rPr>
                <w:rFonts w:ascii="Times New Roman" w:hAnsi="Times New Roman"/>
                <w:b w:val="0"/>
                <w:i w:val="0"/>
                <w:sz w:val="20"/>
                <w:u w:val="none"/>
              </w:rPr>
              <w:t>Designation: _______________</w:t>
            </w:r>
          </w:p>
        </w:tc>
        <w:tc>
          <w:tcPr>
            <w:tcW w:type="dxa" w:w="3968"/>
          </w:tcPr>
          <w:p>
            <w:pPr>
              <w:spacing w:before="80" w:after="80"/>
            </w:pPr>
            <w:r/>
            <w:r>
              <w:rPr>
                <w:rFonts w:ascii="Times New Roman" w:hAnsi="Times New Roman"/>
                <w:b w:val="0"/>
                <w:i w:val="0"/>
                <w:sz w:val="20"/>
                <w:u w:val="none"/>
              </w:rPr>
              <w:t>Designation: _______________</w:t>
            </w:r>
          </w:p>
        </w:tc>
      </w:tr>
      <w:tr>
        <w:tc>
          <w:tcPr>
            <w:tcW w:type="dxa" w:w="3968"/>
          </w:tcPr>
          <w:p>
            <w:pPr>
              <w:spacing w:before="80" w:after="80"/>
            </w:pPr>
            <w:r/>
            <w:r>
              <w:rPr>
                <w:rFonts w:ascii="Times New Roman" w:hAnsi="Times New Roman"/>
                <w:b w:val="0"/>
                <w:i w:val="0"/>
                <w:sz w:val="20"/>
                <w:u w:val="none"/>
              </w:rPr>
              <w:t>Dept. of Computer Applications,</w:t>
            </w:r>
          </w:p>
        </w:tc>
        <w:tc>
          <w:tcPr>
            <w:tcW w:type="dxa" w:w="3968"/>
          </w:tcPr>
          <w:p>
            <w:pPr>
              <w:spacing w:before="80" w:after="80"/>
            </w:pPr>
            <w:r/>
            <w:r>
              <w:rPr>
                <w:rFonts w:ascii="Times New Roman" w:hAnsi="Times New Roman"/>
                <w:b w:val="0"/>
                <w:i w:val="0"/>
                <w:sz w:val="20"/>
                <w:u w:val="none"/>
              </w:rPr>
              <w:t>Dept. of Computer Applications,</w:t>
            </w:r>
          </w:p>
        </w:tc>
      </w:tr>
      <w:tr>
        <w:tc>
          <w:tcPr>
            <w:tcW w:type="dxa" w:w="3968"/>
          </w:tcPr>
          <w:p>
            <w:pPr>
              <w:spacing w:before="80" w:after="80"/>
            </w:pPr>
            <w:r/>
            <w:r>
              <w:rPr>
                <w:rFonts w:ascii="Times New Roman" w:hAnsi="Times New Roman"/>
                <w:b w:val="0"/>
                <w:i w:val="0"/>
                <w:sz w:val="20"/>
                <w:u w:val="none"/>
              </w:rPr>
              <w:t>Govt. Degree College Anantnag</w:t>
            </w:r>
          </w:p>
        </w:tc>
        <w:tc>
          <w:tcPr>
            <w:tcW w:type="dxa" w:w="3968"/>
          </w:tcPr>
          <w:p>
            <w:pPr>
              <w:spacing w:before="80" w:after="80"/>
            </w:pPr>
            <w:r/>
            <w:r>
              <w:rPr>
                <w:rFonts w:ascii="Times New Roman" w:hAnsi="Times New Roman"/>
                <w:b w:val="0"/>
                <w:i w:val="0"/>
                <w:sz w:val="20"/>
                <w:u w:val="none"/>
              </w:rPr>
              <w:t>Govt. Degree College Anantnag</w:t>
            </w:r>
          </w:p>
        </w:tc>
      </w:tr>
    </w:tbl>
    <w:p>
      <w:pPr>
        <w:keepNext w:val="0"/>
        <w:spacing w:before="0" w:after="0" w:line="360" w:lineRule="auto"/>
        <w:jc w:val="both"/>
      </w:pPr>
    </w:p>
    <w:p>
      <w:pPr>
        <w:keepNext w:val="0"/>
        <w:spacing w:before="0" w:after="0" w:line="360" w:lineRule="auto"/>
        <w:jc w:val="both"/>
      </w:pPr>
    </w:p>
    <w:p>
      <w:pPr>
        <w:keepNext w:val="0"/>
        <w:spacing w:before="80" w:after="80" w:line="360" w:lineRule="auto"/>
        <w:jc w:val="left"/>
      </w:pPr>
      <w:r>
        <w:rPr>
          <w:rFonts w:ascii="Times New Roman" w:hAnsi="Times New Roman"/>
          <w:b w:val="0"/>
          <w:i w:val="0"/>
          <w:sz w:val="24"/>
          <w:u w:val="none"/>
        </w:rPr>
        <w:t>Date:  ____________________________</w:t>
      </w:r>
    </w:p>
    <w:p>
      <w:pPr>
        <w:keepNext w:val="0"/>
        <w:spacing w:before="80" w:after="80" w:line="360" w:lineRule="auto"/>
        <w:jc w:val="left"/>
      </w:pPr>
      <w:r>
        <w:rPr>
          <w:rFonts w:ascii="Times New Roman" w:hAnsi="Times New Roman"/>
          <w:b w:val="0"/>
          <w:i w:val="0"/>
          <w:sz w:val="24"/>
          <w:u w:val="none"/>
        </w:rPr>
        <w:t>Place: ____________________________</w:t>
      </w:r>
    </w:p>
    <w:p>
      <w:r>
        <w:br w:type="page"/>
      </w:r>
    </w:p>
    <w:p>
      <w:pPr>
        <w:keepNext w:val="0"/>
        <w:spacing w:before="0" w:after="0" w:line="360" w:lineRule="auto"/>
        <w:jc w:val="both"/>
      </w:pPr>
    </w:p>
    <w:p>
      <w:pPr>
        <w:keepNext w:val="0"/>
        <w:spacing w:before="0" w:after="0" w:line="360" w:lineRule="auto"/>
        <w:jc w:val="both"/>
      </w:pPr>
    </w:p>
    <w:p>
      <w:pPr>
        <w:keepNext/>
        <w:spacing w:before="0" w:after="360" w:line="360" w:lineRule="auto"/>
        <w:jc w:val="center"/>
      </w:pPr>
      <w:r>
        <w:rPr>
          <w:rFonts w:ascii="Times New Roman" w:hAnsi="Times New Roman"/>
          <w:b/>
          <w:i w:val="0"/>
          <w:sz w:val="24"/>
          <w:u w:val="none"/>
        </w:rPr>
        <w:t>ACKNOWLEDGEMENTS</w:t>
      </w:r>
    </w:p>
    <w:p>
      <w:pPr>
        <w:keepNext w:val="0"/>
        <w:spacing w:before="0" w:after="120" w:line="360" w:lineRule="auto"/>
        <w:jc w:val="both"/>
      </w:pPr>
      <w:r>
        <w:rPr>
          <w:rFonts w:ascii="Times New Roman" w:hAnsi="Times New Roman"/>
          <w:b w:val="0"/>
          <w:i w:val="0"/>
          <w:sz w:val="24"/>
          <w:u w:val="none"/>
        </w:rPr>
        <w:t>We would like to express our sincere gratitude to our supervisor for their guidance, patience, and constructive feedback throughout this project. Their advice helped us approach the clinical and machine learning aspects of this problem with honesty and rigour. Their insistence on intellectual integrity and calibrated uncertainty has shaped not only the research methodology but also our broader approach to scientific reporting.</w:t>
      </w:r>
    </w:p>
    <w:p>
      <w:pPr>
        <w:keepNext w:val="0"/>
        <w:spacing w:before="0" w:after="120" w:line="360" w:lineRule="auto"/>
        <w:jc w:val="both"/>
      </w:pPr>
      <w:r>
        <w:rPr>
          <w:rFonts w:ascii="Times New Roman" w:hAnsi="Times New Roman"/>
          <w:b w:val="0"/>
          <w:i w:val="0"/>
          <w:sz w:val="24"/>
          <w:u w:val="none"/>
        </w:rPr>
        <w:t>We are grateful to the Department of Computer Applications, Shaheed Himayun Muzammil Memorial Govt. Degree College Anantnag, for providing the academic environment and resources necessary to pursue this research. The support of the faculty and administration has been invaluable.</w:t>
      </w:r>
    </w:p>
    <w:p>
      <w:pPr>
        <w:keepNext w:val="0"/>
        <w:spacing w:before="0" w:after="120" w:line="360" w:lineRule="auto"/>
        <w:jc w:val="both"/>
      </w:pPr>
      <w:r>
        <w:rPr>
          <w:rFonts w:ascii="Times New Roman" w:hAnsi="Times New Roman"/>
          <w:b w:val="0"/>
          <w:i w:val="0"/>
          <w:sz w:val="24"/>
          <w:u w:val="none"/>
        </w:rPr>
        <w:t>This work makes use of publicly available data from the National Health and Nutrition Examination Survey (NHANES), provided by the Centers for Disease Control and Prevention (CDC), U.S. Department of Health and Human Services. We thank the survey participants whose anonymised data made this research possible.</w:t>
      </w:r>
    </w:p>
    <w:p>
      <w:pPr>
        <w:keepNext w:val="0"/>
        <w:spacing w:before="0" w:after="120" w:line="360" w:lineRule="auto"/>
        <w:jc w:val="both"/>
      </w:pPr>
      <w:r>
        <w:rPr>
          <w:rFonts w:ascii="Times New Roman" w:hAnsi="Times New Roman"/>
          <w:b w:val="0"/>
          <w:i w:val="0"/>
          <w:sz w:val="24"/>
          <w:u w:val="none"/>
        </w:rPr>
        <w:t>We also thank the open-source scientific community -- the developers of PyTorch, FastAPI, React, PySR, and the broader Python ecosystem -- whose freely available tools made the full-stack implementation of LMSIS feasible as an undergraduate research project.</w:t>
      </w:r>
    </w:p>
    <w:p>
      <w:pPr>
        <w:keepNext w:val="0"/>
        <w:spacing w:before="0" w:after="120" w:line="360" w:lineRule="auto"/>
        <w:jc w:val="both"/>
      </w:pPr>
      <w:r>
        <w:rPr>
          <w:rFonts w:ascii="Times New Roman" w:hAnsi="Times New Roman"/>
          <w:b w:val="0"/>
          <w:i w:val="0"/>
          <w:sz w:val="24"/>
          <w:u w:val="none"/>
        </w:rPr>
        <w:t>Finally, we thank our families and friends for their constant support, patience, and encouragement throughout the duration of this programme.</w:t>
      </w:r>
    </w:p>
    <w:p>
      <w:pPr>
        <w:keepNext w:val="0"/>
        <w:spacing w:before="0" w:after="0" w:line="360" w:lineRule="auto"/>
        <w:jc w:val="both"/>
      </w:pPr>
    </w:p>
    <w:p>
      <w:pPr>
        <w:keepNext w:val="0"/>
        <w:spacing w:before="0" w:after="0" w:line="360" w:lineRule="auto"/>
        <w:jc w:val="both"/>
      </w:pPr>
    </w:p>
    <w:p>
      <w:pPr>
        <w:keepNext w:val="0"/>
        <w:spacing w:before="0" w:after="0" w:line="360" w:lineRule="auto"/>
        <w:jc w:val="both"/>
      </w:pPr>
    </w:p>
    <w:p>
      <w:pPr>
        <w:keepNext w:val="0"/>
        <w:spacing w:before="0" w:after="80" w:line="360" w:lineRule="auto"/>
        <w:jc w:val="right"/>
      </w:pPr>
      <w:r>
        <w:rPr>
          <w:rFonts w:ascii="Times New Roman" w:hAnsi="Times New Roman"/>
          <w:b w:val="0"/>
          <w:i w:val="0"/>
          <w:sz w:val="24"/>
          <w:u w:val="none"/>
        </w:rPr>
        <w:t>(Signature of Student(s))</w:t>
      </w:r>
    </w:p>
    <w:p>
      <w:pPr>
        <w:keepNext w:val="0"/>
        <w:spacing w:before="0" w:after="80" w:line="360" w:lineRule="auto"/>
        <w:jc w:val="right"/>
      </w:pPr>
      <w:r>
        <w:rPr>
          <w:rFonts w:ascii="Times New Roman" w:hAnsi="Times New Roman"/>
          <w:b w:val="0"/>
          <w:i w:val="0"/>
          <w:sz w:val="24"/>
          <w:u w:val="none"/>
        </w:rPr>
        <w:t>Date: ____________________</w:t>
      </w:r>
    </w:p>
    <w:p>
      <w:r>
        <w:br w:type="page"/>
      </w:r>
    </w:p>
    <w:p>
      <w:pPr>
        <w:keepNext w:val="0"/>
        <w:spacing w:before="0" w:after="0" w:line="360" w:lineRule="auto"/>
        <w:jc w:val="both"/>
      </w:pPr>
    </w:p>
    <w:p>
      <w:pPr>
        <w:keepNext w:val="0"/>
        <w:spacing w:before="0" w:after="0" w:line="360" w:lineRule="auto"/>
        <w:jc w:val="both"/>
      </w:pPr>
    </w:p>
    <w:p>
      <w:pPr>
        <w:keepNext/>
        <w:spacing w:before="0" w:after="360" w:line="360" w:lineRule="auto"/>
        <w:jc w:val="center"/>
      </w:pPr>
      <w:r>
        <w:rPr>
          <w:rFonts w:ascii="Times New Roman" w:hAnsi="Times New Roman"/>
          <w:b/>
          <w:i w:val="0"/>
          <w:sz w:val="24"/>
          <w:u w:val="none"/>
        </w:rPr>
        <w:t>TABLE OF CONTENTS</w:t>
      </w:r>
    </w:p>
    <w:p>
      <w:pPr>
        <w:keepNext w:val="0"/>
        <w:spacing w:before="0" w:after="120" w:line="360" w:lineRule="auto"/>
        <w:jc w:val="left"/>
      </w:pPr>
      <w:r>
        <w:rPr>
          <w:rFonts w:ascii="Times New Roman" w:hAnsi="Times New Roman"/>
          <w:b w:val="0"/>
          <w:i w:val="0"/>
          <w:sz w:val="24"/>
          <w:u w:val="none"/>
        </w:rPr>
      </w:r>
    </w:p>
    <w:p>
      <w:pPr>
        <w:keepNext w:val="0"/>
        <w:spacing w:before="0" w:after="120" w:line="360" w:lineRule="auto"/>
        <w:jc w:val="left"/>
      </w:pPr>
      <w:r>
        <w:rPr>
          <w:rFonts w:ascii="Times New Roman" w:hAnsi="Times New Roman"/>
          <w:b w:val="0"/>
          <w:i w:val="0"/>
          <w:sz w:val="24"/>
          <w:u w:val="none"/>
        </w:rPr>
        <w:fldChar w:fldCharType="begin"/>
        <w:instrText xml:space="preserve"> TOC \o "1-3" \h \z \u </w:instrText>
        <w:fldChar w:fldCharType="separate"/>
        <w:fldChar w:fldCharType="end"/>
      </w:r>
      <w:r>
        <w:rPr>
          <w:rFonts w:ascii="Times New Roman" w:hAnsi="Times New Roman"/>
          <w:b w:val="0"/>
          <w:i/>
          <w:sz w:val="20"/>
          <w:u w:val="none"/>
        </w:rPr>
        <w:t>[Right-click here in Word and select "Update Field" -&gt; "Update entire table" to generate the Table of Contents]</w:t>
      </w:r>
    </w:p>
    <w:p>
      <w:r>
        <w:br w:type="page"/>
      </w:r>
    </w:p>
    <w:p>
      <w:pPr>
        <w:keepNext w:val="0"/>
        <w:spacing w:before="0" w:after="0" w:line="360" w:lineRule="auto"/>
        <w:jc w:val="both"/>
      </w:pPr>
    </w:p>
    <w:p>
      <w:pPr>
        <w:keepNext w:val="0"/>
        <w:spacing w:before="0" w:after="0" w:line="360" w:lineRule="auto"/>
        <w:jc w:val="both"/>
      </w:pPr>
    </w:p>
    <w:p>
      <w:pPr>
        <w:keepNext/>
        <w:spacing w:before="0" w:after="360" w:line="360" w:lineRule="auto"/>
        <w:jc w:val="center"/>
      </w:pPr>
      <w:r>
        <w:rPr>
          <w:rFonts w:ascii="Times New Roman" w:hAnsi="Times New Roman"/>
          <w:b/>
          <w:i w:val="0"/>
          <w:sz w:val="24"/>
          <w:u w:val="none"/>
        </w:rPr>
        <w:t>LIST OF TABLES</w:t>
      </w:r>
    </w:p>
    <w:p>
      <w:pPr>
        <w:keepNext w:val="0"/>
        <w:spacing w:before="0" w:after="80" w:line="240" w:lineRule="auto"/>
        <w:jc w:val="left"/>
      </w:pPr>
      <w:r>
        <w:rPr>
          <w:rFonts w:ascii="Times New Roman" w:hAnsi="Times New Roman"/>
          <w:b/>
          <w:i w:val="0"/>
          <w:sz w:val="20"/>
          <w:u w:val="none"/>
        </w:rPr>
        <w:t>Table 1</w:t>
      </w:r>
      <w:r>
        <w:rPr>
          <w:rFonts w:ascii="Times New Roman" w:hAnsi="Times New Roman"/>
          <w:b w:val="0"/>
          <w:i w:val="0"/>
          <w:sz w:val="20"/>
          <w:u w:val="none"/>
        </w:rPr>
        <w:t xml:space="preserve">  Positioning of LMSIS within contemporary clinical ML</w:t>
      </w:r>
      <w:r>
        <w:rPr>
          <w:rFonts w:ascii="Times New Roman" w:hAnsi="Times New Roman"/>
          <w:b w:val="0"/>
          <w:i w:val="0"/>
          <w:sz w:val="20"/>
          <w:u w:val="none"/>
        </w:rPr>
        <w:tab/>
        <w:t>XX</w:t>
      </w:r>
    </w:p>
    <w:p>
      <w:pPr>
        <w:keepNext w:val="0"/>
        <w:spacing w:before="0" w:after="80" w:line="240" w:lineRule="auto"/>
        <w:jc w:val="left"/>
      </w:pPr>
      <w:r>
        <w:rPr>
          <w:rFonts w:ascii="Times New Roman" w:hAnsi="Times New Roman"/>
          <w:b/>
          <w:i w:val="0"/>
          <w:sz w:val="20"/>
          <w:u w:val="none"/>
        </w:rPr>
        <w:t>Table 2</w:t>
      </w:r>
      <w:r>
        <w:rPr>
          <w:rFonts w:ascii="Times New Roman" w:hAnsi="Times New Roman"/>
          <w:b w:val="0"/>
          <w:i w:val="0"/>
          <w:sz w:val="20"/>
          <w:u w:val="none"/>
        </w:rPr>
        <w:t xml:space="preserve">  Steatosis prediction performance in normal-BMI cohort</w:t>
      </w:r>
      <w:r>
        <w:rPr>
          <w:rFonts w:ascii="Times New Roman" w:hAnsi="Times New Roman"/>
          <w:b w:val="0"/>
          <w:i w:val="0"/>
          <w:sz w:val="20"/>
          <w:u w:val="none"/>
        </w:rPr>
        <w:tab/>
        <w:t>XX</w:t>
      </w:r>
    </w:p>
    <w:p>
      <w:pPr>
        <w:keepNext w:val="0"/>
        <w:spacing w:before="0" w:after="80" w:line="240" w:lineRule="auto"/>
        <w:jc w:val="left"/>
      </w:pPr>
      <w:r>
        <w:rPr>
          <w:rFonts w:ascii="Times New Roman" w:hAnsi="Times New Roman"/>
          <w:b/>
          <w:i w:val="0"/>
          <w:sz w:val="20"/>
          <w:u w:val="none"/>
        </w:rPr>
        <w:t>Table 3</w:t>
      </w:r>
      <w:r>
        <w:rPr>
          <w:rFonts w:ascii="Times New Roman" w:hAnsi="Times New Roman"/>
          <w:b w:val="0"/>
          <w:i w:val="0"/>
          <w:sz w:val="20"/>
          <w:u w:val="none"/>
        </w:rPr>
        <w:t xml:space="preserve">  Structural and safety comparison across methods</w:t>
      </w:r>
      <w:r>
        <w:rPr>
          <w:rFonts w:ascii="Times New Roman" w:hAnsi="Times New Roman"/>
          <w:b w:val="0"/>
          <w:i w:val="0"/>
          <w:sz w:val="20"/>
          <w:u w:val="none"/>
        </w:rPr>
        <w:tab/>
        <w:t>XX</w:t>
      </w:r>
    </w:p>
    <w:p>
      <w:pPr>
        <w:keepNext w:val="0"/>
        <w:spacing w:before="0" w:after="80" w:line="240" w:lineRule="auto"/>
        <w:jc w:val="left"/>
      </w:pPr>
      <w:r>
        <w:rPr>
          <w:rFonts w:ascii="Times New Roman" w:hAnsi="Times New Roman"/>
          <w:b/>
          <w:i w:val="0"/>
          <w:sz w:val="20"/>
          <w:u w:val="none"/>
        </w:rPr>
        <w:t>Table 4</w:t>
      </w:r>
      <w:r>
        <w:rPr>
          <w:rFonts w:ascii="Times New Roman" w:hAnsi="Times New Roman"/>
          <w:b w:val="0"/>
          <w:i w:val="0"/>
          <w:sz w:val="20"/>
          <w:u w:val="none"/>
        </w:rPr>
        <w:t xml:space="preserve">  Conformal coverage by phenotypic quadrant</w:t>
      </w:r>
      <w:r>
        <w:rPr>
          <w:rFonts w:ascii="Times New Roman" w:hAnsi="Times New Roman"/>
          <w:b w:val="0"/>
          <w:i w:val="0"/>
          <w:sz w:val="20"/>
          <w:u w:val="none"/>
        </w:rPr>
        <w:tab/>
        <w:t>XX</w:t>
      </w:r>
    </w:p>
    <w:p>
      <w:pPr>
        <w:keepNext w:val="0"/>
        <w:spacing w:before="0" w:after="80" w:line="240" w:lineRule="auto"/>
        <w:jc w:val="left"/>
      </w:pPr>
      <w:r>
        <w:rPr>
          <w:rFonts w:ascii="Times New Roman" w:hAnsi="Times New Roman"/>
          <w:b/>
          <w:i w:val="0"/>
          <w:sz w:val="20"/>
          <w:u w:val="none"/>
        </w:rPr>
        <w:t>Table 5</w:t>
      </w:r>
      <w:r>
        <w:rPr>
          <w:rFonts w:ascii="Times New Roman" w:hAnsi="Times New Roman"/>
          <w:b w:val="0"/>
          <w:i w:val="0"/>
          <w:sz w:val="20"/>
          <w:u w:val="none"/>
        </w:rPr>
        <w:t xml:space="preserve">  Clinical utility and cost comparison matrix</w:t>
      </w:r>
      <w:r>
        <w:rPr>
          <w:rFonts w:ascii="Times New Roman" w:hAnsi="Times New Roman"/>
          <w:b w:val="0"/>
          <w:i w:val="0"/>
          <w:sz w:val="20"/>
          <w:u w:val="none"/>
        </w:rPr>
        <w:tab/>
        <w:t>XX</w:t>
      </w:r>
    </w:p>
    <w:p>
      <w:pPr>
        <w:keepNext w:val="0"/>
        <w:spacing w:before="0" w:after="80" w:line="240" w:lineRule="auto"/>
        <w:jc w:val="left"/>
      </w:pPr>
      <w:r>
        <w:rPr>
          <w:rFonts w:ascii="Times New Roman" w:hAnsi="Times New Roman"/>
          <w:b/>
          <w:i w:val="0"/>
          <w:sz w:val="20"/>
          <w:u w:val="none"/>
        </w:rPr>
        <w:t>Table 6</w:t>
      </w:r>
      <w:r>
        <w:rPr>
          <w:rFonts w:ascii="Times New Roman" w:hAnsi="Times New Roman"/>
          <w:b w:val="0"/>
          <w:i w:val="0"/>
          <w:sz w:val="20"/>
          <w:u w:val="none"/>
        </w:rPr>
        <w:t xml:space="preserve">  Neural architecture specification</w:t>
      </w:r>
      <w:r>
        <w:rPr>
          <w:rFonts w:ascii="Times New Roman" w:hAnsi="Times New Roman"/>
          <w:b w:val="0"/>
          <w:i w:val="0"/>
          <w:sz w:val="20"/>
          <w:u w:val="none"/>
        </w:rPr>
        <w:tab/>
        <w:t>XX</w:t>
      </w:r>
    </w:p>
    <w:p>
      <w:pPr>
        <w:keepNext w:val="0"/>
        <w:spacing w:before="0" w:after="80" w:line="240" w:lineRule="auto"/>
        <w:jc w:val="left"/>
      </w:pPr>
      <w:r>
        <w:rPr>
          <w:rFonts w:ascii="Times New Roman" w:hAnsi="Times New Roman"/>
          <w:b/>
          <w:i w:val="0"/>
          <w:sz w:val="20"/>
          <w:u w:val="none"/>
        </w:rPr>
        <w:t>Table 7</w:t>
      </w:r>
      <w:r>
        <w:rPr>
          <w:rFonts w:ascii="Times New Roman" w:hAnsi="Times New Roman"/>
          <w:b w:val="0"/>
          <w:i w:val="0"/>
          <w:sz w:val="20"/>
          <w:u w:val="none"/>
        </w:rPr>
        <w:t xml:space="preserve">  Symbolic regression discoveries (hypothesis-grade)</w:t>
      </w:r>
      <w:r>
        <w:rPr>
          <w:rFonts w:ascii="Times New Roman" w:hAnsi="Times New Roman"/>
          <w:b w:val="0"/>
          <w:i w:val="0"/>
          <w:sz w:val="20"/>
          <w:u w:val="none"/>
        </w:rPr>
        <w:tab/>
        <w:t>XX</w:t>
      </w:r>
    </w:p>
    <w:p>
      <w:pPr>
        <w:keepNext w:val="0"/>
        <w:spacing w:before="0" w:after="80" w:line="240" w:lineRule="auto"/>
        <w:jc w:val="left"/>
      </w:pPr>
      <w:r>
        <w:rPr>
          <w:rFonts w:ascii="Times New Roman" w:hAnsi="Times New Roman"/>
          <w:b/>
          <w:i w:val="0"/>
          <w:sz w:val="20"/>
          <w:u w:val="none"/>
        </w:rPr>
        <w:t>Table 8</w:t>
      </w:r>
      <w:r>
        <w:rPr>
          <w:rFonts w:ascii="Times New Roman" w:hAnsi="Times New Roman"/>
          <w:b w:val="0"/>
          <w:i w:val="0"/>
          <w:sz w:val="20"/>
          <w:u w:val="none"/>
        </w:rPr>
        <w:t xml:space="preserve">  Canonical sample-size ledger</w:t>
      </w:r>
      <w:r>
        <w:rPr>
          <w:rFonts w:ascii="Times New Roman" w:hAnsi="Times New Roman"/>
          <w:b w:val="0"/>
          <w:i w:val="0"/>
          <w:sz w:val="20"/>
          <w:u w:val="none"/>
        </w:rPr>
        <w:tab/>
        <w:t>XX</w:t>
      </w:r>
    </w:p>
    <w:p>
      <w:pPr>
        <w:keepNext w:val="0"/>
        <w:spacing w:before="0" w:after="80" w:line="240" w:lineRule="auto"/>
        <w:jc w:val="left"/>
      </w:pPr>
      <w:r>
        <w:rPr>
          <w:rFonts w:ascii="Times New Roman" w:hAnsi="Times New Roman"/>
          <w:b/>
          <w:i w:val="0"/>
          <w:sz w:val="20"/>
          <w:u w:val="none"/>
        </w:rPr>
        <w:t>Table 9</w:t>
      </w:r>
      <w:r>
        <w:rPr>
          <w:rFonts w:ascii="Times New Roman" w:hAnsi="Times New Roman"/>
          <w:b w:val="0"/>
          <w:i w:val="0"/>
          <w:sz w:val="20"/>
          <w:u w:val="none"/>
        </w:rPr>
        <w:t xml:space="preserve">  Experimental evaluation objectives and success criteria</w:t>
      </w:r>
      <w:r>
        <w:rPr>
          <w:rFonts w:ascii="Times New Roman" w:hAnsi="Times New Roman"/>
          <w:b w:val="0"/>
          <w:i w:val="0"/>
          <w:sz w:val="20"/>
          <w:u w:val="none"/>
        </w:rPr>
        <w:tab/>
        <w:t>XX</w:t>
      </w:r>
    </w:p>
    <w:p>
      <w:pPr>
        <w:keepNext w:val="0"/>
        <w:spacing w:before="0" w:after="80" w:line="240" w:lineRule="auto"/>
        <w:jc w:val="left"/>
      </w:pPr>
      <w:r>
        <w:rPr>
          <w:rFonts w:ascii="Times New Roman" w:hAnsi="Times New Roman"/>
          <w:b/>
          <w:i w:val="0"/>
          <w:sz w:val="20"/>
          <w:u w:val="none"/>
        </w:rPr>
        <w:t>Table 10</w:t>
      </w:r>
      <w:r>
        <w:rPr>
          <w:rFonts w:ascii="Times New Roman" w:hAnsi="Times New Roman"/>
          <w:b w:val="0"/>
          <w:i w:val="0"/>
          <w:sz w:val="20"/>
          <w:u w:val="none"/>
        </w:rPr>
        <w:t xml:space="preserve">  Computational cost metrics</w:t>
      </w:r>
      <w:r>
        <w:rPr>
          <w:rFonts w:ascii="Times New Roman" w:hAnsi="Times New Roman"/>
          <w:b w:val="0"/>
          <w:i w:val="0"/>
          <w:sz w:val="20"/>
          <w:u w:val="none"/>
        </w:rPr>
        <w:tab/>
        <w:t>XX</w:t>
      </w:r>
    </w:p>
    <w:p>
      <w:pPr>
        <w:keepNext w:val="0"/>
        <w:spacing w:before="0" w:after="80" w:line="240" w:lineRule="auto"/>
        <w:jc w:val="left"/>
      </w:pPr>
      <w:r>
        <w:rPr>
          <w:rFonts w:ascii="Times New Roman" w:hAnsi="Times New Roman"/>
          <w:b/>
          <w:i w:val="0"/>
          <w:sz w:val="20"/>
          <w:u w:val="none"/>
        </w:rPr>
        <w:t>Table 11</w:t>
      </w:r>
      <w:r>
        <w:rPr>
          <w:rFonts w:ascii="Times New Roman" w:hAnsi="Times New Roman"/>
          <w:b w:val="0"/>
          <w:i w:val="0"/>
          <w:sz w:val="20"/>
          <w:u w:val="none"/>
        </w:rPr>
        <w:t xml:space="preserve">  Test set benchmark comparison (n = 214)</w:t>
      </w:r>
      <w:r>
        <w:rPr>
          <w:rFonts w:ascii="Times New Roman" w:hAnsi="Times New Roman"/>
          <w:b w:val="0"/>
          <w:i w:val="0"/>
          <w:sz w:val="20"/>
          <w:u w:val="none"/>
        </w:rPr>
        <w:tab/>
        <w:t>XX</w:t>
      </w:r>
    </w:p>
    <w:p>
      <w:pPr>
        <w:keepNext w:val="0"/>
        <w:spacing w:before="0" w:after="80" w:line="240" w:lineRule="auto"/>
        <w:jc w:val="left"/>
      </w:pPr>
      <w:r>
        <w:rPr>
          <w:rFonts w:ascii="Times New Roman" w:hAnsi="Times New Roman"/>
          <w:b/>
          <w:i w:val="0"/>
          <w:sz w:val="20"/>
          <w:u w:val="none"/>
        </w:rPr>
        <w:t>Table 12</w:t>
      </w:r>
      <w:r>
        <w:rPr>
          <w:rFonts w:ascii="Times New Roman" w:hAnsi="Times New Roman"/>
          <w:b w:val="0"/>
          <w:i w:val="0"/>
          <w:sz w:val="20"/>
          <w:u w:val="none"/>
        </w:rPr>
        <w:t xml:space="preserve">  Strict temporal validation: J-only vs. random cross-cycle split</w:t>
      </w:r>
      <w:r>
        <w:rPr>
          <w:rFonts w:ascii="Times New Roman" w:hAnsi="Times New Roman"/>
          <w:b w:val="0"/>
          <w:i w:val="0"/>
          <w:sz w:val="20"/>
          <w:u w:val="none"/>
        </w:rPr>
        <w:tab/>
        <w:t>XX</w:t>
      </w:r>
    </w:p>
    <w:p>
      <w:pPr>
        <w:keepNext w:val="0"/>
        <w:spacing w:before="0" w:after="80" w:line="240" w:lineRule="auto"/>
        <w:jc w:val="left"/>
      </w:pPr>
      <w:r>
        <w:rPr>
          <w:rFonts w:ascii="Times New Roman" w:hAnsi="Times New Roman"/>
          <w:b/>
          <w:i w:val="0"/>
          <w:sz w:val="20"/>
          <w:u w:val="none"/>
        </w:rPr>
        <w:t>Table 13</w:t>
      </w:r>
      <w:r>
        <w:rPr>
          <w:rFonts w:ascii="Times New Roman" w:hAnsi="Times New Roman"/>
          <w:b w:val="0"/>
          <w:i w:val="0"/>
          <w:sz w:val="20"/>
          <w:u w:val="none"/>
        </w:rPr>
        <w:t xml:space="preserve">  Five-seed stability audit: P-cycle under strict temporal split</w:t>
      </w:r>
      <w:r>
        <w:rPr>
          <w:rFonts w:ascii="Times New Roman" w:hAnsi="Times New Roman"/>
          <w:b w:val="0"/>
          <w:i w:val="0"/>
          <w:sz w:val="20"/>
          <w:u w:val="none"/>
        </w:rPr>
        <w:tab/>
        <w:t>XX</w:t>
      </w:r>
    </w:p>
    <w:p>
      <w:pPr>
        <w:keepNext w:val="0"/>
        <w:spacing w:before="0" w:after="80" w:line="240" w:lineRule="auto"/>
        <w:jc w:val="left"/>
      </w:pPr>
      <w:r>
        <w:rPr>
          <w:rFonts w:ascii="Times New Roman" w:hAnsi="Times New Roman"/>
          <w:b/>
          <w:i w:val="0"/>
          <w:sz w:val="20"/>
          <w:u w:val="none"/>
        </w:rPr>
        <w:t>Table 14</w:t>
      </w:r>
      <w:r>
        <w:rPr>
          <w:rFonts w:ascii="Times New Roman" w:hAnsi="Times New Roman"/>
          <w:b w:val="0"/>
          <w:i w:val="0"/>
          <w:sz w:val="20"/>
          <w:u w:val="none"/>
        </w:rPr>
        <w:t xml:space="preserve">  Model performance on real Asian cohort</w:t>
      </w:r>
      <w:r>
        <w:rPr>
          <w:rFonts w:ascii="Times New Roman" w:hAnsi="Times New Roman"/>
          <w:b w:val="0"/>
          <w:i w:val="0"/>
          <w:sz w:val="20"/>
          <w:u w:val="none"/>
        </w:rPr>
        <w:tab/>
        <w:t>XX</w:t>
      </w:r>
    </w:p>
    <w:p>
      <w:pPr>
        <w:keepNext w:val="0"/>
        <w:spacing w:before="0" w:after="80" w:line="240" w:lineRule="auto"/>
        <w:jc w:val="left"/>
      </w:pPr>
      <w:r>
        <w:rPr>
          <w:rFonts w:ascii="Times New Roman" w:hAnsi="Times New Roman"/>
          <w:b/>
          <w:i w:val="0"/>
          <w:sz w:val="20"/>
          <w:u w:val="none"/>
        </w:rPr>
        <w:t>Table 15</w:t>
      </w:r>
      <w:r>
        <w:rPr>
          <w:rFonts w:ascii="Times New Roman" w:hAnsi="Times New Roman"/>
          <w:b w:val="0"/>
          <w:i w:val="0"/>
          <w:sz w:val="20"/>
          <w:u w:val="none"/>
        </w:rPr>
        <w:t xml:space="preserve">  Simulated pharmacological intervention effects</w:t>
      </w:r>
      <w:r>
        <w:rPr>
          <w:rFonts w:ascii="Times New Roman" w:hAnsi="Times New Roman"/>
          <w:b w:val="0"/>
          <w:i w:val="0"/>
          <w:sz w:val="20"/>
          <w:u w:val="none"/>
        </w:rPr>
        <w:tab/>
        <w:t>XX</w:t>
      </w:r>
    </w:p>
    <w:p>
      <w:pPr>
        <w:keepNext w:val="0"/>
        <w:spacing w:before="0" w:after="80" w:line="240" w:lineRule="auto"/>
        <w:jc w:val="left"/>
      </w:pPr>
      <w:r>
        <w:rPr>
          <w:rFonts w:ascii="Times New Roman" w:hAnsi="Times New Roman"/>
          <w:b/>
          <w:i w:val="0"/>
          <w:sz w:val="20"/>
          <w:u w:val="none"/>
        </w:rPr>
        <w:t>Table 16</w:t>
      </w:r>
      <w:r>
        <w:rPr>
          <w:rFonts w:ascii="Times New Roman" w:hAnsi="Times New Roman"/>
          <w:b w:val="0"/>
          <w:i w:val="0"/>
          <w:sz w:val="20"/>
          <w:u w:val="none"/>
        </w:rPr>
        <w:t xml:space="preserve">  Ablation study results (test split)</w:t>
      </w:r>
      <w:r>
        <w:rPr>
          <w:rFonts w:ascii="Times New Roman" w:hAnsi="Times New Roman"/>
          <w:b w:val="0"/>
          <w:i w:val="0"/>
          <w:sz w:val="20"/>
          <w:u w:val="none"/>
        </w:rPr>
        <w:tab/>
        <w:t>XX</w:t>
      </w:r>
    </w:p>
    <w:p>
      <w:pPr>
        <w:keepNext w:val="0"/>
        <w:spacing w:before="0" w:after="80" w:line="240" w:lineRule="auto"/>
        <w:jc w:val="left"/>
      </w:pPr>
      <w:r>
        <w:rPr>
          <w:rFonts w:ascii="Times New Roman" w:hAnsi="Times New Roman"/>
          <w:b/>
          <w:i w:val="0"/>
          <w:sz w:val="20"/>
          <w:u w:val="none"/>
        </w:rPr>
        <w:t>Table 17</w:t>
      </w:r>
      <w:r>
        <w:rPr>
          <w:rFonts w:ascii="Times New Roman" w:hAnsi="Times New Roman"/>
          <w:b w:val="0"/>
          <w:i w:val="0"/>
          <w:sz w:val="20"/>
          <w:u w:val="none"/>
        </w:rPr>
        <w:t xml:space="preserve">  FastAPI endpoint quick reference</w:t>
      </w:r>
      <w:r>
        <w:rPr>
          <w:rFonts w:ascii="Times New Roman" w:hAnsi="Times New Roman"/>
          <w:b w:val="0"/>
          <w:i w:val="0"/>
          <w:sz w:val="20"/>
          <w:u w:val="none"/>
        </w:rPr>
        <w:tab/>
        <w:t>XX</w:t>
      </w:r>
    </w:p>
    <w:p>
      <w:pPr>
        <w:keepNext w:val="0"/>
        <w:spacing w:before="0" w:after="80" w:line="240" w:lineRule="auto"/>
        <w:jc w:val="left"/>
      </w:pPr>
      <w:r>
        <w:rPr>
          <w:rFonts w:ascii="Times New Roman" w:hAnsi="Times New Roman"/>
          <w:b/>
          <w:i w:val="0"/>
          <w:sz w:val="20"/>
          <w:u w:val="none"/>
        </w:rPr>
        <w:t>Table 18</w:t>
      </w:r>
      <w:r>
        <w:rPr>
          <w:rFonts w:ascii="Times New Roman" w:hAnsi="Times New Roman"/>
          <w:b w:val="0"/>
          <w:i w:val="0"/>
          <w:sz w:val="20"/>
          <w:u w:val="none"/>
        </w:rPr>
        <w:t xml:space="preserve">  Threats to validity</w:t>
      </w:r>
      <w:r>
        <w:rPr>
          <w:rFonts w:ascii="Times New Roman" w:hAnsi="Times New Roman"/>
          <w:b w:val="0"/>
          <w:i w:val="0"/>
          <w:sz w:val="20"/>
          <w:u w:val="none"/>
        </w:rPr>
        <w:tab/>
        <w:t>XX</w:t>
      </w:r>
    </w:p>
    <w:p>
      <w:r>
        <w:br w:type="page"/>
      </w:r>
    </w:p>
    <w:p>
      <w:pPr>
        <w:keepNext w:val="0"/>
        <w:spacing w:before="0" w:after="0" w:line="360" w:lineRule="auto"/>
        <w:jc w:val="both"/>
      </w:pPr>
    </w:p>
    <w:p>
      <w:pPr>
        <w:keepNext w:val="0"/>
        <w:spacing w:before="0" w:after="0" w:line="360" w:lineRule="auto"/>
        <w:jc w:val="both"/>
      </w:pPr>
    </w:p>
    <w:p>
      <w:pPr>
        <w:keepNext/>
        <w:spacing w:before="0" w:after="360" w:line="360" w:lineRule="auto"/>
        <w:jc w:val="center"/>
      </w:pPr>
      <w:r>
        <w:rPr>
          <w:rFonts w:ascii="Times New Roman" w:hAnsi="Times New Roman"/>
          <w:b/>
          <w:i w:val="0"/>
          <w:sz w:val="24"/>
          <w:u w:val="none"/>
        </w:rPr>
        <w:t>LIST OF FIGURES</w:t>
      </w:r>
    </w:p>
    <w:p>
      <w:pPr>
        <w:keepNext w:val="0"/>
        <w:spacing w:before="0" w:after="80" w:line="240" w:lineRule="auto"/>
        <w:jc w:val="left"/>
      </w:pPr>
      <w:r>
        <w:rPr>
          <w:rFonts w:ascii="Times New Roman" w:hAnsi="Times New Roman"/>
          <w:b/>
          <w:i w:val="0"/>
          <w:sz w:val="20"/>
          <w:u w:val="none"/>
        </w:rPr>
        <w:t>Figure 1</w:t>
      </w:r>
      <w:r>
        <w:rPr>
          <w:rFonts w:ascii="Times New Roman" w:hAnsi="Times New Roman"/>
          <w:b w:val="0"/>
          <w:i w:val="0"/>
          <w:sz w:val="20"/>
          <w:u w:val="none"/>
        </w:rPr>
        <w:t xml:space="preserve">  High-level system architecture of LMSIS</w:t>
      </w:r>
      <w:r>
        <w:rPr>
          <w:rFonts w:ascii="Times New Roman" w:hAnsi="Times New Roman"/>
          <w:b w:val="0"/>
          <w:i w:val="0"/>
          <w:sz w:val="20"/>
          <w:u w:val="none"/>
        </w:rPr>
        <w:tab/>
        <w:t>XX</w:t>
      </w:r>
    </w:p>
    <w:p>
      <w:r>
        <w:br w:type="page"/>
      </w:r>
    </w:p>
    <w:p>
      <w:pPr>
        <w:keepNext w:val="0"/>
        <w:spacing w:before="0" w:after="0" w:line="360" w:lineRule="auto"/>
        <w:jc w:val="both"/>
      </w:pPr>
    </w:p>
    <w:p>
      <w:pPr>
        <w:keepNext w:val="0"/>
        <w:spacing w:before="0" w:after="0" w:line="360" w:lineRule="auto"/>
        <w:jc w:val="both"/>
      </w:pPr>
    </w:p>
    <w:p>
      <w:pPr>
        <w:keepNext/>
        <w:spacing w:before="0" w:after="360" w:line="360" w:lineRule="auto"/>
        <w:jc w:val="center"/>
      </w:pPr>
      <w:r>
        <w:rPr>
          <w:rFonts w:ascii="Times New Roman" w:hAnsi="Times New Roman"/>
          <w:b/>
          <w:i w:val="0"/>
          <w:sz w:val="24"/>
          <w:u w:val="none"/>
        </w:rPr>
        <w:t>LIST OF SYMBOLS AND ABBREVIATIONS</w:t>
      </w:r>
    </w:p>
    <w:tbl>
      <w:tblPr>
        <w:tblStyle w:val="TableGrid"/>
        <w:tblW w:type="auto" w:w="0"/>
        <w:tblLook w:firstColumn="1" w:firstRow="1" w:lastColumn="0" w:lastRow="0" w:noHBand="0" w:noVBand="1" w:val="04A0"/>
      </w:tblPr>
      <w:tblGrid>
        <w:gridCol w:w="3968"/>
        <w:gridCol w:w="3968"/>
      </w:tblGrid>
      <w:tr>
        <w:tc>
          <w:tcPr>
            <w:tcW w:type="dxa" w:w="3968"/>
          </w:tcPr>
          <w:p>
            <w:pPr>
              <w:spacing w:before="40" w:after="40" w:line="240" w:lineRule="auto"/>
            </w:pPr>
            <w:r/>
            <w:r>
              <w:rPr>
                <w:rFonts w:ascii="Times New Roman" w:hAnsi="Times New Roman"/>
                <w:b/>
                <w:i w:val="0"/>
                <w:sz w:val="20"/>
                <w:u w:val="none"/>
              </w:rPr>
              <w:t>ρ (rho)</w:t>
            </w:r>
          </w:p>
        </w:tc>
        <w:tc>
          <w:tcPr>
            <w:tcW w:type="dxa" w:w="3968"/>
          </w:tcPr>
          <w:p>
            <w:pPr>
              <w:spacing w:before="40" w:after="40" w:line="240" w:lineRule="auto"/>
            </w:pPr>
            <w:r/>
            <w:r>
              <w:rPr>
                <w:rFonts w:ascii="Times New Roman" w:hAnsi="Times New Roman"/>
                <w:b w:val="0"/>
                <w:i w:val="0"/>
                <w:sz w:val="20"/>
                <w:u w:val="none"/>
              </w:rPr>
              <w:t>Spearman rank correlation coefficient</w:t>
            </w:r>
          </w:p>
        </w:tc>
      </w:tr>
      <w:tr>
        <w:tc>
          <w:tcPr>
            <w:tcW w:type="dxa" w:w="3968"/>
          </w:tcPr>
          <w:p>
            <w:pPr>
              <w:spacing w:before="40" w:after="40" w:line="240" w:lineRule="auto"/>
            </w:pPr>
            <w:r/>
            <w:r>
              <w:rPr>
                <w:rFonts w:ascii="Times New Roman" w:hAnsi="Times New Roman"/>
                <w:b/>
                <w:i w:val="0"/>
                <w:sz w:val="20"/>
                <w:u w:val="none"/>
              </w:rPr>
              <w:t>φ (phi)</w:t>
            </w:r>
          </w:p>
        </w:tc>
        <w:tc>
          <w:tcPr>
            <w:tcW w:type="dxa" w:w="3968"/>
          </w:tcPr>
          <w:p>
            <w:pPr>
              <w:spacing w:before="40" w:after="40" w:line="240" w:lineRule="auto"/>
            </w:pPr>
            <w:r/>
            <w:r>
              <w:rPr>
                <w:rFonts w:ascii="Times New Roman" w:hAnsi="Times New Roman"/>
                <w:b w:val="0"/>
                <w:i w:val="0"/>
                <w:sz w:val="20"/>
                <w:u w:val="none"/>
              </w:rPr>
              <w:t>Encoder network parameters</w:t>
            </w:r>
          </w:p>
        </w:tc>
      </w:tr>
      <w:tr>
        <w:tc>
          <w:tcPr>
            <w:tcW w:type="dxa" w:w="3968"/>
          </w:tcPr>
          <w:p>
            <w:pPr>
              <w:spacing w:before="40" w:after="40" w:line="240" w:lineRule="auto"/>
            </w:pPr>
            <w:r/>
            <w:r>
              <w:rPr>
                <w:rFonts w:ascii="Times New Roman" w:hAnsi="Times New Roman"/>
                <w:b/>
                <w:i w:val="0"/>
                <w:sz w:val="20"/>
                <w:u w:val="none"/>
              </w:rPr>
              <w:t>θ (theta)</w:t>
            </w:r>
          </w:p>
        </w:tc>
        <w:tc>
          <w:tcPr>
            <w:tcW w:type="dxa" w:w="3968"/>
          </w:tcPr>
          <w:p>
            <w:pPr>
              <w:spacing w:before="40" w:after="40" w:line="240" w:lineRule="auto"/>
            </w:pPr>
            <w:r/>
            <w:r>
              <w:rPr>
                <w:rFonts w:ascii="Times New Roman" w:hAnsi="Times New Roman"/>
                <w:b w:val="0"/>
                <w:i w:val="0"/>
                <w:sz w:val="20"/>
                <w:u w:val="none"/>
              </w:rPr>
              <w:t>Decoder and prior network parameters</w:t>
            </w:r>
          </w:p>
        </w:tc>
      </w:tr>
      <w:tr>
        <w:tc>
          <w:tcPr>
            <w:tcW w:type="dxa" w:w="3968"/>
          </w:tcPr>
          <w:p>
            <w:pPr>
              <w:spacing w:before="40" w:after="40" w:line="240" w:lineRule="auto"/>
            </w:pPr>
            <w:r/>
            <w:r>
              <w:rPr>
                <w:rFonts w:ascii="Times New Roman" w:hAnsi="Times New Roman"/>
                <w:b/>
                <w:i w:val="0"/>
                <w:sz w:val="20"/>
                <w:u w:val="none"/>
              </w:rPr>
              <w:t>γ (gamma)</w:t>
            </w:r>
          </w:p>
        </w:tc>
        <w:tc>
          <w:tcPr>
            <w:tcW w:type="dxa" w:w="3968"/>
          </w:tcPr>
          <w:p>
            <w:pPr>
              <w:spacing w:before="40" w:after="40" w:line="240" w:lineRule="auto"/>
            </w:pPr>
            <w:r/>
            <w:r>
              <w:rPr>
                <w:rFonts w:ascii="Times New Roman" w:hAnsi="Times New Roman"/>
                <w:b w:val="0"/>
                <w:i w:val="0"/>
                <w:sz w:val="20"/>
                <w:u w:val="none"/>
              </w:rPr>
              <w:t>Anchor network parameters</w:t>
            </w:r>
          </w:p>
        </w:tc>
      </w:tr>
      <w:tr>
        <w:tc>
          <w:tcPr>
            <w:tcW w:type="dxa" w:w="3968"/>
          </w:tcPr>
          <w:p>
            <w:pPr>
              <w:spacing w:before="40" w:after="40" w:line="240" w:lineRule="auto"/>
            </w:pPr>
            <w:r/>
            <w:r>
              <w:rPr>
                <w:rFonts w:ascii="Times New Roman" w:hAnsi="Times New Roman"/>
                <w:b/>
                <w:i w:val="0"/>
                <w:sz w:val="20"/>
                <w:u w:val="none"/>
              </w:rPr>
              <w:t>λ (lambda)</w:t>
            </w:r>
          </w:p>
        </w:tc>
        <w:tc>
          <w:tcPr>
            <w:tcW w:type="dxa" w:w="3968"/>
          </w:tcPr>
          <w:p>
            <w:pPr>
              <w:spacing w:before="40" w:after="40" w:line="240" w:lineRule="auto"/>
            </w:pPr>
            <w:r/>
            <w:r>
              <w:rPr>
                <w:rFonts w:ascii="Times New Roman" w:hAnsi="Times New Roman"/>
                <w:b w:val="0"/>
                <w:i w:val="0"/>
                <w:sz w:val="20"/>
                <w:u w:val="none"/>
              </w:rPr>
              <w:t>Loss weighting coefficients</w:t>
            </w:r>
          </w:p>
        </w:tc>
      </w:tr>
      <w:tr>
        <w:tc>
          <w:tcPr>
            <w:tcW w:type="dxa" w:w="3968"/>
          </w:tcPr>
          <w:p>
            <w:pPr>
              <w:spacing w:before="40" w:after="40" w:line="240" w:lineRule="auto"/>
            </w:pPr>
            <w:r/>
            <w:r>
              <w:rPr>
                <w:rFonts w:ascii="Times New Roman" w:hAnsi="Times New Roman"/>
                <w:b/>
                <w:i w:val="0"/>
                <w:sz w:val="20"/>
                <w:u w:val="none"/>
              </w:rPr>
              <w:t>α (alpha)</w:t>
            </w:r>
          </w:p>
        </w:tc>
        <w:tc>
          <w:tcPr>
            <w:tcW w:type="dxa" w:w="3968"/>
          </w:tcPr>
          <w:p>
            <w:pPr>
              <w:spacing w:before="40" w:after="40" w:line="240" w:lineRule="auto"/>
            </w:pPr>
            <w:r/>
            <w:r>
              <w:rPr>
                <w:rFonts w:ascii="Times New Roman" w:hAnsi="Times New Roman"/>
                <w:b w:val="0"/>
                <w:i w:val="0"/>
                <w:sz w:val="20"/>
                <w:u w:val="none"/>
              </w:rPr>
              <w:t>Conformal coverage level (1 - alpha = coverage)</w:t>
            </w:r>
          </w:p>
        </w:tc>
      </w:tr>
      <w:tr>
        <w:tc>
          <w:tcPr>
            <w:tcW w:type="dxa" w:w="3968"/>
          </w:tcPr>
          <w:p>
            <w:pPr>
              <w:spacing w:before="40" w:after="40" w:line="240" w:lineRule="auto"/>
            </w:pPr>
            <w:r/>
            <w:r>
              <w:rPr>
                <w:rFonts w:ascii="Times New Roman" w:hAnsi="Times New Roman"/>
                <w:b/>
                <w:i w:val="0"/>
                <w:sz w:val="20"/>
                <w:u w:val="none"/>
              </w:rPr>
              <w:t>AIP</w:t>
            </w:r>
          </w:p>
        </w:tc>
        <w:tc>
          <w:tcPr>
            <w:tcW w:type="dxa" w:w="3968"/>
          </w:tcPr>
          <w:p>
            <w:pPr>
              <w:spacing w:before="40" w:after="40" w:line="240" w:lineRule="auto"/>
            </w:pPr>
            <w:r/>
            <w:r>
              <w:rPr>
                <w:rFonts w:ascii="Times New Roman" w:hAnsi="Times New Roman"/>
                <w:b w:val="0"/>
                <w:i w:val="0"/>
                <w:sz w:val="20"/>
                <w:u w:val="none"/>
              </w:rPr>
              <w:t>Atherogenic Index of Plasma</w:t>
            </w:r>
          </w:p>
        </w:tc>
      </w:tr>
      <w:tr>
        <w:tc>
          <w:tcPr>
            <w:tcW w:type="dxa" w:w="3968"/>
          </w:tcPr>
          <w:p>
            <w:pPr>
              <w:spacing w:before="40" w:after="40" w:line="240" w:lineRule="auto"/>
            </w:pPr>
            <w:r/>
            <w:r>
              <w:rPr>
                <w:rFonts w:ascii="Times New Roman" w:hAnsi="Times New Roman"/>
                <w:b/>
                <w:i w:val="0"/>
                <w:sz w:val="20"/>
                <w:u w:val="none"/>
              </w:rPr>
              <w:t>ALT</w:t>
            </w:r>
          </w:p>
        </w:tc>
        <w:tc>
          <w:tcPr>
            <w:tcW w:type="dxa" w:w="3968"/>
          </w:tcPr>
          <w:p>
            <w:pPr>
              <w:spacing w:before="40" w:after="40" w:line="240" w:lineRule="auto"/>
            </w:pPr>
            <w:r/>
            <w:r>
              <w:rPr>
                <w:rFonts w:ascii="Times New Roman" w:hAnsi="Times New Roman"/>
                <w:b w:val="0"/>
                <w:i w:val="0"/>
                <w:sz w:val="20"/>
                <w:u w:val="none"/>
              </w:rPr>
              <w:t>Alanine Aminotransferase</w:t>
            </w:r>
          </w:p>
        </w:tc>
      </w:tr>
      <w:tr>
        <w:tc>
          <w:tcPr>
            <w:tcW w:type="dxa" w:w="3968"/>
          </w:tcPr>
          <w:p>
            <w:pPr>
              <w:spacing w:before="40" w:after="40" w:line="240" w:lineRule="auto"/>
            </w:pPr>
            <w:r/>
            <w:r>
              <w:rPr>
                <w:rFonts w:ascii="Times New Roman" w:hAnsi="Times New Roman"/>
                <w:b/>
                <w:i w:val="0"/>
                <w:sz w:val="20"/>
                <w:u w:val="none"/>
              </w:rPr>
              <w:t>AST</w:t>
            </w:r>
          </w:p>
        </w:tc>
        <w:tc>
          <w:tcPr>
            <w:tcW w:type="dxa" w:w="3968"/>
          </w:tcPr>
          <w:p>
            <w:pPr>
              <w:spacing w:before="40" w:after="40" w:line="240" w:lineRule="auto"/>
            </w:pPr>
            <w:r/>
            <w:r>
              <w:rPr>
                <w:rFonts w:ascii="Times New Roman" w:hAnsi="Times New Roman"/>
                <w:b w:val="0"/>
                <w:i w:val="0"/>
                <w:sz w:val="20"/>
                <w:u w:val="none"/>
              </w:rPr>
              <w:t>Aspartate Aminotransferase</w:t>
            </w:r>
          </w:p>
        </w:tc>
      </w:tr>
      <w:tr>
        <w:tc>
          <w:tcPr>
            <w:tcW w:type="dxa" w:w="3968"/>
          </w:tcPr>
          <w:p>
            <w:pPr>
              <w:spacing w:before="40" w:after="40" w:line="240" w:lineRule="auto"/>
            </w:pPr>
            <w:r/>
            <w:r>
              <w:rPr>
                <w:rFonts w:ascii="Times New Roman" w:hAnsi="Times New Roman"/>
                <w:b/>
                <w:i w:val="0"/>
                <w:sz w:val="20"/>
                <w:u w:val="none"/>
              </w:rPr>
              <w:t>AUROC</w:t>
            </w:r>
          </w:p>
        </w:tc>
        <w:tc>
          <w:tcPr>
            <w:tcW w:type="dxa" w:w="3968"/>
          </w:tcPr>
          <w:p>
            <w:pPr>
              <w:spacing w:before="40" w:after="40" w:line="240" w:lineRule="auto"/>
            </w:pPr>
            <w:r/>
            <w:r>
              <w:rPr>
                <w:rFonts w:ascii="Times New Roman" w:hAnsi="Times New Roman"/>
                <w:b w:val="0"/>
                <w:i w:val="0"/>
                <w:sz w:val="20"/>
                <w:u w:val="none"/>
              </w:rPr>
              <w:t>Area Under the Receiver Operating Characteristic Curve</w:t>
            </w:r>
          </w:p>
        </w:tc>
      </w:tr>
      <w:tr>
        <w:tc>
          <w:tcPr>
            <w:tcW w:type="dxa" w:w="3968"/>
          </w:tcPr>
          <w:p>
            <w:pPr>
              <w:spacing w:before="40" w:after="40" w:line="240" w:lineRule="auto"/>
            </w:pPr>
            <w:r/>
            <w:r>
              <w:rPr>
                <w:rFonts w:ascii="Times New Roman" w:hAnsi="Times New Roman"/>
                <w:b/>
                <w:i w:val="0"/>
                <w:sz w:val="20"/>
                <w:u w:val="none"/>
              </w:rPr>
              <w:t>BMI</w:t>
            </w:r>
          </w:p>
        </w:tc>
        <w:tc>
          <w:tcPr>
            <w:tcW w:type="dxa" w:w="3968"/>
          </w:tcPr>
          <w:p>
            <w:pPr>
              <w:spacing w:before="40" w:after="40" w:line="240" w:lineRule="auto"/>
            </w:pPr>
            <w:r/>
            <w:r>
              <w:rPr>
                <w:rFonts w:ascii="Times New Roman" w:hAnsi="Times New Roman"/>
                <w:b w:val="0"/>
                <w:i w:val="0"/>
                <w:sz w:val="20"/>
                <w:u w:val="none"/>
              </w:rPr>
              <w:t>Body Mass Index</w:t>
            </w:r>
          </w:p>
        </w:tc>
      </w:tr>
      <w:tr>
        <w:tc>
          <w:tcPr>
            <w:tcW w:type="dxa" w:w="3968"/>
          </w:tcPr>
          <w:p>
            <w:pPr>
              <w:spacing w:before="40" w:after="40" w:line="240" w:lineRule="auto"/>
            </w:pPr>
            <w:r/>
            <w:r>
              <w:rPr>
                <w:rFonts w:ascii="Times New Roman" w:hAnsi="Times New Roman"/>
                <w:b/>
                <w:i w:val="0"/>
                <w:sz w:val="20"/>
                <w:u w:val="none"/>
              </w:rPr>
              <w:t>BUN</w:t>
            </w:r>
          </w:p>
        </w:tc>
        <w:tc>
          <w:tcPr>
            <w:tcW w:type="dxa" w:w="3968"/>
          </w:tcPr>
          <w:p>
            <w:pPr>
              <w:spacing w:before="40" w:after="40" w:line="240" w:lineRule="auto"/>
            </w:pPr>
            <w:r/>
            <w:r>
              <w:rPr>
                <w:rFonts w:ascii="Times New Roman" w:hAnsi="Times New Roman"/>
                <w:b w:val="0"/>
                <w:i w:val="0"/>
                <w:sz w:val="20"/>
                <w:u w:val="none"/>
              </w:rPr>
              <w:t>Blood Urea Nitrogen</w:t>
            </w:r>
          </w:p>
        </w:tc>
      </w:tr>
      <w:tr>
        <w:tc>
          <w:tcPr>
            <w:tcW w:type="dxa" w:w="3968"/>
          </w:tcPr>
          <w:p>
            <w:pPr>
              <w:spacing w:before="40" w:after="40" w:line="240" w:lineRule="auto"/>
            </w:pPr>
            <w:r/>
            <w:r>
              <w:rPr>
                <w:rFonts w:ascii="Times New Roman" w:hAnsi="Times New Roman"/>
                <w:b/>
                <w:i w:val="0"/>
                <w:sz w:val="20"/>
                <w:u w:val="none"/>
              </w:rPr>
              <w:t>CAP</w:t>
            </w:r>
          </w:p>
        </w:tc>
        <w:tc>
          <w:tcPr>
            <w:tcW w:type="dxa" w:w="3968"/>
          </w:tcPr>
          <w:p>
            <w:pPr>
              <w:spacing w:before="40" w:after="40" w:line="240" w:lineRule="auto"/>
            </w:pPr>
            <w:r/>
            <w:r>
              <w:rPr>
                <w:rFonts w:ascii="Times New Roman" w:hAnsi="Times New Roman"/>
                <w:b w:val="0"/>
                <w:i w:val="0"/>
                <w:sz w:val="20"/>
                <w:u w:val="none"/>
              </w:rPr>
              <w:t>Controlled Attenuation Parameter</w:t>
            </w:r>
          </w:p>
        </w:tc>
      </w:tr>
      <w:tr>
        <w:tc>
          <w:tcPr>
            <w:tcW w:type="dxa" w:w="3968"/>
          </w:tcPr>
          <w:p>
            <w:pPr>
              <w:spacing w:before="40" w:after="40" w:line="240" w:lineRule="auto"/>
            </w:pPr>
            <w:r/>
            <w:r>
              <w:rPr>
                <w:rFonts w:ascii="Times New Roman" w:hAnsi="Times New Roman"/>
                <w:b/>
                <w:i w:val="0"/>
                <w:sz w:val="20"/>
                <w:u w:val="none"/>
              </w:rPr>
              <w:t>CDC</w:t>
            </w:r>
          </w:p>
        </w:tc>
        <w:tc>
          <w:tcPr>
            <w:tcW w:type="dxa" w:w="3968"/>
          </w:tcPr>
          <w:p>
            <w:pPr>
              <w:spacing w:before="40" w:after="40" w:line="240" w:lineRule="auto"/>
            </w:pPr>
            <w:r/>
            <w:r>
              <w:rPr>
                <w:rFonts w:ascii="Times New Roman" w:hAnsi="Times New Roman"/>
                <w:b w:val="0"/>
                <w:i w:val="0"/>
                <w:sz w:val="20"/>
                <w:u w:val="none"/>
              </w:rPr>
              <w:t>Centers for Disease Control and Prevention</w:t>
            </w:r>
          </w:p>
        </w:tc>
      </w:tr>
      <w:tr>
        <w:tc>
          <w:tcPr>
            <w:tcW w:type="dxa" w:w="3968"/>
          </w:tcPr>
          <w:p>
            <w:pPr>
              <w:spacing w:before="40" w:after="40" w:line="240" w:lineRule="auto"/>
            </w:pPr>
            <w:r/>
            <w:r>
              <w:rPr>
                <w:rFonts w:ascii="Times New Roman" w:hAnsi="Times New Roman"/>
                <w:b/>
                <w:i w:val="0"/>
                <w:sz w:val="20"/>
                <w:u w:val="none"/>
              </w:rPr>
              <w:t>DA-SS-iVAE</w:t>
            </w:r>
          </w:p>
        </w:tc>
        <w:tc>
          <w:tcPr>
            <w:tcW w:type="dxa" w:w="3968"/>
          </w:tcPr>
          <w:p>
            <w:pPr>
              <w:spacing w:before="40" w:after="40" w:line="240" w:lineRule="auto"/>
            </w:pPr>
            <w:r/>
            <w:r>
              <w:rPr>
                <w:rFonts w:ascii="Times New Roman" w:hAnsi="Times New Roman"/>
                <w:b w:val="0"/>
                <w:i w:val="0"/>
                <w:sz w:val="20"/>
                <w:u w:val="none"/>
              </w:rPr>
              <w:t>Dual-Anchored Semi-Supervised Identifiable Variational Autoencoder</w:t>
            </w:r>
          </w:p>
        </w:tc>
      </w:tr>
      <w:tr>
        <w:tc>
          <w:tcPr>
            <w:tcW w:type="dxa" w:w="3968"/>
          </w:tcPr>
          <w:p>
            <w:pPr>
              <w:spacing w:before="40" w:after="40" w:line="240" w:lineRule="auto"/>
            </w:pPr>
            <w:r/>
            <w:r>
              <w:rPr>
                <w:rFonts w:ascii="Times New Roman" w:hAnsi="Times New Roman"/>
                <w:b/>
                <w:i w:val="0"/>
                <w:sz w:val="20"/>
                <w:u w:val="none"/>
              </w:rPr>
              <w:t>ELBO</w:t>
            </w:r>
          </w:p>
        </w:tc>
        <w:tc>
          <w:tcPr>
            <w:tcW w:type="dxa" w:w="3968"/>
          </w:tcPr>
          <w:p>
            <w:pPr>
              <w:spacing w:before="40" w:after="40" w:line="240" w:lineRule="auto"/>
            </w:pPr>
            <w:r/>
            <w:r>
              <w:rPr>
                <w:rFonts w:ascii="Times New Roman" w:hAnsi="Times New Roman"/>
                <w:b w:val="0"/>
                <w:i w:val="0"/>
                <w:sz w:val="20"/>
                <w:u w:val="none"/>
              </w:rPr>
              <w:t>Evidence Lower Bound</w:t>
            </w:r>
          </w:p>
        </w:tc>
      </w:tr>
      <w:tr>
        <w:tc>
          <w:tcPr>
            <w:tcW w:type="dxa" w:w="3968"/>
          </w:tcPr>
          <w:p>
            <w:pPr>
              <w:spacing w:before="40" w:after="40" w:line="240" w:lineRule="auto"/>
            </w:pPr>
            <w:r/>
            <w:r>
              <w:rPr>
                <w:rFonts w:ascii="Times New Roman" w:hAnsi="Times New Roman"/>
                <w:b/>
                <w:i w:val="0"/>
                <w:sz w:val="20"/>
                <w:u w:val="none"/>
              </w:rPr>
              <w:t>FLI</w:t>
            </w:r>
          </w:p>
        </w:tc>
        <w:tc>
          <w:tcPr>
            <w:tcW w:type="dxa" w:w="3968"/>
          </w:tcPr>
          <w:p>
            <w:pPr>
              <w:spacing w:before="40" w:after="40" w:line="240" w:lineRule="auto"/>
            </w:pPr>
            <w:r/>
            <w:r>
              <w:rPr>
                <w:rFonts w:ascii="Times New Roman" w:hAnsi="Times New Roman"/>
                <w:b w:val="0"/>
                <w:i w:val="0"/>
                <w:sz w:val="20"/>
                <w:u w:val="none"/>
              </w:rPr>
              <w:t>Fatty Liver Index</w:t>
            </w:r>
          </w:p>
        </w:tc>
      </w:tr>
      <w:tr>
        <w:tc>
          <w:tcPr>
            <w:tcW w:type="dxa" w:w="3968"/>
          </w:tcPr>
          <w:p>
            <w:pPr>
              <w:spacing w:before="40" w:after="40" w:line="240" w:lineRule="auto"/>
            </w:pPr>
            <w:r/>
            <w:r>
              <w:rPr>
                <w:rFonts w:ascii="Times New Roman" w:hAnsi="Times New Roman"/>
                <w:b/>
                <w:i w:val="0"/>
                <w:sz w:val="20"/>
                <w:u w:val="none"/>
              </w:rPr>
              <w:t>GGT</w:t>
            </w:r>
          </w:p>
        </w:tc>
        <w:tc>
          <w:tcPr>
            <w:tcW w:type="dxa" w:w="3968"/>
          </w:tcPr>
          <w:p>
            <w:pPr>
              <w:spacing w:before="40" w:after="40" w:line="240" w:lineRule="auto"/>
            </w:pPr>
            <w:r/>
            <w:r>
              <w:rPr>
                <w:rFonts w:ascii="Times New Roman" w:hAnsi="Times New Roman"/>
                <w:b w:val="0"/>
                <w:i w:val="0"/>
                <w:sz w:val="20"/>
                <w:u w:val="none"/>
              </w:rPr>
              <w:t>Gamma-Glutamyl Transferase</w:t>
            </w:r>
          </w:p>
        </w:tc>
      </w:tr>
      <w:tr>
        <w:tc>
          <w:tcPr>
            <w:tcW w:type="dxa" w:w="3968"/>
          </w:tcPr>
          <w:p>
            <w:pPr>
              <w:spacing w:before="40" w:after="40" w:line="240" w:lineRule="auto"/>
            </w:pPr>
            <w:r/>
            <w:r>
              <w:rPr>
                <w:rFonts w:ascii="Times New Roman" w:hAnsi="Times New Roman"/>
                <w:b/>
                <w:i w:val="0"/>
                <w:sz w:val="20"/>
                <w:u w:val="none"/>
              </w:rPr>
              <w:t>HDL</w:t>
            </w:r>
          </w:p>
        </w:tc>
        <w:tc>
          <w:tcPr>
            <w:tcW w:type="dxa" w:w="3968"/>
          </w:tcPr>
          <w:p>
            <w:pPr>
              <w:spacing w:before="40" w:after="40" w:line="240" w:lineRule="auto"/>
            </w:pPr>
            <w:r/>
            <w:r>
              <w:rPr>
                <w:rFonts w:ascii="Times New Roman" w:hAnsi="Times New Roman"/>
                <w:b w:val="0"/>
                <w:i w:val="0"/>
                <w:sz w:val="20"/>
                <w:u w:val="none"/>
              </w:rPr>
              <w:t>High-Density Lipoprotein</w:t>
            </w:r>
          </w:p>
        </w:tc>
      </w:tr>
      <w:tr>
        <w:tc>
          <w:tcPr>
            <w:tcW w:type="dxa" w:w="3968"/>
          </w:tcPr>
          <w:p>
            <w:pPr>
              <w:spacing w:before="40" w:after="40" w:line="240" w:lineRule="auto"/>
            </w:pPr>
            <w:r/>
            <w:r>
              <w:rPr>
                <w:rFonts w:ascii="Times New Roman" w:hAnsi="Times New Roman"/>
                <w:b/>
                <w:i w:val="0"/>
                <w:sz w:val="20"/>
                <w:u w:val="none"/>
              </w:rPr>
              <w:t>HOMA-IR</w:t>
            </w:r>
          </w:p>
        </w:tc>
        <w:tc>
          <w:tcPr>
            <w:tcW w:type="dxa" w:w="3968"/>
          </w:tcPr>
          <w:p>
            <w:pPr>
              <w:spacing w:before="40" w:after="40" w:line="240" w:lineRule="auto"/>
            </w:pPr>
            <w:r/>
            <w:r>
              <w:rPr>
                <w:rFonts w:ascii="Times New Roman" w:hAnsi="Times New Roman"/>
                <w:b w:val="0"/>
                <w:i w:val="0"/>
                <w:sz w:val="20"/>
                <w:u w:val="none"/>
              </w:rPr>
              <w:t>Homeostatic Model Assessment for Insulin Resistance</w:t>
            </w:r>
          </w:p>
        </w:tc>
      </w:tr>
      <w:tr>
        <w:tc>
          <w:tcPr>
            <w:tcW w:type="dxa" w:w="3968"/>
          </w:tcPr>
          <w:p>
            <w:pPr>
              <w:spacing w:before="40" w:after="40" w:line="240" w:lineRule="auto"/>
            </w:pPr>
            <w:r/>
            <w:r>
              <w:rPr>
                <w:rFonts w:ascii="Times New Roman" w:hAnsi="Times New Roman"/>
                <w:b/>
                <w:i w:val="0"/>
                <w:sz w:val="20"/>
                <w:u w:val="none"/>
              </w:rPr>
              <w:t>HSI</w:t>
            </w:r>
          </w:p>
        </w:tc>
        <w:tc>
          <w:tcPr>
            <w:tcW w:type="dxa" w:w="3968"/>
          </w:tcPr>
          <w:p>
            <w:pPr>
              <w:spacing w:before="40" w:after="40" w:line="240" w:lineRule="auto"/>
            </w:pPr>
            <w:r/>
            <w:r>
              <w:rPr>
                <w:rFonts w:ascii="Times New Roman" w:hAnsi="Times New Roman"/>
                <w:b w:val="0"/>
                <w:i w:val="0"/>
                <w:sz w:val="20"/>
                <w:u w:val="none"/>
              </w:rPr>
              <w:t>Hepatic Steatosis Index</w:t>
            </w:r>
          </w:p>
        </w:tc>
      </w:tr>
      <w:tr>
        <w:tc>
          <w:tcPr>
            <w:tcW w:type="dxa" w:w="3968"/>
          </w:tcPr>
          <w:p>
            <w:pPr>
              <w:spacing w:before="40" w:after="40" w:line="240" w:lineRule="auto"/>
            </w:pPr>
            <w:r/>
            <w:r>
              <w:rPr>
                <w:rFonts w:ascii="Times New Roman" w:hAnsi="Times New Roman"/>
                <w:b/>
                <w:i w:val="0"/>
                <w:sz w:val="20"/>
                <w:u w:val="none"/>
              </w:rPr>
              <w:t>iVAE</w:t>
            </w:r>
          </w:p>
        </w:tc>
        <w:tc>
          <w:tcPr>
            <w:tcW w:type="dxa" w:w="3968"/>
          </w:tcPr>
          <w:p>
            <w:pPr>
              <w:spacing w:before="40" w:after="40" w:line="240" w:lineRule="auto"/>
            </w:pPr>
            <w:r/>
            <w:r>
              <w:rPr>
                <w:rFonts w:ascii="Times New Roman" w:hAnsi="Times New Roman"/>
                <w:b w:val="0"/>
                <w:i w:val="0"/>
                <w:sz w:val="20"/>
                <w:u w:val="none"/>
              </w:rPr>
              <w:t>Identifiable Variational Autoencoder</w:t>
            </w:r>
          </w:p>
        </w:tc>
      </w:tr>
      <w:tr>
        <w:tc>
          <w:tcPr>
            <w:tcW w:type="dxa" w:w="3968"/>
          </w:tcPr>
          <w:p>
            <w:pPr>
              <w:spacing w:before="40" w:after="40" w:line="240" w:lineRule="auto"/>
            </w:pPr>
            <w:r/>
            <w:r>
              <w:rPr>
                <w:rFonts w:ascii="Times New Roman" w:hAnsi="Times New Roman"/>
                <w:b/>
                <w:i w:val="0"/>
                <w:sz w:val="20"/>
                <w:u w:val="none"/>
              </w:rPr>
              <w:t>LDL</w:t>
            </w:r>
          </w:p>
        </w:tc>
        <w:tc>
          <w:tcPr>
            <w:tcW w:type="dxa" w:w="3968"/>
          </w:tcPr>
          <w:p>
            <w:pPr>
              <w:spacing w:before="40" w:after="40" w:line="240" w:lineRule="auto"/>
            </w:pPr>
            <w:r/>
            <w:r>
              <w:rPr>
                <w:rFonts w:ascii="Times New Roman" w:hAnsi="Times New Roman"/>
                <w:b w:val="0"/>
                <w:i w:val="0"/>
                <w:sz w:val="20"/>
                <w:u w:val="none"/>
              </w:rPr>
              <w:t>Low-Density Lipoprotein</w:t>
            </w:r>
          </w:p>
        </w:tc>
      </w:tr>
      <w:tr>
        <w:tc>
          <w:tcPr>
            <w:tcW w:type="dxa" w:w="3968"/>
          </w:tcPr>
          <w:p>
            <w:pPr>
              <w:spacing w:before="40" w:after="40" w:line="240" w:lineRule="auto"/>
            </w:pPr>
            <w:r/>
            <w:r>
              <w:rPr>
                <w:rFonts w:ascii="Times New Roman" w:hAnsi="Times New Roman"/>
                <w:b/>
                <w:i w:val="0"/>
                <w:sz w:val="20"/>
                <w:u w:val="none"/>
              </w:rPr>
              <w:t>LMSIS</w:t>
            </w:r>
          </w:p>
        </w:tc>
        <w:tc>
          <w:tcPr>
            <w:tcW w:type="dxa" w:w="3968"/>
          </w:tcPr>
          <w:p>
            <w:pPr>
              <w:spacing w:before="40" w:after="40" w:line="240" w:lineRule="auto"/>
            </w:pPr>
            <w:r/>
            <w:r>
              <w:rPr>
                <w:rFonts w:ascii="Times New Roman" w:hAnsi="Times New Roman"/>
                <w:b w:val="0"/>
                <w:i w:val="0"/>
                <w:sz w:val="20"/>
                <w:u w:val="none"/>
              </w:rPr>
              <w:t>Latent Metabolic State Inference System</w:t>
            </w:r>
          </w:p>
        </w:tc>
      </w:tr>
      <w:tr>
        <w:tc>
          <w:tcPr>
            <w:tcW w:type="dxa" w:w="3968"/>
          </w:tcPr>
          <w:p>
            <w:pPr>
              <w:spacing w:before="40" w:after="40" w:line="240" w:lineRule="auto"/>
            </w:pPr>
            <w:r/>
            <w:r>
              <w:rPr>
                <w:rFonts w:ascii="Times New Roman" w:hAnsi="Times New Roman"/>
                <w:b/>
                <w:i w:val="0"/>
                <w:sz w:val="20"/>
                <w:u w:val="none"/>
              </w:rPr>
              <w:t>MASLD</w:t>
            </w:r>
          </w:p>
        </w:tc>
        <w:tc>
          <w:tcPr>
            <w:tcW w:type="dxa" w:w="3968"/>
          </w:tcPr>
          <w:p>
            <w:pPr>
              <w:spacing w:before="40" w:after="40" w:line="240" w:lineRule="auto"/>
            </w:pPr>
            <w:r/>
            <w:r>
              <w:rPr>
                <w:rFonts w:ascii="Times New Roman" w:hAnsi="Times New Roman"/>
                <w:b w:val="0"/>
                <w:i w:val="0"/>
                <w:sz w:val="20"/>
                <w:u w:val="none"/>
              </w:rPr>
              <w:t>Metabolic Dysfunction-Associated Steatotic Liver Disease</w:t>
            </w:r>
          </w:p>
        </w:tc>
      </w:tr>
      <w:tr>
        <w:tc>
          <w:tcPr>
            <w:tcW w:type="dxa" w:w="3968"/>
          </w:tcPr>
          <w:p>
            <w:pPr>
              <w:spacing w:before="40" w:after="40" w:line="240" w:lineRule="auto"/>
            </w:pPr>
            <w:r/>
            <w:r>
              <w:rPr>
                <w:rFonts w:ascii="Times New Roman" w:hAnsi="Times New Roman"/>
                <w:b/>
                <w:i w:val="0"/>
                <w:sz w:val="20"/>
                <w:u w:val="none"/>
              </w:rPr>
              <w:t>MASH</w:t>
            </w:r>
          </w:p>
        </w:tc>
        <w:tc>
          <w:tcPr>
            <w:tcW w:type="dxa" w:w="3968"/>
          </w:tcPr>
          <w:p>
            <w:pPr>
              <w:spacing w:before="40" w:after="40" w:line="240" w:lineRule="auto"/>
            </w:pPr>
            <w:r/>
            <w:r>
              <w:rPr>
                <w:rFonts w:ascii="Times New Roman" w:hAnsi="Times New Roman"/>
                <w:b w:val="0"/>
                <w:i w:val="0"/>
                <w:sz w:val="20"/>
                <w:u w:val="none"/>
              </w:rPr>
              <w:t>Metabolic Dysfunction-Associated Steatohepatitis</w:t>
            </w:r>
          </w:p>
        </w:tc>
      </w:tr>
      <w:tr>
        <w:tc>
          <w:tcPr>
            <w:tcW w:type="dxa" w:w="3968"/>
          </w:tcPr>
          <w:p>
            <w:pPr>
              <w:spacing w:before="40" w:after="40" w:line="240" w:lineRule="auto"/>
            </w:pPr>
            <w:r/>
            <w:r>
              <w:rPr>
                <w:rFonts w:ascii="Times New Roman" w:hAnsi="Times New Roman"/>
                <w:b/>
                <w:i w:val="0"/>
                <w:sz w:val="20"/>
                <w:u w:val="none"/>
              </w:rPr>
              <w:t>MetS</w:t>
            </w:r>
          </w:p>
        </w:tc>
        <w:tc>
          <w:tcPr>
            <w:tcW w:type="dxa" w:w="3968"/>
          </w:tcPr>
          <w:p>
            <w:pPr>
              <w:spacing w:before="40" w:after="40" w:line="240" w:lineRule="auto"/>
            </w:pPr>
            <w:r/>
            <w:r>
              <w:rPr>
                <w:rFonts w:ascii="Times New Roman" w:hAnsi="Times New Roman"/>
                <w:b w:val="0"/>
                <w:i w:val="0"/>
                <w:sz w:val="20"/>
                <w:u w:val="none"/>
              </w:rPr>
              <w:t>Metabolic Syndrome</w:t>
            </w:r>
          </w:p>
        </w:tc>
      </w:tr>
      <w:tr>
        <w:tc>
          <w:tcPr>
            <w:tcW w:type="dxa" w:w="3968"/>
          </w:tcPr>
          <w:p>
            <w:pPr>
              <w:spacing w:before="40" w:after="40" w:line="240" w:lineRule="auto"/>
            </w:pPr>
            <w:r/>
            <w:r>
              <w:rPr>
                <w:rFonts w:ascii="Times New Roman" w:hAnsi="Times New Roman"/>
                <w:b/>
                <w:i w:val="0"/>
                <w:sz w:val="20"/>
                <w:u w:val="none"/>
              </w:rPr>
              <w:t>MHNW</w:t>
            </w:r>
          </w:p>
        </w:tc>
        <w:tc>
          <w:tcPr>
            <w:tcW w:type="dxa" w:w="3968"/>
          </w:tcPr>
          <w:p>
            <w:pPr>
              <w:spacing w:before="40" w:after="40" w:line="240" w:lineRule="auto"/>
            </w:pPr>
            <w:r/>
            <w:r>
              <w:rPr>
                <w:rFonts w:ascii="Times New Roman" w:hAnsi="Times New Roman"/>
                <w:b w:val="0"/>
                <w:i w:val="0"/>
                <w:sz w:val="20"/>
                <w:u w:val="none"/>
              </w:rPr>
              <w:t>Metabolically Healthy Normal Weight</w:t>
            </w:r>
          </w:p>
        </w:tc>
      </w:tr>
      <w:tr>
        <w:tc>
          <w:tcPr>
            <w:tcW w:type="dxa" w:w="3968"/>
          </w:tcPr>
          <w:p>
            <w:pPr>
              <w:spacing w:before="40" w:after="40" w:line="240" w:lineRule="auto"/>
            </w:pPr>
            <w:r/>
            <w:r>
              <w:rPr>
                <w:rFonts w:ascii="Times New Roman" w:hAnsi="Times New Roman"/>
                <w:b/>
                <w:i w:val="0"/>
                <w:sz w:val="20"/>
                <w:u w:val="none"/>
              </w:rPr>
              <w:t>MLP</w:t>
            </w:r>
          </w:p>
        </w:tc>
        <w:tc>
          <w:tcPr>
            <w:tcW w:type="dxa" w:w="3968"/>
          </w:tcPr>
          <w:p>
            <w:pPr>
              <w:spacing w:before="40" w:after="40" w:line="240" w:lineRule="auto"/>
            </w:pPr>
            <w:r/>
            <w:r>
              <w:rPr>
                <w:rFonts w:ascii="Times New Roman" w:hAnsi="Times New Roman"/>
                <w:b w:val="0"/>
                <w:i w:val="0"/>
                <w:sz w:val="20"/>
                <w:u w:val="none"/>
              </w:rPr>
              <w:t>Multi-Layer Perceptron</w:t>
            </w:r>
          </w:p>
        </w:tc>
      </w:tr>
      <w:tr>
        <w:tc>
          <w:tcPr>
            <w:tcW w:type="dxa" w:w="3968"/>
          </w:tcPr>
          <w:p>
            <w:pPr>
              <w:spacing w:before="40" w:after="40" w:line="240" w:lineRule="auto"/>
            </w:pPr>
            <w:r/>
            <w:r>
              <w:rPr>
                <w:rFonts w:ascii="Times New Roman" w:hAnsi="Times New Roman"/>
                <w:b/>
                <w:i w:val="0"/>
                <w:sz w:val="20"/>
                <w:u w:val="none"/>
              </w:rPr>
              <w:t>NAFLD</w:t>
            </w:r>
          </w:p>
        </w:tc>
        <w:tc>
          <w:tcPr>
            <w:tcW w:type="dxa" w:w="3968"/>
          </w:tcPr>
          <w:p>
            <w:pPr>
              <w:spacing w:before="40" w:after="40" w:line="240" w:lineRule="auto"/>
            </w:pPr>
            <w:r/>
            <w:r>
              <w:rPr>
                <w:rFonts w:ascii="Times New Roman" w:hAnsi="Times New Roman"/>
                <w:b w:val="0"/>
                <w:i w:val="0"/>
                <w:sz w:val="20"/>
                <w:u w:val="none"/>
              </w:rPr>
              <w:t>Non-Alcoholic Fatty Liver Disease</w:t>
            </w:r>
          </w:p>
        </w:tc>
      </w:tr>
      <w:tr>
        <w:tc>
          <w:tcPr>
            <w:tcW w:type="dxa" w:w="3968"/>
          </w:tcPr>
          <w:p>
            <w:pPr>
              <w:spacing w:before="40" w:after="40" w:line="240" w:lineRule="auto"/>
            </w:pPr>
            <w:r/>
            <w:r>
              <w:rPr>
                <w:rFonts w:ascii="Times New Roman" w:hAnsi="Times New Roman"/>
                <w:b/>
                <w:i w:val="0"/>
                <w:sz w:val="20"/>
                <w:u w:val="none"/>
              </w:rPr>
              <w:t>NHANES</w:t>
            </w:r>
          </w:p>
        </w:tc>
        <w:tc>
          <w:tcPr>
            <w:tcW w:type="dxa" w:w="3968"/>
          </w:tcPr>
          <w:p>
            <w:pPr>
              <w:spacing w:before="40" w:after="40" w:line="240" w:lineRule="auto"/>
            </w:pPr>
            <w:r/>
            <w:r>
              <w:rPr>
                <w:rFonts w:ascii="Times New Roman" w:hAnsi="Times New Roman"/>
                <w:b w:val="0"/>
                <w:i w:val="0"/>
                <w:sz w:val="20"/>
                <w:u w:val="none"/>
              </w:rPr>
              <w:t>National Health and Nutrition Examination Survey</w:t>
            </w:r>
          </w:p>
        </w:tc>
      </w:tr>
      <w:tr>
        <w:tc>
          <w:tcPr>
            <w:tcW w:type="dxa" w:w="3968"/>
          </w:tcPr>
          <w:p>
            <w:pPr>
              <w:spacing w:before="40" w:after="40" w:line="240" w:lineRule="auto"/>
            </w:pPr>
            <w:r/>
            <w:r>
              <w:rPr>
                <w:rFonts w:ascii="Times New Roman" w:hAnsi="Times New Roman"/>
                <w:b/>
                <w:i w:val="0"/>
                <w:sz w:val="20"/>
                <w:u w:val="none"/>
              </w:rPr>
              <w:t>OOD</w:t>
            </w:r>
          </w:p>
        </w:tc>
        <w:tc>
          <w:tcPr>
            <w:tcW w:type="dxa" w:w="3968"/>
          </w:tcPr>
          <w:p>
            <w:pPr>
              <w:spacing w:before="40" w:after="40" w:line="240" w:lineRule="auto"/>
            </w:pPr>
            <w:r/>
            <w:r>
              <w:rPr>
                <w:rFonts w:ascii="Times New Roman" w:hAnsi="Times New Roman"/>
                <w:b w:val="0"/>
                <w:i w:val="0"/>
                <w:sz w:val="20"/>
                <w:u w:val="none"/>
              </w:rPr>
              <w:t>Out-of-Distribution</w:t>
            </w:r>
          </w:p>
        </w:tc>
      </w:tr>
      <w:tr>
        <w:tc>
          <w:tcPr>
            <w:tcW w:type="dxa" w:w="3968"/>
          </w:tcPr>
          <w:p>
            <w:pPr>
              <w:spacing w:before="40" w:after="40" w:line="240" w:lineRule="auto"/>
            </w:pPr>
            <w:r/>
            <w:r>
              <w:rPr>
                <w:rFonts w:ascii="Times New Roman" w:hAnsi="Times New Roman"/>
                <w:b/>
                <w:i w:val="0"/>
                <w:sz w:val="20"/>
                <w:u w:val="none"/>
              </w:rPr>
              <w:t>PySR</w:t>
            </w:r>
          </w:p>
        </w:tc>
        <w:tc>
          <w:tcPr>
            <w:tcW w:type="dxa" w:w="3968"/>
          </w:tcPr>
          <w:p>
            <w:pPr>
              <w:spacing w:before="40" w:after="40" w:line="240" w:lineRule="auto"/>
            </w:pPr>
            <w:r/>
            <w:r>
              <w:rPr>
                <w:rFonts w:ascii="Times New Roman" w:hAnsi="Times New Roman"/>
                <w:b w:val="0"/>
                <w:i w:val="0"/>
                <w:sz w:val="20"/>
                <w:u w:val="none"/>
              </w:rPr>
              <w:t>Python Symbolic Regression</w:t>
            </w:r>
          </w:p>
        </w:tc>
      </w:tr>
      <w:tr>
        <w:tc>
          <w:tcPr>
            <w:tcW w:type="dxa" w:w="3968"/>
          </w:tcPr>
          <w:p>
            <w:pPr>
              <w:spacing w:before="40" w:after="40" w:line="240" w:lineRule="auto"/>
            </w:pPr>
            <w:r/>
            <w:r>
              <w:rPr>
                <w:rFonts w:ascii="Times New Roman" w:hAnsi="Times New Roman"/>
                <w:b/>
                <w:i w:val="0"/>
                <w:sz w:val="20"/>
                <w:u w:val="none"/>
              </w:rPr>
              <w:t>TyG</w:t>
            </w:r>
          </w:p>
        </w:tc>
        <w:tc>
          <w:tcPr>
            <w:tcW w:type="dxa" w:w="3968"/>
          </w:tcPr>
          <w:p>
            <w:pPr>
              <w:spacing w:before="40" w:after="40" w:line="240" w:lineRule="auto"/>
            </w:pPr>
            <w:r/>
            <w:r>
              <w:rPr>
                <w:rFonts w:ascii="Times New Roman" w:hAnsi="Times New Roman"/>
                <w:b w:val="0"/>
                <w:i w:val="0"/>
                <w:sz w:val="20"/>
                <w:u w:val="none"/>
              </w:rPr>
              <w:t>Triglyceride-Glucose Index</w:t>
            </w:r>
          </w:p>
        </w:tc>
      </w:tr>
      <w:tr>
        <w:tc>
          <w:tcPr>
            <w:tcW w:type="dxa" w:w="3968"/>
          </w:tcPr>
          <w:p>
            <w:pPr>
              <w:spacing w:before="40" w:after="40" w:line="240" w:lineRule="auto"/>
            </w:pPr>
            <w:r/>
            <w:r>
              <w:rPr>
                <w:rFonts w:ascii="Times New Roman" w:hAnsi="Times New Roman"/>
                <w:b/>
                <w:i w:val="0"/>
                <w:sz w:val="20"/>
                <w:u w:val="none"/>
              </w:rPr>
              <w:t>VAE</w:t>
            </w:r>
          </w:p>
        </w:tc>
        <w:tc>
          <w:tcPr>
            <w:tcW w:type="dxa" w:w="3968"/>
          </w:tcPr>
          <w:p>
            <w:pPr>
              <w:spacing w:before="40" w:after="40" w:line="240" w:lineRule="auto"/>
            </w:pPr>
            <w:r/>
            <w:r>
              <w:rPr>
                <w:rFonts w:ascii="Times New Roman" w:hAnsi="Times New Roman"/>
                <w:b w:val="0"/>
                <w:i w:val="0"/>
                <w:sz w:val="20"/>
                <w:u w:val="none"/>
              </w:rPr>
              <w:t>Variational Autoencoder</w:t>
            </w:r>
          </w:p>
        </w:tc>
      </w:tr>
      <w:tr>
        <w:tc>
          <w:tcPr>
            <w:tcW w:type="dxa" w:w="3968"/>
          </w:tcPr>
          <w:p>
            <w:pPr>
              <w:spacing w:before="40" w:after="40" w:line="240" w:lineRule="auto"/>
            </w:pPr>
            <w:r/>
            <w:r>
              <w:rPr>
                <w:rFonts w:ascii="Times New Roman" w:hAnsi="Times New Roman"/>
                <w:b/>
                <w:i w:val="0"/>
                <w:sz w:val="20"/>
                <w:u w:val="none"/>
              </w:rPr>
              <w:t>Z1</w:t>
            </w:r>
          </w:p>
        </w:tc>
        <w:tc>
          <w:tcPr>
            <w:tcW w:type="dxa" w:w="3968"/>
          </w:tcPr>
          <w:p>
            <w:pPr>
              <w:spacing w:before="40" w:after="40" w:line="240" w:lineRule="auto"/>
            </w:pPr>
            <w:r/>
            <w:r>
              <w:rPr>
                <w:rFonts w:ascii="Times New Roman" w:hAnsi="Times New Roman"/>
                <w:b w:val="0"/>
                <w:i w:val="0"/>
                <w:sz w:val="20"/>
                <w:u w:val="none"/>
              </w:rPr>
              <w:t>Latent insulin resistance coordinate</w:t>
            </w:r>
          </w:p>
        </w:tc>
      </w:tr>
      <w:tr>
        <w:tc>
          <w:tcPr>
            <w:tcW w:type="dxa" w:w="3968"/>
          </w:tcPr>
          <w:p>
            <w:pPr>
              <w:spacing w:before="40" w:after="40" w:line="240" w:lineRule="auto"/>
            </w:pPr>
            <w:r/>
            <w:r>
              <w:rPr>
                <w:rFonts w:ascii="Times New Roman" w:hAnsi="Times New Roman"/>
                <w:b/>
                <w:i w:val="0"/>
                <w:sz w:val="20"/>
                <w:u w:val="none"/>
              </w:rPr>
              <w:t>Z2</w:t>
            </w:r>
          </w:p>
        </w:tc>
        <w:tc>
          <w:tcPr>
            <w:tcW w:type="dxa" w:w="3968"/>
          </w:tcPr>
          <w:p>
            <w:pPr>
              <w:spacing w:before="40" w:after="40" w:line="240" w:lineRule="auto"/>
            </w:pPr>
            <w:r/>
            <w:r>
              <w:rPr>
                <w:rFonts w:ascii="Times New Roman" w:hAnsi="Times New Roman"/>
                <w:b w:val="0"/>
                <w:i w:val="0"/>
                <w:sz w:val="20"/>
                <w:u w:val="none"/>
              </w:rPr>
              <w:t>Latent hepatic steatosis coordinate</w:t>
            </w:r>
          </w:p>
        </w:tc>
      </w:tr>
    </w:tbl>
    <w:p>
      <w:pPr>
        <w:sectPr>
          <w:footerReference w:type="default" r:id="rId12"/>
          <w:headerReference w:type="default" r:id="rId13"/>
          <w:pgSz w:w="11906" w:h="16838"/>
          <w:pgMar w:top="1701" w:right="1134" w:bottom="1701" w:left="2835" w:header="720" w:footer="720" w:gutter="0"/>
          <w:cols w:space="720"/>
          <w:docGrid w:linePitch="360"/>
          <w:pgNumType w:fmt="lowerRoman" w:start="2"/>
        </w:sectPr>
      </w:pPr>
    </w:p>
    <w:p>
      <w:r>
        <w:br w:type="page"/>
      </w:r>
    </w:p>
    <w:p>
      <w:pPr>
        <w:keepNext w:val="0"/>
        <w:spacing w:before="0" w:after="0" w:line="360" w:lineRule="auto"/>
        <w:jc w:val="both"/>
      </w:pPr>
    </w:p>
    <w:p>
      <w:pPr>
        <w:keepNext w:val="0"/>
        <w:spacing w:before="0" w:after="0" w:line="360" w:lineRule="auto"/>
        <w:jc w:val="both"/>
      </w:pPr>
    </w:p>
    <w:p>
      <w:pPr>
        <w:keepNext/>
        <w:spacing w:before="0" w:after="360" w:line="360" w:lineRule="auto"/>
        <w:jc w:val="center"/>
      </w:pPr>
      <w:r>
        <w:rPr>
          <w:rFonts w:ascii="Times New Roman" w:hAnsi="Times New Roman"/>
          <w:b/>
          <w:i w:val="0"/>
          <w:sz w:val="24"/>
          <w:u w:val="none"/>
        </w:rPr>
        <w:t>CHAPTER I</w:t>
        <w:br/>
      </w:r>
      <w:r>
        <w:rPr>
          <w:rFonts w:ascii="Times New Roman" w:hAnsi="Times New Roman"/>
          <w:b/>
          <w:i w:val="0"/>
          <w:sz w:val="24"/>
          <w:u w:val="none"/>
        </w:rPr>
        <w:t>OUTLINE OF THE STUDY</w:t>
      </w:r>
    </w:p>
    <w:p>
      <w:pPr>
        <w:keepNext/>
        <w:spacing w:before="360" w:after="120" w:line="360" w:lineRule="auto"/>
        <w:jc w:val="left"/>
      </w:pPr>
      <w:r>
        <w:rPr>
          <w:rFonts w:ascii="Times New Roman" w:hAnsi="Times New Roman"/>
          <w:b/>
          <w:i w:val="0"/>
          <w:sz w:val="24"/>
          <w:u w:val="single"/>
        </w:rPr>
        <w:t>1.1   Purpose and Overview of the Study</w:t>
      </w:r>
    </w:p>
    <w:p>
      <w:pPr>
        <w:keepNext w:val="0"/>
        <w:spacing w:before="0" w:after="120" w:line="360" w:lineRule="auto"/>
        <w:jc w:val="both"/>
      </w:pPr>
      <w:r>
        <w:rPr>
          <w:rFonts w:ascii="Times New Roman" w:hAnsi="Times New Roman"/>
          <w:b w:val="0"/>
          <w:i w:val="0"/>
          <w:sz w:val="24"/>
          <w:u w:val="none"/>
        </w:rPr>
        <w:t>Body Mass Index (BMI) is the predominant screening metric in primary care cardiometabolic assessment. While BMI correlates with total adiposity in obese populations, it offers limited discriminative utility regarding regional fat distribution, visceral adiposity, and ectopic lipid accumulation. In adults with normal BMI (18.5-24.9 kg/m2), this proxy may fail to identify biochemically hidden metabolic risk factors: a substantial proportion may exhibit concurrent insulin resistance and hepatic steatosis -- conditions associated with increased cardiovascular and hepatic disease risk in the absence of standard screening alerts.</w:t>
      </w:r>
    </w:p>
    <w:p>
      <w:pPr>
        <w:keepNext w:val="0"/>
        <w:spacing w:before="0" w:after="120" w:line="360" w:lineRule="auto"/>
        <w:jc w:val="both"/>
      </w:pPr>
      <w:r>
        <w:rPr>
          <w:rFonts w:ascii="Times New Roman" w:hAnsi="Times New Roman"/>
          <w:b w:val="0"/>
          <w:i w:val="0"/>
          <w:sz w:val="24"/>
          <w:u w:val="none"/>
        </w:rPr>
        <w:t>This dissertation presents the Latent Metabolic State Inference System (LMSIS), a semi-supervised deep learning framework for early detection of metabolic dysfunction in normal-BMI adults. The core model -- the Dual-Anchored Semi-Supervised Identifiable Variational Autoencoder (DA-SS-iVAE) -- is designed according to Nonlinear ICA identifiability principles through demographic-conditioned priors and regularises biological interpretability through monotone anchor networks aligned to reference-standard measurements: HOMA-IR for insulin resistance (Z1) and FibroScan Controlled Attenuation Parameter (CAP) for hepatic steatosis (Z2).</w:t>
      </w:r>
    </w:p>
    <w:p>
      <w:pPr>
        <w:keepNext w:val="0"/>
        <w:spacing w:before="0" w:after="120" w:line="360" w:lineRule="auto"/>
        <w:jc w:val="both"/>
      </w:pPr>
      <w:r>
        <w:rPr>
          <w:rFonts w:ascii="Times New Roman" w:hAnsi="Times New Roman"/>
          <w:b w:val="0"/>
          <w:i w:val="0"/>
          <w:sz w:val="24"/>
          <w:u w:val="none"/>
        </w:rPr>
        <w:t>The system is implemented as a full-stack research prototype comprising a PyTorch-based inference engine, a FastAPI backend service, and an interactive React-based Research Translation Layer. This work is situated at the intersection of deep generative modelling, conformal uncertainty quantification, and clinical machine-learning systems engineering.</w:t>
      </w:r>
    </w:p>
    <w:p>
      <w:pPr>
        <w:keepNext/>
        <w:spacing w:before="360" w:after="120" w:line="360" w:lineRule="auto"/>
        <w:jc w:val="left"/>
      </w:pPr>
      <w:r>
        <w:rPr>
          <w:rFonts w:ascii="Times New Roman" w:hAnsi="Times New Roman"/>
          <w:b/>
          <w:i w:val="0"/>
          <w:sz w:val="24"/>
          <w:u w:val="single"/>
        </w:rPr>
        <w:t>1.2   Existing Systems</w:t>
      </w:r>
    </w:p>
    <w:p>
      <w:pPr>
        <w:keepNext w:val="0"/>
        <w:spacing w:before="0" w:after="120" w:line="360" w:lineRule="auto"/>
        <w:jc w:val="both"/>
      </w:pPr>
      <w:r>
        <w:rPr>
          <w:rFonts w:ascii="Times New Roman" w:hAnsi="Times New Roman"/>
          <w:b w:val="0"/>
          <w:i w:val="0"/>
          <w:sz w:val="24"/>
          <w:u w:val="none"/>
        </w:rPr>
        <w:t>Contemporary metabolic screening relies on two categories of tools: clinical scoring indices and supervised machine-learning classifiers.</w:t>
      </w:r>
    </w:p>
    <w:p>
      <w:pPr>
        <w:keepNext w:val="0"/>
        <w:spacing w:before="0" w:after="60" w:line="360" w:lineRule="auto"/>
        <w:ind w:left="567" w:hanging="283"/>
        <w:jc w:val="both"/>
      </w:pPr>
      <w:r>
        <w:rPr>
          <w:rFonts w:ascii="Times New Roman" w:hAnsi="Times New Roman"/>
          <w:b w:val="0"/>
          <w:i w:val="0"/>
          <w:sz w:val="24"/>
          <w:u w:val="none"/>
        </w:rPr>
        <w:t xml:space="preserve">•  </w:t>
      </w:r>
      <w:r>
        <w:rPr>
          <w:rFonts w:ascii="Times New Roman" w:hAnsi="Times New Roman"/>
          <w:b/>
          <w:i w:val="0"/>
          <w:sz w:val="24"/>
          <w:u w:val="none"/>
        </w:rPr>
        <w:t xml:space="preserve">Clinical Scoring Indices: </w:t>
      </w:r>
      <w:r>
        <w:rPr>
          <w:rFonts w:ascii="Times New Roman" w:hAnsi="Times New Roman"/>
          <w:b w:val="0"/>
          <w:i w:val="0"/>
          <w:sz w:val="24"/>
          <w:u w:val="none"/>
        </w:rPr>
        <w:t>The Fatty Liver Index (FLI), Hepatic Steatosis Index (HSI), Triglyceride-Glucose Index (TyG), and NAFLD Liver Fat Score (LFS) are widely used in primary care. These indices combine BMI, liver enzymes, lipid panels, and glucose metrics into scalar risk scores.</w:t>
      </w:r>
    </w:p>
    <w:p>
      <w:pPr>
        <w:keepNext w:val="0"/>
        <w:spacing w:before="0" w:after="60" w:line="360" w:lineRule="auto"/>
        <w:ind w:left="567" w:hanging="283"/>
        <w:jc w:val="both"/>
      </w:pPr>
      <w:r>
        <w:rPr>
          <w:rFonts w:ascii="Times New Roman" w:hAnsi="Times New Roman"/>
          <w:b w:val="0"/>
          <w:i w:val="0"/>
          <w:sz w:val="24"/>
          <w:u w:val="none"/>
        </w:rPr>
        <w:t xml:space="preserve">•  </w:t>
      </w:r>
      <w:r>
        <w:rPr>
          <w:rFonts w:ascii="Times New Roman" w:hAnsi="Times New Roman"/>
          <w:b/>
          <w:i w:val="0"/>
          <w:sz w:val="24"/>
          <w:u w:val="none"/>
        </w:rPr>
        <w:t xml:space="preserve">Machine Learning Classifiers: </w:t>
      </w:r>
      <w:r>
        <w:rPr>
          <w:rFonts w:ascii="Times New Roman" w:hAnsi="Times New Roman"/>
          <w:b w:val="0"/>
          <w:i w:val="0"/>
          <w:sz w:val="24"/>
          <w:u w:val="none"/>
        </w:rPr>
        <w:t>Recent work applies deep neural networks and gradient-boosted trees to wearable sensor data and NHANES biomarkers for MASLD risk estimation. All existing models share a critical limitation in normal-BMI cohorts: they are calibrated on mixed-BMI distributions where BMI contributes substantial discriminative variance.</w:t>
      </w:r>
    </w:p>
    <w:p>
      <w:pPr>
        <w:keepNext/>
        <w:spacing w:before="360" w:after="120" w:line="360" w:lineRule="auto"/>
        <w:jc w:val="left"/>
      </w:pPr>
      <w:r>
        <w:rPr>
          <w:rFonts w:ascii="Times New Roman" w:hAnsi="Times New Roman"/>
          <w:b/>
          <w:i w:val="0"/>
          <w:sz w:val="24"/>
          <w:u w:val="single"/>
        </w:rPr>
        <w:t>1.3   Problem Statement</w:t>
      </w:r>
    </w:p>
    <w:p>
      <w:pPr>
        <w:keepNext w:val="0"/>
        <w:spacing w:before="0" w:after="120" w:line="360" w:lineRule="auto"/>
        <w:jc w:val="both"/>
      </w:pPr>
      <w:r>
        <w:rPr>
          <w:rFonts w:ascii="Times New Roman" w:hAnsi="Times New Roman"/>
          <w:b w:val="0"/>
          <w:i w:val="0"/>
          <w:sz w:val="24"/>
          <w:u w:val="none"/>
        </w:rPr>
        <w:t>Standard cardiometabolic screening workflows use BMI as a primary gatekeeper. In normal-BMI adults, this gate may fail to identify a population with genuine metabolic risk. The specific problems are:</w:t>
      </w:r>
    </w:p>
    <w:p>
      <w:pPr>
        <w:keepNext w:val="0"/>
        <w:spacing w:before="0" w:after="80" w:line="360" w:lineRule="auto"/>
        <w:ind w:left="850" w:hanging="850"/>
        <w:jc w:val="both"/>
      </w:pPr>
      <w:r>
        <w:rPr>
          <w:rFonts w:ascii="Times New Roman" w:hAnsi="Times New Roman"/>
          <w:b/>
          <w:i w:val="0"/>
          <w:sz w:val="24"/>
          <w:u w:val="none"/>
        </w:rPr>
        <w:t>1.</w:t>
        <w:tab/>
      </w:r>
      <w:r>
        <w:rPr>
          <w:rFonts w:ascii="Times New Roman" w:hAnsi="Times New Roman"/>
          <w:b/>
          <w:i w:val="0"/>
          <w:sz w:val="24"/>
          <w:u w:val="none"/>
        </w:rPr>
        <w:t xml:space="preserve">Discriminative Signal Loss: </w:t>
      </w:r>
      <w:r>
        <w:rPr>
          <w:rFonts w:ascii="Times New Roman" w:hAnsi="Times New Roman"/>
          <w:b w:val="0"/>
          <w:i w:val="0"/>
          <w:sz w:val="24"/>
          <w:u w:val="none"/>
        </w:rPr>
        <w:t>Clinical indices such as HSI depend linearly on BMI; when BMI is restricted to a narrow band, their discriminative contribution ratio is substantially reduced, rendering the index less informative.</w:t>
      </w:r>
    </w:p>
    <w:p>
      <w:pPr>
        <w:keepNext w:val="0"/>
        <w:spacing w:before="0" w:after="80" w:line="360" w:lineRule="auto"/>
        <w:ind w:left="850" w:hanging="850"/>
        <w:jc w:val="both"/>
      </w:pPr>
      <w:r>
        <w:rPr>
          <w:rFonts w:ascii="Times New Roman" w:hAnsi="Times New Roman"/>
          <w:b/>
          <w:i w:val="0"/>
          <w:sz w:val="24"/>
          <w:u w:val="none"/>
        </w:rPr>
        <w:t>2.</w:t>
        <w:tab/>
      </w:r>
      <w:r>
        <w:rPr>
          <w:rFonts w:ascii="Times New Roman" w:hAnsi="Times New Roman"/>
          <w:b/>
          <w:i w:val="0"/>
          <w:sz w:val="24"/>
          <w:u w:val="none"/>
        </w:rPr>
        <w:t xml:space="preserve">Risk Ranking Inversion: </w:t>
      </w:r>
      <w:r>
        <w:rPr>
          <w:rFonts w:ascii="Times New Roman" w:hAnsi="Times New Roman"/>
          <w:b w:val="0"/>
          <w:i w:val="0"/>
          <w:sz w:val="24"/>
          <w:u w:val="none"/>
        </w:rPr>
        <w:t>Indices such as NAFLD-LFS incorporate metabolic syndrome criteria that correlate positively with liver fat in obese populations but not in normal-BMI adults, producing ranking inversion.</w:t>
      </w:r>
    </w:p>
    <w:p>
      <w:pPr>
        <w:keepNext w:val="0"/>
        <w:spacing w:before="0" w:after="80" w:line="360" w:lineRule="auto"/>
        <w:ind w:left="850" w:hanging="850"/>
        <w:jc w:val="both"/>
      </w:pPr>
      <w:r>
        <w:rPr>
          <w:rFonts w:ascii="Times New Roman" w:hAnsi="Times New Roman"/>
          <w:b/>
          <w:i w:val="0"/>
          <w:sz w:val="24"/>
          <w:u w:val="none"/>
        </w:rPr>
        <w:t>3.</w:t>
        <w:tab/>
      </w:r>
      <w:r>
        <w:rPr>
          <w:rFonts w:ascii="Times New Roman" w:hAnsi="Times New Roman"/>
          <w:b/>
          <w:i w:val="0"/>
          <w:sz w:val="24"/>
          <w:u w:val="none"/>
        </w:rPr>
        <w:t xml:space="preserve">Opacity of Deep Models: </w:t>
      </w:r>
      <w:r>
        <w:rPr>
          <w:rFonts w:ascii="Times New Roman" w:hAnsi="Times New Roman"/>
          <w:b w:val="0"/>
          <w:i w:val="0"/>
          <w:sz w:val="24"/>
          <w:u w:val="none"/>
        </w:rPr>
        <w:t>Standard variational autoencoders suffer from latent space non-identifiability -- any rotation of the latent axes yields identical reconstruction loss, leaving axes biologically uninterpretable.</w:t>
      </w:r>
    </w:p>
    <w:p>
      <w:pPr>
        <w:keepNext w:val="0"/>
        <w:spacing w:before="0" w:after="80" w:line="360" w:lineRule="auto"/>
        <w:ind w:left="850" w:hanging="850"/>
        <w:jc w:val="both"/>
      </w:pPr>
      <w:r>
        <w:rPr>
          <w:rFonts w:ascii="Times New Roman" w:hAnsi="Times New Roman"/>
          <w:b/>
          <w:i w:val="0"/>
          <w:sz w:val="24"/>
          <w:u w:val="none"/>
        </w:rPr>
        <w:t>4.</w:t>
        <w:tab/>
      </w:r>
      <w:r>
        <w:rPr>
          <w:rFonts w:ascii="Times New Roman" w:hAnsi="Times New Roman"/>
          <w:b/>
          <w:i w:val="0"/>
          <w:sz w:val="24"/>
          <w:u w:val="none"/>
        </w:rPr>
        <w:t xml:space="preserve">Subgroup Coverage Failure: </w:t>
      </w:r>
      <w:r>
        <w:rPr>
          <w:rFonts w:ascii="Times New Roman" w:hAnsi="Times New Roman"/>
          <w:b w:val="0"/>
          <w:i w:val="0"/>
          <w:sz w:val="24"/>
          <w:u w:val="none"/>
        </w:rPr>
        <w:t>Standard conformal prediction provides only global coverage properties. High-risk subgroups with shifted covariate distributions may experience systematic under-coverage.</w:t>
      </w:r>
    </w:p>
    <w:p>
      <w:pPr>
        <w:keepNext/>
        <w:spacing w:before="360" w:after="120" w:line="360" w:lineRule="auto"/>
        <w:jc w:val="left"/>
      </w:pPr>
      <w:r>
        <w:rPr>
          <w:rFonts w:ascii="Times New Roman" w:hAnsi="Times New Roman"/>
          <w:b/>
          <w:i w:val="0"/>
          <w:sz w:val="24"/>
          <w:u w:val="single"/>
        </w:rPr>
        <w:t>1.4   Research Gap</w:t>
      </w:r>
    </w:p>
    <w:p>
      <w:pPr>
        <w:keepNext w:val="0"/>
        <w:spacing w:before="0" w:after="80" w:line="360" w:lineRule="auto"/>
        <w:ind w:left="850" w:hanging="850"/>
        <w:jc w:val="both"/>
      </w:pPr>
      <w:r>
        <w:rPr>
          <w:rFonts w:ascii="Times New Roman" w:hAnsi="Times New Roman"/>
          <w:b/>
          <w:i w:val="0"/>
          <w:sz w:val="24"/>
          <w:u w:val="none"/>
        </w:rPr>
        <w:t>1.</w:t>
        <w:tab/>
      </w:r>
      <w:r>
        <w:rPr>
          <w:rFonts w:ascii="Times New Roman" w:hAnsi="Times New Roman"/>
          <w:b/>
          <w:i w:val="0"/>
          <w:sz w:val="24"/>
          <w:u w:val="none"/>
        </w:rPr>
        <w:t xml:space="preserve">Identifiable Latent Spaces in Clinical ML: </w:t>
      </w:r>
      <w:r>
        <w:rPr>
          <w:rFonts w:ascii="Times New Roman" w:hAnsi="Times New Roman"/>
          <w:b w:val="0"/>
          <w:i w:val="0"/>
          <w:sz w:val="24"/>
          <w:u w:val="none"/>
        </w:rPr>
        <w:t>No identified system recovers formally identifiable, biologically anchored latent coordinates from routine blood biomarkers.</w:t>
      </w:r>
    </w:p>
    <w:p>
      <w:pPr>
        <w:keepNext w:val="0"/>
        <w:spacing w:before="0" w:after="80" w:line="360" w:lineRule="auto"/>
        <w:ind w:left="850" w:hanging="850"/>
        <w:jc w:val="both"/>
      </w:pPr>
      <w:r>
        <w:rPr>
          <w:rFonts w:ascii="Times New Roman" w:hAnsi="Times New Roman"/>
          <w:b/>
          <w:i w:val="0"/>
          <w:sz w:val="24"/>
          <w:u w:val="none"/>
        </w:rPr>
        <w:t>2.</w:t>
        <w:tab/>
      </w:r>
      <w:r>
        <w:rPr>
          <w:rFonts w:ascii="Times New Roman" w:hAnsi="Times New Roman"/>
          <w:b/>
          <w:i w:val="0"/>
          <w:sz w:val="24"/>
          <w:u w:val="none"/>
        </w:rPr>
        <w:t xml:space="preserve">Normal-BMI Specific Modelling: </w:t>
      </w:r>
      <w:r>
        <w:rPr>
          <w:rFonts w:ascii="Times New Roman" w:hAnsi="Times New Roman"/>
          <w:b w:val="0"/>
          <w:i w:val="0"/>
          <w:sz w:val="24"/>
          <w:u w:val="none"/>
        </w:rPr>
        <w:t>All contemporary clinical ML systems for MASLD screening are trained and validated on mixed-BMI cohorts.</w:t>
      </w:r>
    </w:p>
    <w:p>
      <w:pPr>
        <w:keepNext w:val="0"/>
        <w:spacing w:before="0" w:after="80" w:line="360" w:lineRule="auto"/>
        <w:ind w:left="850" w:hanging="850"/>
        <w:jc w:val="both"/>
      </w:pPr>
      <w:r>
        <w:rPr>
          <w:rFonts w:ascii="Times New Roman" w:hAnsi="Times New Roman"/>
          <w:b/>
          <w:i w:val="0"/>
          <w:sz w:val="24"/>
          <w:u w:val="none"/>
        </w:rPr>
        <w:t>3.</w:t>
        <w:tab/>
      </w:r>
      <w:r>
        <w:rPr>
          <w:rFonts w:ascii="Times New Roman" w:hAnsi="Times New Roman"/>
          <w:b/>
          <w:i w:val="0"/>
          <w:sz w:val="24"/>
          <w:u w:val="none"/>
        </w:rPr>
        <w:t xml:space="preserve">Subgroup-Safe Uncertainty Quantification: </w:t>
      </w:r>
      <w:r>
        <w:rPr>
          <w:rFonts w:ascii="Times New Roman" w:hAnsi="Times New Roman"/>
          <w:b w:val="0"/>
          <w:i w:val="0"/>
          <w:sz w:val="24"/>
          <w:u w:val="none"/>
        </w:rPr>
        <w:t>No clinical ML model provides subgroup-conditional coverage properties.</w:t>
      </w:r>
    </w:p>
    <w:p>
      <w:pPr>
        <w:keepNext w:val="0"/>
        <w:spacing w:before="0" w:after="80" w:line="360" w:lineRule="auto"/>
        <w:ind w:left="850" w:hanging="850"/>
        <w:jc w:val="both"/>
      </w:pPr>
      <w:r>
        <w:rPr>
          <w:rFonts w:ascii="Times New Roman" w:hAnsi="Times New Roman"/>
          <w:b/>
          <w:i w:val="0"/>
          <w:sz w:val="24"/>
          <w:u w:val="none"/>
        </w:rPr>
        <w:t>4.</w:t>
        <w:tab/>
      </w:r>
      <w:r>
        <w:rPr>
          <w:rFonts w:ascii="Times New Roman" w:hAnsi="Times New Roman"/>
          <w:b/>
          <w:i w:val="0"/>
          <w:sz w:val="24"/>
          <w:u w:val="none"/>
        </w:rPr>
        <w:t xml:space="preserve">Interpretable Deep Generative Models: </w:t>
      </w:r>
      <w:r>
        <w:rPr>
          <w:rFonts w:ascii="Times New Roman" w:hAnsi="Times New Roman"/>
          <w:b w:val="0"/>
          <w:i w:val="0"/>
          <w:sz w:val="24"/>
          <w:u w:val="none"/>
        </w:rPr>
        <w:t>There is a gap for methods that extract human-interpretable closed-form relationships from learned neural decoders.</w:t>
      </w:r>
    </w:p>
    <w:p>
      <w:pPr>
        <w:keepNext/>
        <w:spacing w:before="360" w:after="120" w:line="360" w:lineRule="auto"/>
        <w:jc w:val="left"/>
      </w:pPr>
      <w:r>
        <w:rPr>
          <w:rFonts w:ascii="Times New Roman" w:hAnsi="Times New Roman"/>
          <w:b/>
          <w:i w:val="0"/>
          <w:sz w:val="24"/>
          <w:u w:val="single"/>
        </w:rPr>
        <w:t>1.5   Objectives of the Study</w:t>
      </w:r>
    </w:p>
    <w:p>
      <w:pPr>
        <w:keepNext w:val="0"/>
        <w:spacing w:before="0" w:after="80" w:line="360" w:lineRule="auto"/>
        <w:ind w:left="850" w:hanging="850"/>
        <w:jc w:val="both"/>
      </w:pPr>
      <w:r>
        <w:rPr>
          <w:rFonts w:ascii="Times New Roman" w:hAnsi="Times New Roman"/>
          <w:b/>
          <w:i w:val="0"/>
          <w:sz w:val="24"/>
          <w:u w:val="none"/>
        </w:rPr>
        <w:t>1.</w:t>
        <w:tab/>
      </w:r>
      <w:r>
        <w:rPr>
          <w:rFonts w:ascii="Times New Roman" w:hAnsi="Times New Roman"/>
          <w:b w:val="0"/>
          <w:i w:val="0"/>
          <w:sz w:val="24"/>
          <w:u w:val="none"/>
        </w:rPr>
        <w:t>To design and implement a DA-SS-iVAE according to theoretical identifiability conditions with demographic-conditioned prior networks and monotone anchor networks.</w:t>
      </w:r>
    </w:p>
    <w:p>
      <w:pPr>
        <w:keepNext w:val="0"/>
        <w:spacing w:before="0" w:after="80" w:line="360" w:lineRule="auto"/>
        <w:ind w:left="850" w:hanging="850"/>
        <w:jc w:val="both"/>
      </w:pPr>
      <w:r>
        <w:rPr>
          <w:rFonts w:ascii="Times New Roman" w:hAnsi="Times New Roman"/>
          <w:b/>
          <w:i w:val="0"/>
          <w:sz w:val="24"/>
          <w:u w:val="none"/>
        </w:rPr>
        <w:t>2.</w:t>
        <w:tab/>
      </w:r>
      <w:r>
        <w:rPr>
          <w:rFonts w:ascii="Times New Roman" w:hAnsi="Times New Roman"/>
          <w:b w:val="0"/>
          <w:i w:val="0"/>
          <w:sz w:val="24"/>
          <w:u w:val="none"/>
        </w:rPr>
        <w:t>To implement Mondrian conformal prediction stratified by phenotypic quadrant, restoring subgroup-conditional coverage guarantees for high-risk subpopulations.</w:t>
      </w:r>
    </w:p>
    <w:p>
      <w:pPr>
        <w:keepNext w:val="0"/>
        <w:spacing w:before="0" w:after="80" w:line="360" w:lineRule="auto"/>
        <w:ind w:left="850" w:hanging="850"/>
        <w:jc w:val="both"/>
      </w:pPr>
      <w:r>
        <w:rPr>
          <w:rFonts w:ascii="Times New Roman" w:hAnsi="Times New Roman"/>
          <w:b/>
          <w:i w:val="0"/>
          <w:sz w:val="24"/>
          <w:u w:val="none"/>
        </w:rPr>
        <w:t>3.</w:t>
        <w:tab/>
      </w:r>
      <w:r>
        <w:rPr>
          <w:rFonts w:ascii="Times New Roman" w:hAnsi="Times New Roman"/>
          <w:b w:val="0"/>
          <w:i w:val="0"/>
          <w:sz w:val="24"/>
          <w:u w:val="none"/>
        </w:rPr>
        <w:t>To extract interpretable closed-form equations from the learned decoder using symbolic regression, enabling hypothesis generation about biomarker-latent relationships.</w:t>
      </w:r>
    </w:p>
    <w:p>
      <w:pPr>
        <w:keepNext w:val="0"/>
        <w:spacing w:before="0" w:after="80" w:line="360" w:lineRule="auto"/>
        <w:ind w:left="850" w:hanging="850"/>
        <w:jc w:val="both"/>
      </w:pPr>
      <w:r>
        <w:rPr>
          <w:rFonts w:ascii="Times New Roman" w:hAnsi="Times New Roman"/>
          <w:b/>
          <w:i w:val="0"/>
          <w:sz w:val="24"/>
          <w:u w:val="none"/>
        </w:rPr>
        <w:t>4.</w:t>
        <w:tab/>
      </w:r>
      <w:r>
        <w:rPr>
          <w:rFonts w:ascii="Times New Roman" w:hAnsi="Times New Roman"/>
          <w:b w:val="0"/>
          <w:i w:val="0"/>
          <w:sz w:val="24"/>
          <w:u w:val="none"/>
        </w:rPr>
        <w:t>To develop a computational method for optimal path planning on the learned Riemannian manifold.</w:t>
      </w:r>
    </w:p>
    <w:p>
      <w:pPr>
        <w:keepNext w:val="0"/>
        <w:spacing w:before="0" w:after="80" w:line="360" w:lineRule="auto"/>
        <w:ind w:left="850" w:hanging="850"/>
        <w:jc w:val="both"/>
      </w:pPr>
      <w:r>
        <w:rPr>
          <w:rFonts w:ascii="Times New Roman" w:hAnsi="Times New Roman"/>
          <w:b/>
          <w:i w:val="0"/>
          <w:sz w:val="24"/>
          <w:u w:val="none"/>
        </w:rPr>
        <w:t>5.</w:t>
        <w:tab/>
      </w:r>
      <w:r>
        <w:rPr>
          <w:rFonts w:ascii="Times New Roman" w:hAnsi="Times New Roman"/>
          <w:b w:val="0"/>
          <w:i w:val="0"/>
          <w:sz w:val="24"/>
          <w:u w:val="none"/>
        </w:rPr>
        <w:t>To engineer a full-stack research prototype with FastAPI backend service, React-based Research Translation Layer, integration testing, API documentation, and reproducible development pipelines.</w:t>
      </w:r>
    </w:p>
    <w:p>
      <w:pPr>
        <w:keepNext/>
        <w:spacing w:before="360" w:after="120" w:line="360" w:lineRule="auto"/>
        <w:jc w:val="left"/>
      </w:pPr>
      <w:r>
        <w:rPr>
          <w:rFonts w:ascii="Times New Roman" w:hAnsi="Times New Roman"/>
          <w:b/>
          <w:i w:val="0"/>
          <w:sz w:val="24"/>
          <w:u w:val="single"/>
        </w:rPr>
        <w:t>1.6   Scope and Limitations of the Study</w:t>
      </w:r>
    </w:p>
    <w:p>
      <w:pPr>
        <w:keepNext w:val="0"/>
        <w:spacing w:before="0" w:after="120" w:line="360" w:lineRule="auto"/>
        <w:jc w:val="both"/>
      </w:pPr>
      <w:r>
        <w:rPr>
          <w:rFonts w:ascii="Times New Roman" w:hAnsi="Times New Roman"/>
          <w:b w:val="0"/>
          <w:i w:val="0"/>
          <w:sz w:val="24"/>
          <w:u w:val="none"/>
        </w:rPr>
        <w:t>The study is restricted to:</w:t>
      </w:r>
    </w:p>
    <w:p>
      <w:pPr>
        <w:keepNext w:val="0"/>
        <w:spacing w:before="0" w:after="60" w:line="360" w:lineRule="auto"/>
        <w:ind w:left="567" w:hanging="283"/>
        <w:jc w:val="both"/>
      </w:pPr>
      <w:r>
        <w:rPr>
          <w:rFonts w:ascii="Times New Roman" w:hAnsi="Times New Roman"/>
          <w:b w:val="0"/>
          <w:i w:val="0"/>
          <w:sz w:val="24"/>
          <w:u w:val="none"/>
        </w:rPr>
        <w:t xml:space="preserve">•  </w:t>
      </w:r>
      <w:r>
        <w:rPr>
          <w:rFonts w:ascii="Times New Roman" w:hAnsi="Times New Roman"/>
          <w:b w:val="0"/>
          <w:i w:val="0"/>
          <w:sz w:val="24"/>
          <w:u w:val="none"/>
        </w:rPr>
        <w:t>Normal-BMI adults (18.5 &lt;= BMI &lt;= 24.9 kg/m2) aged 18+ with complete biomarker panels.</w:t>
      </w:r>
    </w:p>
    <w:p>
      <w:pPr>
        <w:keepNext w:val="0"/>
        <w:spacing w:before="0" w:after="60" w:line="360" w:lineRule="auto"/>
        <w:ind w:left="567" w:hanging="283"/>
        <w:jc w:val="both"/>
      </w:pPr>
      <w:r>
        <w:rPr>
          <w:rFonts w:ascii="Times New Roman" w:hAnsi="Times New Roman"/>
          <w:b w:val="0"/>
          <w:i w:val="0"/>
          <w:sz w:val="24"/>
          <w:u w:val="none"/>
        </w:rPr>
        <w:t xml:space="preserve">•  </w:t>
      </w:r>
      <w:r>
        <w:rPr>
          <w:rFonts w:ascii="Times New Roman" w:hAnsi="Times New Roman"/>
          <w:b w:val="0"/>
          <w:i w:val="0"/>
          <w:sz w:val="24"/>
          <w:u w:val="none"/>
        </w:rPr>
        <w:t>Cross-sectional inference only; longitudinal trajectory modelling is excluded.</w:t>
      </w:r>
    </w:p>
    <w:p>
      <w:pPr>
        <w:keepNext w:val="0"/>
        <w:spacing w:before="0" w:after="60" w:line="360" w:lineRule="auto"/>
        <w:ind w:left="567" w:hanging="283"/>
        <w:jc w:val="both"/>
      </w:pPr>
      <w:r>
        <w:rPr>
          <w:rFonts w:ascii="Times New Roman" w:hAnsi="Times New Roman"/>
          <w:b w:val="0"/>
          <w:i w:val="0"/>
          <w:sz w:val="24"/>
          <w:u w:val="none"/>
        </w:rPr>
        <w:t xml:space="preserve">•  </w:t>
      </w:r>
      <w:r>
        <w:rPr>
          <w:rFonts w:ascii="Times New Roman" w:hAnsi="Times New Roman"/>
          <w:b w:val="0"/>
          <w:i w:val="0"/>
          <w:sz w:val="24"/>
          <w:u w:val="none"/>
        </w:rPr>
        <w:t>A research prototype; clinical deployment, regulatory clearance (FDA/CE), and prospective outcome validation are explicitly out of scope.</w:t>
      </w:r>
    </w:p>
    <w:p>
      <w:pPr>
        <w:keepNext w:val="0"/>
        <w:spacing w:before="0" w:after="60" w:line="360" w:lineRule="auto"/>
        <w:ind w:left="567" w:hanging="283"/>
        <w:jc w:val="both"/>
      </w:pPr>
      <w:r>
        <w:rPr>
          <w:rFonts w:ascii="Times New Roman" w:hAnsi="Times New Roman"/>
          <w:b w:val="0"/>
          <w:i w:val="0"/>
          <w:sz w:val="24"/>
          <w:u w:val="none"/>
        </w:rPr>
        <w:t xml:space="preserve">•  </w:t>
      </w:r>
      <w:r>
        <w:rPr>
          <w:rFonts w:ascii="Times New Roman" w:hAnsi="Times New Roman"/>
          <w:b w:val="0"/>
          <w:i w:val="0"/>
          <w:sz w:val="24"/>
          <w:u w:val="none"/>
        </w:rPr>
        <w:t>14 routine blood biomarkers as input features; imaging or genomic data are not incorporated.</w:t>
      </w:r>
    </w:p>
    <w:p>
      <w:pPr>
        <w:keepNext/>
        <w:spacing w:before="360" w:after="120" w:line="360" w:lineRule="auto"/>
        <w:jc w:val="left"/>
      </w:pPr>
      <w:r>
        <w:rPr>
          <w:rFonts w:ascii="Times New Roman" w:hAnsi="Times New Roman"/>
          <w:b/>
          <w:i w:val="0"/>
          <w:sz w:val="24"/>
          <w:u w:val="single"/>
        </w:rPr>
        <w:t>1.7   Summary of Research Contributions</w:t>
      </w:r>
    </w:p>
    <w:p>
      <w:pPr>
        <w:keepNext w:val="0"/>
        <w:spacing w:before="0" w:after="80" w:line="360" w:lineRule="auto"/>
        <w:ind w:left="850" w:hanging="850"/>
        <w:jc w:val="both"/>
      </w:pPr>
      <w:r>
        <w:rPr>
          <w:rFonts w:ascii="Times New Roman" w:hAnsi="Times New Roman"/>
          <w:b/>
          <w:i w:val="0"/>
          <w:sz w:val="24"/>
          <w:u w:val="none"/>
        </w:rPr>
        <w:t>1.</w:t>
        <w:tab/>
      </w:r>
      <w:r>
        <w:rPr>
          <w:rFonts w:ascii="Times New Roman" w:hAnsi="Times New Roman"/>
          <w:b/>
          <w:i w:val="0"/>
          <w:sz w:val="24"/>
          <w:u w:val="none"/>
        </w:rPr>
        <w:t xml:space="preserve">Normal-BMI Specific Metabolic Modelling Pipeline: </w:t>
      </w:r>
      <w:r>
        <w:rPr>
          <w:rFonts w:ascii="Times New Roman" w:hAnsi="Times New Roman"/>
          <w:b w:val="0"/>
          <w:i w:val="0"/>
          <w:sz w:val="24"/>
          <w:u w:val="none"/>
        </w:rPr>
        <w:t>A custom screening pipeline specifically for normal-weight adults, addressing the discriminative collapse and risk-inversion failures of standard clinical indices.</w:t>
      </w:r>
    </w:p>
    <w:p>
      <w:pPr>
        <w:keepNext w:val="0"/>
        <w:spacing w:before="0" w:after="80" w:line="360" w:lineRule="auto"/>
        <w:ind w:left="850" w:hanging="850"/>
        <w:jc w:val="both"/>
      </w:pPr>
      <w:r>
        <w:rPr>
          <w:rFonts w:ascii="Times New Roman" w:hAnsi="Times New Roman"/>
          <w:b/>
          <w:i w:val="0"/>
          <w:sz w:val="24"/>
          <w:u w:val="none"/>
        </w:rPr>
        <w:t>2.</w:t>
        <w:tab/>
      </w:r>
      <w:r>
        <w:rPr>
          <w:rFonts w:ascii="Times New Roman" w:hAnsi="Times New Roman"/>
          <w:b/>
          <w:i w:val="0"/>
          <w:sz w:val="24"/>
          <w:u w:val="none"/>
        </w:rPr>
        <w:t xml:space="preserve">DA-SS-iVAE Architecture: </w:t>
      </w:r>
      <w:r>
        <w:rPr>
          <w:rFonts w:ascii="Times New Roman" w:hAnsi="Times New Roman"/>
          <w:b w:val="0"/>
          <w:i w:val="0"/>
          <w:sz w:val="24"/>
          <w:u w:val="none"/>
        </w:rPr>
        <w:t>A model designed according to theoretical iVAE identifiability conditions, using demographic-conditioned priors and positive-weight monotone anchor networks aligned with HOMA-IR and CAP.</w:t>
      </w:r>
    </w:p>
    <w:p>
      <w:pPr>
        <w:keepNext w:val="0"/>
        <w:spacing w:before="0" w:after="80" w:line="360" w:lineRule="auto"/>
        <w:ind w:left="850" w:hanging="850"/>
        <w:jc w:val="both"/>
      </w:pPr>
      <w:r>
        <w:rPr>
          <w:rFonts w:ascii="Times New Roman" w:hAnsi="Times New Roman"/>
          <w:b/>
          <w:i w:val="0"/>
          <w:sz w:val="24"/>
          <w:u w:val="none"/>
        </w:rPr>
        <w:t>3.</w:t>
        <w:tab/>
      </w:r>
      <w:r>
        <w:rPr>
          <w:rFonts w:ascii="Times New Roman" w:hAnsi="Times New Roman"/>
          <w:b/>
          <w:i w:val="0"/>
          <w:sz w:val="24"/>
          <w:u w:val="none"/>
        </w:rPr>
        <w:t xml:space="preserve">Mondrian Subgroup Calibration: </w:t>
      </w:r>
      <w:r>
        <w:rPr>
          <w:rFonts w:ascii="Times New Roman" w:hAnsi="Times New Roman"/>
          <w:b w:val="0"/>
          <w:i w:val="0"/>
          <w:sz w:val="24"/>
          <w:u w:val="none"/>
        </w:rPr>
        <w:t>Mondrian conformal prediction stratified by metabolic quadrant, restoring risk interval coverage to &gt;=90% for the Dual-Burden subpopulation.</w:t>
      </w:r>
    </w:p>
    <w:p>
      <w:pPr>
        <w:keepNext w:val="0"/>
        <w:spacing w:before="0" w:after="80" w:line="360" w:lineRule="auto"/>
        <w:ind w:left="850" w:hanging="850"/>
        <w:jc w:val="both"/>
      </w:pPr>
      <w:r>
        <w:rPr>
          <w:rFonts w:ascii="Times New Roman" w:hAnsi="Times New Roman"/>
          <w:b/>
          <w:i w:val="0"/>
          <w:sz w:val="24"/>
          <w:u w:val="none"/>
        </w:rPr>
        <w:t>4.</w:t>
        <w:tab/>
      </w:r>
      <w:r>
        <w:rPr>
          <w:rFonts w:ascii="Times New Roman" w:hAnsi="Times New Roman"/>
          <w:b/>
          <w:i w:val="0"/>
          <w:sz w:val="24"/>
          <w:u w:val="none"/>
        </w:rPr>
        <w:t xml:space="preserve">Symbolic Regression Interpretability Layer: </w:t>
      </w:r>
      <w:r>
        <w:rPr>
          <w:rFonts w:ascii="Times New Roman" w:hAnsi="Times New Roman"/>
          <w:b w:val="0"/>
          <w:i w:val="0"/>
          <w:sz w:val="24"/>
          <w:u w:val="none"/>
        </w:rPr>
        <w:t>PySR applied to extract human-readable, closed-form algebraic approximations from the deep residual decoder.</w:t>
      </w:r>
    </w:p>
    <w:p>
      <w:pPr>
        <w:keepNext w:val="0"/>
        <w:spacing w:before="0" w:after="80" w:line="360" w:lineRule="auto"/>
        <w:ind w:left="850" w:hanging="850"/>
        <w:jc w:val="both"/>
      </w:pPr>
      <w:r>
        <w:rPr>
          <w:rFonts w:ascii="Times New Roman" w:hAnsi="Times New Roman"/>
          <w:b/>
          <w:i w:val="0"/>
          <w:sz w:val="24"/>
          <w:u w:val="none"/>
        </w:rPr>
        <w:t>5.</w:t>
        <w:tab/>
      </w:r>
      <w:r>
        <w:rPr>
          <w:rFonts w:ascii="Times New Roman" w:hAnsi="Times New Roman"/>
          <w:b/>
          <w:i w:val="0"/>
          <w:sz w:val="24"/>
          <w:u w:val="none"/>
        </w:rPr>
        <w:t xml:space="preserve">Research Prototype Implementation: </w:t>
      </w:r>
      <w:r>
        <w:rPr>
          <w:rFonts w:ascii="Times New Roman" w:hAnsi="Times New Roman"/>
          <w:b w:val="0"/>
          <w:i w:val="0"/>
          <w:sz w:val="24"/>
          <w:u w:val="none"/>
        </w:rPr>
        <w:t>A complete, reproducible research system including FastAPI inference endpoints, a Riemannian metric tensor solver, and an interactive React-based Research Translation Layer.</w:t>
      </w:r>
    </w:p>
    <w:p>
      <w:pPr>
        <w:keepNext/>
        <w:spacing w:before="360" w:after="120" w:line="360" w:lineRule="auto"/>
        <w:jc w:val="left"/>
      </w:pPr>
      <w:r>
        <w:rPr>
          <w:rFonts w:ascii="Times New Roman" w:hAnsi="Times New Roman"/>
          <w:b/>
          <w:i w:val="0"/>
          <w:sz w:val="24"/>
          <w:u w:val="single"/>
        </w:rPr>
        <w:t>1.8   Organisation of the Dissertation</w:t>
      </w:r>
    </w:p>
    <w:p>
      <w:pPr>
        <w:keepNext w:val="0"/>
        <w:spacing w:before="0" w:after="60" w:line="360" w:lineRule="auto"/>
        <w:ind w:left="567" w:hanging="283"/>
        <w:jc w:val="both"/>
      </w:pPr>
      <w:r>
        <w:rPr>
          <w:rFonts w:ascii="Times New Roman" w:hAnsi="Times New Roman"/>
          <w:b w:val="0"/>
          <w:i w:val="0"/>
          <w:sz w:val="24"/>
          <w:u w:val="none"/>
        </w:rPr>
        <w:t xml:space="preserve">•  </w:t>
      </w:r>
      <w:r>
        <w:rPr>
          <w:rFonts w:ascii="Times New Roman" w:hAnsi="Times New Roman"/>
          <w:b/>
          <w:i w:val="0"/>
          <w:sz w:val="24"/>
          <w:u w:val="none"/>
        </w:rPr>
        <w:t xml:space="preserve">Chapter II (Background and Review of Literature): </w:t>
      </w:r>
      <w:r>
        <w:rPr>
          <w:rFonts w:ascii="Times New Roman" w:hAnsi="Times New Roman"/>
          <w:b w:val="0"/>
          <w:i w:val="0"/>
          <w:sz w:val="24"/>
          <w:u w:val="none"/>
        </w:rPr>
        <w:t>Reviews the domain background including MASLD, insulin resistance, FibroScan CAP, identifiability in latent variable models, existing clinical indices, and machine learning approaches. Includes comparative analysis.</w:t>
      </w:r>
    </w:p>
    <w:p>
      <w:pPr>
        <w:keepNext w:val="0"/>
        <w:spacing w:before="0" w:after="60" w:line="360" w:lineRule="auto"/>
        <w:ind w:left="567" w:hanging="283"/>
        <w:jc w:val="both"/>
      </w:pPr>
      <w:r>
        <w:rPr>
          <w:rFonts w:ascii="Times New Roman" w:hAnsi="Times New Roman"/>
          <w:b w:val="0"/>
          <w:i w:val="0"/>
          <w:sz w:val="24"/>
          <w:u w:val="none"/>
        </w:rPr>
        <w:t xml:space="preserve">•  </w:t>
      </w:r>
      <w:r>
        <w:rPr>
          <w:rFonts w:ascii="Times New Roman" w:hAnsi="Times New Roman"/>
          <w:b/>
          <w:i w:val="0"/>
          <w:sz w:val="24"/>
          <w:u w:val="none"/>
        </w:rPr>
        <w:t xml:space="preserve">Chapter III (Materials and Methods): </w:t>
      </w:r>
      <w:r>
        <w:rPr>
          <w:rFonts w:ascii="Times New Roman" w:hAnsi="Times New Roman"/>
          <w:b w:val="0"/>
          <w:i w:val="0"/>
          <w:sz w:val="24"/>
          <w:u w:val="none"/>
        </w:rPr>
        <w:t>Describes the dataset, cohort definition, the DA-SS-iVAE architecture, conformal prediction framework, symbolic regression, geodesic path planning, and the full-stack system implementation.</w:t>
      </w:r>
    </w:p>
    <w:p>
      <w:pPr>
        <w:keepNext w:val="0"/>
        <w:spacing w:before="0" w:after="60" w:line="360" w:lineRule="auto"/>
        <w:ind w:left="567" w:hanging="283"/>
        <w:jc w:val="both"/>
      </w:pPr>
      <w:r>
        <w:rPr>
          <w:rFonts w:ascii="Times New Roman" w:hAnsi="Times New Roman"/>
          <w:b w:val="0"/>
          <w:i w:val="0"/>
          <w:sz w:val="24"/>
          <w:u w:val="none"/>
        </w:rPr>
        <w:t xml:space="preserve">•  </w:t>
      </w:r>
      <w:r>
        <w:rPr>
          <w:rFonts w:ascii="Times New Roman" w:hAnsi="Times New Roman"/>
          <w:b/>
          <w:i w:val="0"/>
          <w:sz w:val="24"/>
          <w:u w:val="none"/>
        </w:rPr>
        <w:t xml:space="preserve">Chapter IV (Results and Discussion): </w:t>
      </w:r>
      <w:r>
        <w:rPr>
          <w:rFonts w:ascii="Times New Roman" w:hAnsi="Times New Roman"/>
          <w:b w:val="0"/>
          <w:i w:val="0"/>
          <w:sz w:val="24"/>
          <w:u w:val="none"/>
        </w:rPr>
        <w:t>Presents experimental results, temporal validation, conformal coverage analysis, ancestral equity findings, ablation studies, limitations, and threats to validity.</w:t>
      </w:r>
    </w:p>
    <w:p>
      <w:pPr>
        <w:keepNext w:val="0"/>
        <w:spacing w:before="0" w:after="60" w:line="360" w:lineRule="auto"/>
        <w:ind w:left="567" w:hanging="283"/>
        <w:jc w:val="both"/>
      </w:pPr>
      <w:r>
        <w:rPr>
          <w:rFonts w:ascii="Times New Roman" w:hAnsi="Times New Roman"/>
          <w:b w:val="0"/>
          <w:i w:val="0"/>
          <w:sz w:val="24"/>
          <w:u w:val="none"/>
        </w:rPr>
        <w:t xml:space="preserve">•  </w:t>
      </w:r>
      <w:r>
        <w:rPr>
          <w:rFonts w:ascii="Times New Roman" w:hAnsi="Times New Roman"/>
          <w:b/>
          <w:i w:val="0"/>
          <w:sz w:val="24"/>
          <w:u w:val="none"/>
        </w:rPr>
        <w:t xml:space="preserve">Chapter V (Summary and Conclusion(s)): </w:t>
      </w:r>
      <w:r>
        <w:rPr>
          <w:rFonts w:ascii="Times New Roman" w:hAnsi="Times New Roman"/>
          <w:b w:val="0"/>
          <w:i w:val="0"/>
          <w:sz w:val="24"/>
          <w:u w:val="none"/>
        </w:rPr>
        <w:t>Summarises findings, draws conclusions, and outlines future work directions.</w:t>
      </w:r>
    </w:p>
    <w:p>
      <w:pPr>
        <w:keepNext w:val="0"/>
        <w:spacing w:before="0" w:after="60" w:line="360" w:lineRule="auto"/>
        <w:ind w:left="567" w:hanging="283"/>
        <w:jc w:val="both"/>
      </w:pPr>
      <w:r>
        <w:rPr>
          <w:rFonts w:ascii="Times New Roman" w:hAnsi="Times New Roman"/>
          <w:b w:val="0"/>
          <w:i w:val="0"/>
          <w:sz w:val="24"/>
          <w:u w:val="none"/>
        </w:rPr>
        <w:t xml:space="preserve">•  </w:t>
      </w:r>
      <w:r>
        <w:rPr>
          <w:rFonts w:ascii="Times New Roman" w:hAnsi="Times New Roman"/>
          <w:b/>
          <w:i w:val="0"/>
          <w:sz w:val="24"/>
          <w:u w:val="none"/>
        </w:rPr>
        <w:t xml:space="preserve">Bibliography: </w:t>
      </w:r>
      <w:r>
        <w:rPr>
          <w:rFonts w:ascii="Times New Roman" w:hAnsi="Times New Roman"/>
          <w:b w:val="0"/>
          <w:i w:val="0"/>
          <w:sz w:val="24"/>
          <w:u w:val="none"/>
        </w:rPr>
        <w:t>All cited references in IEEE format.</w:t>
      </w:r>
    </w:p>
    <w:p>
      <w:pPr>
        <w:keepNext w:val="0"/>
        <w:spacing w:before="0" w:after="60" w:line="360" w:lineRule="auto"/>
        <w:ind w:left="567" w:hanging="283"/>
        <w:jc w:val="both"/>
      </w:pPr>
      <w:r>
        <w:rPr>
          <w:rFonts w:ascii="Times New Roman" w:hAnsi="Times New Roman"/>
          <w:b w:val="0"/>
          <w:i w:val="0"/>
          <w:sz w:val="24"/>
          <w:u w:val="none"/>
        </w:rPr>
        <w:t xml:space="preserve">•  </w:t>
      </w:r>
      <w:r>
        <w:rPr>
          <w:rFonts w:ascii="Times New Roman" w:hAnsi="Times New Roman"/>
          <w:b/>
          <w:i w:val="0"/>
          <w:sz w:val="24"/>
          <w:u w:val="none"/>
        </w:rPr>
        <w:t xml:space="preserve">Appendices: </w:t>
      </w:r>
      <w:r>
        <w:rPr>
          <w:rFonts w:ascii="Times New Roman" w:hAnsi="Times New Roman"/>
          <w:b w:val="0"/>
          <w:i w:val="0"/>
          <w:sz w:val="24"/>
          <w:u w:val="none"/>
        </w:rPr>
        <w:t>Setup and replication guide, Plagiarism Certificate (Annexure P-i), and Self-Sources Declaration (Annexure P-ii).</w:t>
      </w:r>
    </w:p>
    <w:p>
      <w:r>
        <w:br w:type="page"/>
      </w:r>
    </w:p>
    <w:p>
      <w:pPr>
        <w:keepNext w:val="0"/>
        <w:spacing w:before="0" w:after="0" w:line="360" w:lineRule="auto"/>
        <w:jc w:val="both"/>
      </w:pPr>
    </w:p>
    <w:p>
      <w:pPr>
        <w:keepNext w:val="0"/>
        <w:spacing w:before="0" w:after="0" w:line="360" w:lineRule="auto"/>
        <w:jc w:val="both"/>
      </w:pPr>
    </w:p>
    <w:p>
      <w:pPr>
        <w:keepNext/>
        <w:spacing w:before="0" w:after="360" w:line="360" w:lineRule="auto"/>
        <w:jc w:val="center"/>
      </w:pPr>
      <w:r>
        <w:rPr>
          <w:rFonts w:ascii="Times New Roman" w:hAnsi="Times New Roman"/>
          <w:b/>
          <w:i w:val="0"/>
          <w:sz w:val="24"/>
          <w:u w:val="none"/>
        </w:rPr>
        <w:t>CHAPTER II</w:t>
        <w:br/>
      </w:r>
      <w:r>
        <w:rPr>
          <w:rFonts w:ascii="Times New Roman" w:hAnsi="Times New Roman"/>
          <w:b/>
          <w:i w:val="0"/>
          <w:sz w:val="24"/>
          <w:u w:val="none"/>
        </w:rPr>
        <w:t>BACKGROUND AND REVIEW OF LITERATURE</w:t>
      </w:r>
    </w:p>
    <w:p>
      <w:pPr>
        <w:keepNext/>
        <w:spacing w:before="360" w:after="120" w:line="360" w:lineRule="auto"/>
        <w:jc w:val="left"/>
      </w:pPr>
      <w:r>
        <w:rPr>
          <w:rFonts w:ascii="Times New Roman" w:hAnsi="Times New Roman"/>
          <w:b/>
          <w:i w:val="0"/>
          <w:sz w:val="24"/>
          <w:u w:val="single"/>
        </w:rPr>
        <w:t>2.1   Domain Overview and Definitions</w:t>
      </w:r>
    </w:p>
    <w:p>
      <w:pPr>
        <w:keepNext/>
        <w:spacing w:before="240" w:after="80" w:line="360" w:lineRule="auto"/>
        <w:jc w:val="left"/>
      </w:pPr>
      <w:r>
        <w:rPr>
          <w:rFonts w:ascii="Times New Roman" w:hAnsi="Times New Roman"/>
          <w:b/>
          <w:i w:val="0"/>
          <w:sz w:val="24"/>
          <w:u w:val="single"/>
        </w:rPr>
        <w:t>2.1.1   Metabolic Dysfunction-Associated Steatotic Liver Disease (MASLD)</w:t>
      </w:r>
    </w:p>
    <w:p>
      <w:pPr>
        <w:keepNext w:val="0"/>
        <w:spacing w:before="0" w:after="120" w:line="360" w:lineRule="auto"/>
        <w:jc w:val="both"/>
      </w:pPr>
      <w:r>
        <w:rPr>
          <w:rFonts w:ascii="Times New Roman" w:hAnsi="Times New Roman"/>
          <w:b w:val="0"/>
          <w:i w:val="0"/>
          <w:sz w:val="24"/>
          <w:u w:val="none"/>
        </w:rPr>
        <w:t>Formerly known as NAFLD, MASLD is defined as hepatic steatosis (&gt;=10% fat accumulation) in the absence of excessive alcohol consumption, coupled with metabolic risk factors. The disease spectrum ranges from simple steatosis to steatohepatitis (MASH), fibrosis, and cirrhosis. MASLD affects approximately 25% of the global population and is the most common chronic liver disease worldwide.</w:t>
      </w:r>
    </w:p>
    <w:p>
      <w:pPr>
        <w:keepNext/>
        <w:spacing w:before="240" w:after="80" w:line="360" w:lineRule="auto"/>
        <w:jc w:val="left"/>
      </w:pPr>
      <w:r>
        <w:rPr>
          <w:rFonts w:ascii="Times New Roman" w:hAnsi="Times New Roman"/>
          <w:b/>
          <w:i w:val="0"/>
          <w:sz w:val="24"/>
          <w:u w:val="single"/>
        </w:rPr>
        <w:t>2.1.2   Insulin Resistance (IR)</w:t>
      </w:r>
    </w:p>
    <w:p>
      <w:pPr>
        <w:keepNext w:val="0"/>
        <w:spacing w:before="0" w:after="120" w:line="360" w:lineRule="auto"/>
        <w:jc w:val="both"/>
      </w:pPr>
      <w:r>
        <w:rPr>
          <w:rFonts w:ascii="Times New Roman" w:hAnsi="Times New Roman"/>
          <w:b w:val="0"/>
          <w:i w:val="0"/>
          <w:sz w:val="24"/>
          <w:u w:val="none"/>
        </w:rPr>
        <w:t>A pathological condition in which cells fail to respond normally to insulin. In clinical practice, IR is commonly approximated by the Homeostatic Model Assessment for Insulin Resistance (HOMA-IR):</w:t>
      </w:r>
    </w:p>
    <w:p>
      <w:pPr>
        <w:keepNext w:val="0"/>
        <w:spacing w:before="120" w:after="120" w:line="240" w:lineRule="auto"/>
        <w:jc w:val="center"/>
      </w:pPr>
      <w:r>
        <w:rPr>
          <w:rFonts w:ascii="Times New Roman" w:hAnsi="Times New Roman"/>
          <w:b w:val="0"/>
          <w:i/>
          <w:sz w:val="24"/>
          <w:u w:val="none"/>
        </w:rPr>
        <w:t>HOMA-IR = (fasting glucose x fasting insulin) / 22.5</w:t>
      </w:r>
    </w:p>
    <w:p>
      <w:pPr>
        <w:keepNext w:val="0"/>
        <w:spacing w:before="0" w:after="120" w:line="360" w:lineRule="auto"/>
        <w:jc w:val="both"/>
      </w:pPr>
      <w:r>
        <w:rPr>
          <w:rFonts w:ascii="Times New Roman" w:hAnsi="Times New Roman"/>
          <w:b w:val="0"/>
          <w:i w:val="0"/>
          <w:sz w:val="24"/>
          <w:u w:val="none"/>
        </w:rPr>
        <w:t>The universal clinical cut-off of HOMA-IR = 2.5 is used to define insulin resistance, though this threshold has been shown to vary across ancestral groups.</w:t>
      </w:r>
    </w:p>
    <w:p>
      <w:pPr>
        <w:keepNext/>
        <w:spacing w:before="240" w:after="80" w:line="360" w:lineRule="auto"/>
        <w:jc w:val="left"/>
      </w:pPr>
      <w:r>
        <w:rPr>
          <w:rFonts w:ascii="Times New Roman" w:hAnsi="Times New Roman"/>
          <w:b/>
          <w:i w:val="0"/>
          <w:sz w:val="24"/>
          <w:u w:val="single"/>
        </w:rPr>
        <w:t>2.1.3   Hepatic Steatosis Quantification</w:t>
      </w:r>
    </w:p>
    <w:p>
      <w:pPr>
        <w:keepNext w:val="0"/>
        <w:spacing w:before="0" w:after="120" w:line="360" w:lineRule="auto"/>
        <w:jc w:val="both"/>
      </w:pPr>
      <w:r>
        <w:rPr>
          <w:rFonts w:ascii="Times New Roman" w:hAnsi="Times New Roman"/>
          <w:b w:val="0"/>
          <w:i w:val="0"/>
          <w:sz w:val="24"/>
          <w:u w:val="none"/>
        </w:rPr>
        <w:t>The Controlled Attenuation Parameter (CAP) from FibroScan VCTE provides a non-invasive, quantitative measure of liver fat accumulation, reported in decibels per metre (dB/m). CAP &gt;= 248 dB/m indicates clinically significant steatosis; CAP &gt;= 268 dB/m indicates moderate-to-severe steatosis.</w:t>
      </w:r>
    </w:p>
    <w:p>
      <w:pPr>
        <w:keepNext/>
        <w:spacing w:before="240" w:after="80" w:line="360" w:lineRule="auto"/>
        <w:jc w:val="left"/>
      </w:pPr>
      <w:r>
        <w:rPr>
          <w:rFonts w:ascii="Times New Roman" w:hAnsi="Times New Roman"/>
          <w:b/>
          <w:i w:val="0"/>
          <w:sz w:val="24"/>
          <w:u w:val="single"/>
        </w:rPr>
        <w:t>2.1.4   The Normal-BMI Phenotype</w:t>
      </w:r>
    </w:p>
    <w:p>
      <w:pPr>
        <w:keepNext w:val="0"/>
        <w:spacing w:before="0" w:after="120" w:line="360" w:lineRule="auto"/>
        <w:jc w:val="both"/>
      </w:pPr>
      <w:r>
        <w:rPr>
          <w:rFonts w:ascii="Times New Roman" w:hAnsi="Times New Roman"/>
          <w:b w:val="0"/>
          <w:i w:val="0"/>
          <w:sz w:val="24"/>
          <w:u w:val="none"/>
        </w:rPr>
        <w:t>While MASLD is traditionally associated with obesity, approximately 10-20% of cases occur in normal-BMI individuals ("lean MASLD"). In this population, steatosis is driven by ectopic lipid deposition, visceral adiposity not captured by BMI, and insulin-mediated de novo lipogenesis rather than by total body mass. This population is systematically missed by standard BMI-based screening protocols.</w:t>
      </w:r>
    </w:p>
    <w:p>
      <w:pPr>
        <w:keepNext/>
        <w:spacing w:before="240" w:after="80" w:line="360" w:lineRule="auto"/>
        <w:jc w:val="left"/>
      </w:pPr>
      <w:r>
        <w:rPr>
          <w:rFonts w:ascii="Times New Roman" w:hAnsi="Times New Roman"/>
          <w:b/>
          <w:i w:val="0"/>
          <w:sz w:val="24"/>
          <w:u w:val="single"/>
        </w:rPr>
        <w:t>2.1.5   Identifiability in Latent Variable Models</w:t>
      </w:r>
    </w:p>
    <w:p>
      <w:pPr>
        <w:keepNext w:val="0"/>
        <w:spacing w:before="0" w:after="120" w:line="360" w:lineRule="auto"/>
        <w:jc w:val="both"/>
      </w:pPr>
      <w:r>
        <w:rPr>
          <w:rFonts w:ascii="Times New Roman" w:hAnsi="Times New Roman"/>
          <w:b w:val="0"/>
          <w:i w:val="0"/>
          <w:sz w:val="24"/>
          <w:u w:val="none"/>
        </w:rPr>
        <w:t>A latent variable model is identifiable if the true latent factors can be recovered up to permutation and element-wise invertible transformation. Standard VAEs are non-identifiable because any orthogonal transformation of the latent space preserves the ELBO. The iVAE framework proves identifiability under the condition that the prior is conditioned on sufficiently informative auxiliary variables.</w:t>
      </w:r>
    </w:p>
    <w:p>
      <w:pPr>
        <w:keepNext/>
        <w:spacing w:before="360" w:after="120" w:line="360" w:lineRule="auto"/>
        <w:jc w:val="left"/>
      </w:pPr>
      <w:r>
        <w:rPr>
          <w:rFonts w:ascii="Times New Roman" w:hAnsi="Times New Roman"/>
          <w:b/>
          <w:i w:val="0"/>
          <w:sz w:val="24"/>
          <w:u w:val="single"/>
        </w:rPr>
        <w:t>2.2   Traditional Clinical Approaches</w:t>
      </w:r>
    </w:p>
    <w:p>
      <w:pPr>
        <w:keepNext/>
        <w:spacing w:before="240" w:after="80" w:line="360" w:lineRule="auto"/>
        <w:jc w:val="left"/>
      </w:pPr>
      <w:r>
        <w:rPr>
          <w:rFonts w:ascii="Times New Roman" w:hAnsi="Times New Roman"/>
          <w:b/>
          <w:i w:val="0"/>
          <w:sz w:val="24"/>
          <w:u w:val="single"/>
        </w:rPr>
        <w:t>2.2.1   Body Mass Index (BMI)</w:t>
      </w:r>
    </w:p>
    <w:p>
      <w:pPr>
        <w:keepNext w:val="0"/>
        <w:spacing w:before="0" w:after="120" w:line="360" w:lineRule="auto"/>
        <w:jc w:val="both"/>
      </w:pPr>
      <w:r>
        <w:rPr>
          <w:rFonts w:ascii="Times New Roman" w:hAnsi="Times New Roman"/>
          <w:b w:val="0"/>
          <w:i w:val="0"/>
          <w:sz w:val="24"/>
          <w:u w:val="none"/>
        </w:rPr>
        <w:t>BMI = weight (kg) / height^2 (m^2). The WHO defines normal BMI as 18.5-24.9 kg/m2. While BMI is a population-level correlate of adiposity, it does not distinguish muscle from fat, nor subcutaneous from visceral fat. Its widespread use as a screening gatekeeper systematically misses metabolically unhealthy individuals who fall within the normal BMI range.</w:t>
      </w:r>
    </w:p>
    <w:p>
      <w:pPr>
        <w:keepNext/>
        <w:spacing w:before="240" w:after="80" w:line="360" w:lineRule="auto"/>
        <w:jc w:val="left"/>
      </w:pPr>
      <w:r>
        <w:rPr>
          <w:rFonts w:ascii="Times New Roman" w:hAnsi="Times New Roman"/>
          <w:b/>
          <w:i w:val="0"/>
          <w:sz w:val="24"/>
          <w:u w:val="single"/>
        </w:rPr>
        <w:t>2.2.2   Clinical Steatosis Indices</w:t>
      </w:r>
    </w:p>
    <w:p>
      <w:pPr>
        <w:keepNext w:val="0"/>
        <w:spacing w:before="0" w:after="60" w:line="360" w:lineRule="auto"/>
        <w:ind w:left="567" w:hanging="283"/>
        <w:jc w:val="both"/>
      </w:pPr>
      <w:r>
        <w:rPr>
          <w:rFonts w:ascii="Times New Roman" w:hAnsi="Times New Roman"/>
          <w:b w:val="0"/>
          <w:i w:val="0"/>
          <w:sz w:val="24"/>
          <w:u w:val="none"/>
        </w:rPr>
        <w:t xml:space="preserve">•  </w:t>
      </w:r>
      <w:r>
        <w:rPr>
          <w:rFonts w:ascii="Times New Roman" w:hAnsi="Times New Roman"/>
          <w:b/>
          <w:i w:val="0"/>
          <w:sz w:val="24"/>
          <w:u w:val="none"/>
        </w:rPr>
        <w:t xml:space="preserve">Fatty Liver Index (FLI): </w:t>
      </w:r>
      <w:r>
        <w:rPr>
          <w:rFonts w:ascii="Times New Roman" w:hAnsi="Times New Roman"/>
          <w:b w:val="0"/>
          <w:i w:val="0"/>
          <w:sz w:val="24"/>
          <w:u w:val="none"/>
        </w:rPr>
        <w:t>Combines BMI, waist circumference, triglycerides, and GGT. Validated in mixed-BMI Italian cohorts.</w:t>
      </w:r>
    </w:p>
    <w:p>
      <w:pPr>
        <w:keepNext w:val="0"/>
        <w:spacing w:before="0" w:after="60" w:line="360" w:lineRule="auto"/>
        <w:ind w:left="567" w:hanging="283"/>
        <w:jc w:val="both"/>
      </w:pPr>
      <w:r>
        <w:rPr>
          <w:rFonts w:ascii="Times New Roman" w:hAnsi="Times New Roman"/>
          <w:b w:val="0"/>
          <w:i w:val="0"/>
          <w:sz w:val="24"/>
          <w:u w:val="none"/>
        </w:rPr>
        <w:t xml:space="preserve">•  </w:t>
      </w:r>
      <w:r>
        <w:rPr>
          <w:rFonts w:ascii="Times New Roman" w:hAnsi="Times New Roman"/>
          <w:b/>
          <w:i w:val="0"/>
          <w:sz w:val="24"/>
          <w:u w:val="none"/>
        </w:rPr>
        <w:t xml:space="preserve">Hepatic Steatosis Index (HSI): </w:t>
      </w:r>
      <w:r>
        <w:rPr>
          <w:rFonts w:ascii="Times New Roman" w:hAnsi="Times New Roman"/>
          <w:b w:val="0"/>
          <w:i w:val="0"/>
          <w:sz w:val="24"/>
          <w:u w:val="none"/>
        </w:rPr>
        <w:t>HSI = 8 x (ALT/AST) + BMI + adjustment terms. Heavily dependent on BMI as a linear discriminant.</w:t>
      </w:r>
    </w:p>
    <w:p>
      <w:pPr>
        <w:keepNext w:val="0"/>
        <w:spacing w:before="0" w:after="60" w:line="360" w:lineRule="auto"/>
        <w:ind w:left="567" w:hanging="283"/>
        <w:jc w:val="both"/>
      </w:pPr>
      <w:r>
        <w:rPr>
          <w:rFonts w:ascii="Times New Roman" w:hAnsi="Times New Roman"/>
          <w:b w:val="0"/>
          <w:i w:val="0"/>
          <w:sz w:val="24"/>
          <w:u w:val="none"/>
        </w:rPr>
        <w:t xml:space="preserve">•  </w:t>
      </w:r>
      <w:r>
        <w:rPr>
          <w:rFonts w:ascii="Times New Roman" w:hAnsi="Times New Roman"/>
          <w:b/>
          <w:i w:val="0"/>
          <w:sz w:val="24"/>
          <w:u w:val="none"/>
        </w:rPr>
        <w:t xml:space="preserve">NAFLD Liver Fat Score (LFS): </w:t>
      </w:r>
      <w:r>
        <w:rPr>
          <w:rFonts w:ascii="Times New Roman" w:hAnsi="Times New Roman"/>
          <w:b w:val="0"/>
          <w:i w:val="0"/>
          <w:sz w:val="24"/>
          <w:u w:val="none"/>
        </w:rPr>
        <w:t>Incorporates metabolic syndrome criteria, type 2 diabetes status, and liver enzymes.</w:t>
      </w:r>
    </w:p>
    <w:p>
      <w:pPr>
        <w:keepNext w:val="0"/>
        <w:spacing w:before="0" w:after="60" w:line="360" w:lineRule="auto"/>
        <w:ind w:left="567" w:hanging="283"/>
        <w:jc w:val="both"/>
      </w:pPr>
      <w:r>
        <w:rPr>
          <w:rFonts w:ascii="Times New Roman" w:hAnsi="Times New Roman"/>
          <w:b w:val="0"/>
          <w:i w:val="0"/>
          <w:sz w:val="24"/>
          <w:u w:val="none"/>
        </w:rPr>
        <w:t xml:space="preserve">•  </w:t>
      </w:r>
      <w:r>
        <w:rPr>
          <w:rFonts w:ascii="Times New Roman" w:hAnsi="Times New Roman"/>
          <w:b/>
          <w:i w:val="0"/>
          <w:sz w:val="24"/>
          <w:u w:val="none"/>
        </w:rPr>
        <w:t xml:space="preserve">TyG Index: </w:t>
      </w:r>
      <w:r>
        <w:rPr>
          <w:rFonts w:ascii="Times New Roman" w:hAnsi="Times New Roman"/>
          <w:b w:val="0"/>
          <w:i w:val="0"/>
          <w:sz w:val="24"/>
          <w:u w:val="none"/>
        </w:rPr>
        <w:t>A simple insulin resistance proxy derived from fasting triglycerides and glucose.</w:t>
      </w:r>
    </w:p>
    <w:p>
      <w:pPr>
        <w:keepNext/>
        <w:spacing w:before="360" w:after="120" w:line="360" w:lineRule="auto"/>
        <w:jc w:val="left"/>
      </w:pPr>
      <w:r>
        <w:rPr>
          <w:rFonts w:ascii="Times New Roman" w:hAnsi="Times New Roman"/>
          <w:b/>
          <w:i w:val="0"/>
          <w:sz w:val="24"/>
          <w:u w:val="single"/>
        </w:rPr>
        <w:t>2.3   Existing Machine Learning Approaches</w:t>
      </w:r>
    </w:p>
    <w:p>
      <w:pPr>
        <w:keepNext/>
        <w:spacing w:before="240" w:after="80" w:line="360" w:lineRule="auto"/>
        <w:jc w:val="left"/>
      </w:pPr>
      <w:r>
        <w:rPr>
          <w:rFonts w:ascii="Times New Roman" w:hAnsi="Times New Roman"/>
          <w:b/>
          <w:i w:val="0"/>
          <w:sz w:val="24"/>
          <w:u w:val="single"/>
        </w:rPr>
        <w:t>2.3.1   Supervised Classification</w:t>
      </w:r>
    </w:p>
    <w:p>
      <w:pPr>
        <w:keepNext w:val="0"/>
        <w:spacing w:before="0" w:after="120" w:line="360" w:lineRule="auto"/>
        <w:jc w:val="both"/>
      </w:pPr>
      <w:r>
        <w:rPr>
          <w:rFonts w:ascii="Times New Roman" w:hAnsi="Times New Roman"/>
          <w:b w:val="0"/>
          <w:i w:val="0"/>
          <w:sz w:val="24"/>
          <w:u w:val="none"/>
        </w:rPr>
        <w:t>Zhang et al. (2025) and Tertulino et al. (2025) apply XGBoost and Random Forest to NHANES biomarkers for binary MASLD classification. These models achieve moderate AUROC in mixed-BMI cohorts but are not validated in normal-BMI subgroups and produce scalar predictions without latent structure.</w:t>
      </w:r>
    </w:p>
    <w:p>
      <w:pPr>
        <w:keepNext/>
        <w:spacing w:before="240" w:after="80" w:line="360" w:lineRule="auto"/>
        <w:jc w:val="left"/>
      </w:pPr>
      <w:r>
        <w:rPr>
          <w:rFonts w:ascii="Times New Roman" w:hAnsi="Times New Roman"/>
          <w:b/>
          <w:i w:val="0"/>
          <w:sz w:val="24"/>
          <w:u w:val="single"/>
        </w:rPr>
        <w:t>2.3.2   Wearable-Enhanced Deep Learning</w:t>
      </w:r>
    </w:p>
    <w:p>
      <w:pPr>
        <w:keepNext w:val="0"/>
        <w:spacing w:before="0" w:after="120" w:line="360" w:lineRule="auto"/>
        <w:jc w:val="both"/>
      </w:pPr>
      <w:r>
        <w:rPr>
          <w:rFonts w:ascii="Times New Roman" w:hAnsi="Times New Roman"/>
          <w:b w:val="0"/>
          <w:i w:val="0"/>
          <w:sz w:val="24"/>
          <w:u w:val="none"/>
        </w:rPr>
        <w:t>Metwally et al. (2026) combine wearable sensor streams with deep neural networks to predict HOMA-IR in a mixed-BMI cohort (n = 1,165). The model does not address hepatic steatosis and provides no subgroup calibration guarantees.</w:t>
      </w:r>
    </w:p>
    <w:p>
      <w:pPr>
        <w:keepNext/>
        <w:spacing w:before="240" w:after="80" w:line="360" w:lineRule="auto"/>
        <w:jc w:val="left"/>
      </w:pPr>
      <w:r>
        <w:rPr>
          <w:rFonts w:ascii="Times New Roman" w:hAnsi="Times New Roman"/>
          <w:b/>
          <w:i w:val="0"/>
          <w:sz w:val="24"/>
          <w:u w:val="single"/>
        </w:rPr>
        <w:t>2.3.3   Clustering-Based Subtyping</w:t>
      </w:r>
    </w:p>
    <w:p>
      <w:pPr>
        <w:keepNext w:val="0"/>
        <w:spacing w:before="0" w:after="120" w:line="360" w:lineRule="auto"/>
        <w:jc w:val="both"/>
      </w:pPr>
      <w:r>
        <w:rPr>
          <w:rFonts w:ascii="Times New Roman" w:hAnsi="Times New Roman"/>
          <w:b w:val="0"/>
          <w:i w:val="0"/>
          <w:sz w:val="24"/>
          <w:u w:val="none"/>
        </w:rPr>
        <w:t>Lee et al. (2024) apply K-means methods to liver biopsy histology in an obese-majority MASLD cohort. This work identifies discrete histological subtypes but does not provide continuous, anchored latent coordinates applicable to routine blood biomarkers.</w:t>
      </w:r>
    </w:p>
    <w:p>
      <w:pPr>
        <w:keepNext/>
        <w:spacing w:before="240" w:after="80" w:line="360" w:lineRule="auto"/>
        <w:jc w:val="left"/>
      </w:pPr>
      <w:r>
        <w:rPr>
          <w:rFonts w:ascii="Times New Roman" w:hAnsi="Times New Roman"/>
          <w:b/>
          <w:i w:val="0"/>
          <w:sz w:val="24"/>
          <w:u w:val="single"/>
        </w:rPr>
        <w:t>2.3.4   Causal Discrepancy VAEs</w:t>
      </w:r>
    </w:p>
    <w:p>
      <w:pPr>
        <w:keepNext w:val="0"/>
        <w:spacing w:before="0" w:after="120" w:line="360" w:lineRule="auto"/>
        <w:jc w:val="both"/>
      </w:pPr>
      <w:r>
        <w:rPr>
          <w:rFonts w:ascii="Times New Roman" w:hAnsi="Times New Roman"/>
          <w:b w:val="0"/>
          <w:i w:val="0"/>
          <w:sz w:val="24"/>
          <w:u w:val="none"/>
        </w:rPr>
        <w:t>Shen et al. (2025) propose the SENA-delta VAE for gene-perturbation response prediction. While methodologically sophisticated, it operates on in-vitro genetic assay data and does not anchor latent factors to clinical reference-standard measurements.</w:t>
      </w:r>
    </w:p>
    <w:p>
      <w:pPr>
        <w:keepNext/>
        <w:spacing w:before="240" w:after="80" w:line="240" w:lineRule="auto"/>
        <w:jc w:val="center"/>
      </w:pPr>
      <w:r>
        <w:rPr>
          <w:rFonts w:ascii="Times New Roman" w:hAnsi="Times New Roman"/>
          <w:b/>
          <w:i w:val="0"/>
          <w:sz w:val="20"/>
          <w:u w:val="none"/>
        </w:rPr>
        <w:t>Table 1: Positioning of LMSIS within contemporary clinical ML</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tblGrid>
      <w:tr>
        <w:tc>
          <w:tcPr>
            <w:tcW w:type="dxa" w:w="1134"/>
          </w:tcPr>
          <w:p>
            <w:pPr>
              <w:spacing w:before="40" w:after="40" w:line="240" w:lineRule="auto"/>
              <w:jc w:val="center"/>
            </w:pPr>
            <w:r/>
            <w:r>
              <w:rPr>
                <w:rFonts w:ascii="Times New Roman" w:hAnsi="Times New Roman"/>
                <w:b/>
                <w:i w:val="0"/>
                <w:sz w:val="20"/>
                <w:u w:val="none"/>
              </w:rPr>
              <w:t>Study / Method</w:t>
            </w:r>
          </w:p>
        </w:tc>
        <w:tc>
          <w:tcPr>
            <w:tcW w:type="dxa" w:w="1134"/>
          </w:tcPr>
          <w:p>
            <w:pPr>
              <w:spacing w:before="40" w:after="40" w:line="240" w:lineRule="auto"/>
              <w:jc w:val="center"/>
            </w:pPr>
            <w:r/>
            <w:r>
              <w:rPr>
                <w:rFonts w:ascii="Times New Roman" w:hAnsi="Times New Roman"/>
                <w:b/>
                <w:i w:val="0"/>
                <w:sz w:val="20"/>
                <w:u w:val="none"/>
              </w:rPr>
              <w:t>Year</w:t>
            </w:r>
          </w:p>
        </w:tc>
        <w:tc>
          <w:tcPr>
            <w:tcW w:type="dxa" w:w="1134"/>
          </w:tcPr>
          <w:p>
            <w:pPr>
              <w:spacing w:before="40" w:after="40" w:line="240" w:lineRule="auto"/>
              <w:jc w:val="center"/>
            </w:pPr>
            <w:r/>
            <w:r>
              <w:rPr>
                <w:rFonts w:ascii="Times New Roman" w:hAnsi="Times New Roman"/>
                <w:b/>
                <w:i w:val="0"/>
                <w:sz w:val="20"/>
                <w:u w:val="none"/>
              </w:rPr>
              <w:t>Core Algorithm</w:t>
            </w:r>
          </w:p>
        </w:tc>
        <w:tc>
          <w:tcPr>
            <w:tcW w:type="dxa" w:w="1134"/>
          </w:tcPr>
          <w:p>
            <w:pPr>
              <w:spacing w:before="40" w:after="40" w:line="240" w:lineRule="auto"/>
              <w:jc w:val="center"/>
            </w:pPr>
            <w:r/>
            <w:r>
              <w:rPr>
                <w:rFonts w:ascii="Times New Roman" w:hAnsi="Times New Roman"/>
                <w:b/>
                <w:i w:val="0"/>
                <w:sz w:val="20"/>
                <w:u w:val="none"/>
              </w:rPr>
              <w:t>Population</w:t>
            </w:r>
          </w:p>
        </w:tc>
        <w:tc>
          <w:tcPr>
            <w:tcW w:type="dxa" w:w="1134"/>
          </w:tcPr>
          <w:p>
            <w:pPr>
              <w:spacing w:before="40" w:after="40" w:line="240" w:lineRule="auto"/>
              <w:jc w:val="center"/>
            </w:pPr>
            <w:r/>
            <w:r>
              <w:rPr>
                <w:rFonts w:ascii="Times New Roman" w:hAnsi="Times New Roman"/>
                <w:b/>
                <w:i w:val="0"/>
                <w:sz w:val="20"/>
                <w:u w:val="none"/>
              </w:rPr>
              <w:t>Latent Topology</w:t>
            </w:r>
          </w:p>
        </w:tc>
        <w:tc>
          <w:tcPr>
            <w:tcW w:type="dxa" w:w="1134"/>
          </w:tcPr>
          <w:p>
            <w:pPr>
              <w:spacing w:before="40" w:after="40" w:line="240" w:lineRule="auto"/>
              <w:jc w:val="center"/>
            </w:pPr>
            <w:r/>
            <w:r>
              <w:rPr>
                <w:rFonts w:ascii="Times New Roman" w:hAnsi="Times New Roman"/>
                <w:b/>
                <w:i w:val="0"/>
                <w:sz w:val="20"/>
                <w:u w:val="none"/>
              </w:rPr>
              <w:t>Validation</w:t>
            </w:r>
          </w:p>
        </w:tc>
        <w:tc>
          <w:tcPr>
            <w:tcW w:type="dxa" w:w="1134"/>
          </w:tcPr>
          <w:p>
            <w:pPr>
              <w:spacing w:before="40" w:after="40" w:line="240" w:lineRule="auto"/>
              <w:jc w:val="center"/>
            </w:pPr>
            <w:r/>
            <w:r>
              <w:rPr>
                <w:rFonts w:ascii="Times New Roman" w:hAnsi="Times New Roman"/>
                <w:b/>
                <w:i w:val="0"/>
                <w:sz w:val="20"/>
                <w:u w:val="none"/>
              </w:rPr>
              <w:t>Subgroup Calibration</w:t>
            </w:r>
          </w:p>
        </w:tc>
      </w:tr>
      <w:tr>
        <w:tc>
          <w:tcPr>
            <w:tcW w:type="dxa" w:w="1134"/>
          </w:tcPr>
          <w:p>
            <w:pPr>
              <w:spacing w:before="40" w:after="40" w:line="240" w:lineRule="auto"/>
              <w:jc w:val="left"/>
            </w:pPr>
            <w:r/>
            <w:r>
              <w:rPr>
                <w:rFonts w:ascii="Times New Roman" w:hAnsi="Times New Roman"/>
                <w:b w:val="0"/>
                <w:i w:val="0"/>
                <w:sz w:val="20"/>
                <w:u w:val="none"/>
              </w:rPr>
              <w:t>Metwally et al. (WEAR-ME)</w:t>
            </w:r>
          </w:p>
        </w:tc>
        <w:tc>
          <w:tcPr>
            <w:tcW w:type="dxa" w:w="1134"/>
          </w:tcPr>
          <w:p>
            <w:pPr>
              <w:spacing w:before="40" w:after="40" w:line="240" w:lineRule="auto"/>
              <w:jc w:val="left"/>
            </w:pPr>
            <w:r/>
            <w:r>
              <w:rPr>
                <w:rFonts w:ascii="Times New Roman" w:hAnsi="Times New Roman"/>
                <w:b w:val="0"/>
                <w:i w:val="0"/>
                <w:sz w:val="20"/>
                <w:u w:val="none"/>
              </w:rPr>
              <w:t>2026</w:t>
            </w:r>
          </w:p>
        </w:tc>
        <w:tc>
          <w:tcPr>
            <w:tcW w:type="dxa" w:w="1134"/>
          </w:tcPr>
          <w:p>
            <w:pPr>
              <w:spacing w:before="40" w:after="40" w:line="240" w:lineRule="auto"/>
              <w:jc w:val="left"/>
            </w:pPr>
            <w:r/>
            <w:r>
              <w:rPr>
                <w:rFonts w:ascii="Times New Roman" w:hAnsi="Times New Roman"/>
                <w:b w:val="0"/>
                <w:i w:val="0"/>
                <w:sz w:val="20"/>
                <w:u w:val="none"/>
              </w:rPr>
              <w:t>DNN + Wearables</w:t>
            </w:r>
          </w:p>
        </w:tc>
        <w:tc>
          <w:tcPr>
            <w:tcW w:type="dxa" w:w="1134"/>
          </w:tcPr>
          <w:p>
            <w:pPr>
              <w:spacing w:before="40" w:after="40" w:line="240" w:lineRule="auto"/>
              <w:jc w:val="left"/>
            </w:pPr>
            <w:r/>
            <w:r>
              <w:rPr>
                <w:rFonts w:ascii="Times New Roman" w:hAnsi="Times New Roman"/>
                <w:b w:val="0"/>
                <w:i w:val="0"/>
                <w:sz w:val="20"/>
                <w:u w:val="none"/>
              </w:rPr>
              <w:t>Mixed-BMI</w:t>
            </w:r>
          </w:p>
        </w:tc>
        <w:tc>
          <w:tcPr>
            <w:tcW w:type="dxa" w:w="1134"/>
          </w:tcPr>
          <w:p>
            <w:pPr>
              <w:spacing w:before="40" w:after="40" w:line="240" w:lineRule="auto"/>
              <w:jc w:val="left"/>
            </w:pPr>
            <w:r/>
            <w:r>
              <w:rPr>
                <w:rFonts w:ascii="Times New Roman" w:hAnsi="Times New Roman"/>
                <w:b w:val="0"/>
                <w:i w:val="0"/>
                <w:sz w:val="20"/>
                <w:u w:val="none"/>
              </w:rPr>
              <w:t>Scalar</w:t>
            </w:r>
          </w:p>
        </w:tc>
        <w:tc>
          <w:tcPr>
            <w:tcW w:type="dxa" w:w="1134"/>
          </w:tcPr>
          <w:p>
            <w:pPr>
              <w:spacing w:before="40" w:after="40" w:line="240" w:lineRule="auto"/>
              <w:jc w:val="left"/>
            </w:pPr>
            <w:r/>
            <w:r>
              <w:rPr>
                <w:rFonts w:ascii="Times New Roman" w:hAnsi="Times New Roman"/>
                <w:b w:val="0"/>
                <w:i w:val="0"/>
                <w:sz w:val="20"/>
                <w:u w:val="none"/>
              </w:rPr>
              <w:t>Cross-validation</w:t>
            </w:r>
          </w:p>
        </w:tc>
        <w:tc>
          <w:tcPr>
            <w:tcW w:type="dxa" w:w="1134"/>
          </w:tcPr>
          <w:p>
            <w:pPr>
              <w:spacing w:before="40" w:after="40" w:line="240" w:lineRule="auto"/>
              <w:jc w:val="left"/>
            </w:pPr>
            <w:r/>
            <w:r>
              <w:rPr>
                <w:rFonts w:ascii="Times New Roman" w:hAnsi="Times New Roman"/>
                <w:b w:val="0"/>
                <w:i w:val="0"/>
                <w:sz w:val="20"/>
                <w:u w:val="none"/>
              </w:rPr>
              <w:t>None</w:t>
            </w:r>
          </w:p>
        </w:tc>
      </w:tr>
      <w:tr>
        <w:tc>
          <w:tcPr>
            <w:tcW w:type="dxa" w:w="1134"/>
          </w:tcPr>
          <w:p>
            <w:pPr>
              <w:spacing w:before="40" w:after="40" w:line="240" w:lineRule="auto"/>
              <w:jc w:val="left"/>
            </w:pPr>
            <w:r/>
            <w:r>
              <w:rPr>
                <w:rFonts w:ascii="Times New Roman" w:hAnsi="Times New Roman"/>
                <w:b w:val="0"/>
                <w:i w:val="0"/>
                <w:sz w:val="20"/>
                <w:u w:val="none"/>
              </w:rPr>
              <w:t>Zhang et al. (PLOS ONE)</w:t>
            </w:r>
          </w:p>
        </w:tc>
        <w:tc>
          <w:tcPr>
            <w:tcW w:type="dxa" w:w="1134"/>
          </w:tcPr>
          <w:p>
            <w:pPr>
              <w:spacing w:before="40" w:after="40" w:line="240" w:lineRule="auto"/>
              <w:jc w:val="left"/>
            </w:pPr>
            <w:r/>
            <w:r>
              <w:rPr>
                <w:rFonts w:ascii="Times New Roman" w:hAnsi="Times New Roman"/>
                <w:b w:val="0"/>
                <w:i w:val="0"/>
                <w:sz w:val="20"/>
                <w:u w:val="none"/>
              </w:rPr>
              <w:t>2025</w:t>
            </w:r>
          </w:p>
        </w:tc>
        <w:tc>
          <w:tcPr>
            <w:tcW w:type="dxa" w:w="1134"/>
          </w:tcPr>
          <w:p>
            <w:pPr>
              <w:spacing w:before="40" w:after="40" w:line="240" w:lineRule="auto"/>
              <w:jc w:val="left"/>
            </w:pPr>
            <w:r/>
            <w:r>
              <w:rPr>
                <w:rFonts w:ascii="Times New Roman" w:hAnsi="Times New Roman"/>
                <w:b w:val="0"/>
                <w:i w:val="0"/>
                <w:sz w:val="20"/>
                <w:u w:val="none"/>
              </w:rPr>
              <w:t>XGBoost/RF</w:t>
            </w:r>
          </w:p>
        </w:tc>
        <w:tc>
          <w:tcPr>
            <w:tcW w:type="dxa" w:w="1134"/>
          </w:tcPr>
          <w:p>
            <w:pPr>
              <w:spacing w:before="40" w:after="40" w:line="240" w:lineRule="auto"/>
              <w:jc w:val="left"/>
            </w:pPr>
            <w:r/>
            <w:r>
              <w:rPr>
                <w:rFonts w:ascii="Times New Roman" w:hAnsi="Times New Roman"/>
                <w:b w:val="0"/>
                <w:i w:val="0"/>
                <w:sz w:val="20"/>
                <w:u w:val="none"/>
              </w:rPr>
              <w:t>Mixed-BMI</w:t>
            </w:r>
          </w:p>
        </w:tc>
        <w:tc>
          <w:tcPr>
            <w:tcW w:type="dxa" w:w="1134"/>
          </w:tcPr>
          <w:p>
            <w:pPr>
              <w:spacing w:before="40" w:after="40" w:line="240" w:lineRule="auto"/>
              <w:jc w:val="left"/>
            </w:pPr>
            <w:r/>
            <w:r>
              <w:rPr>
                <w:rFonts w:ascii="Times New Roman" w:hAnsi="Times New Roman"/>
                <w:b w:val="0"/>
                <w:i w:val="0"/>
                <w:sz w:val="20"/>
                <w:u w:val="none"/>
              </w:rPr>
              <w:t>Binary</w:t>
            </w:r>
          </w:p>
        </w:tc>
        <w:tc>
          <w:tcPr>
            <w:tcW w:type="dxa" w:w="1134"/>
          </w:tcPr>
          <w:p>
            <w:pPr>
              <w:spacing w:before="40" w:after="40" w:line="240" w:lineRule="auto"/>
              <w:jc w:val="left"/>
            </w:pPr>
            <w:r/>
            <w:r>
              <w:rPr>
                <w:rFonts w:ascii="Times New Roman" w:hAnsi="Times New Roman"/>
                <w:b w:val="0"/>
                <w:i w:val="0"/>
                <w:sz w:val="20"/>
                <w:u w:val="none"/>
              </w:rPr>
              <w:t>Train-Test</w:t>
            </w:r>
          </w:p>
        </w:tc>
        <w:tc>
          <w:tcPr>
            <w:tcW w:type="dxa" w:w="1134"/>
          </w:tcPr>
          <w:p>
            <w:pPr>
              <w:spacing w:before="40" w:after="40" w:line="240" w:lineRule="auto"/>
              <w:jc w:val="left"/>
            </w:pPr>
            <w:r/>
            <w:r>
              <w:rPr>
                <w:rFonts w:ascii="Times New Roman" w:hAnsi="Times New Roman"/>
                <w:b w:val="0"/>
                <w:i w:val="0"/>
                <w:sz w:val="20"/>
                <w:u w:val="none"/>
              </w:rPr>
              <w:t>None</w:t>
            </w:r>
          </w:p>
        </w:tc>
      </w:tr>
      <w:tr>
        <w:tc>
          <w:tcPr>
            <w:tcW w:type="dxa" w:w="1134"/>
          </w:tcPr>
          <w:p>
            <w:pPr>
              <w:spacing w:before="40" w:after="40" w:line="240" w:lineRule="auto"/>
              <w:jc w:val="left"/>
            </w:pPr>
            <w:r/>
            <w:r>
              <w:rPr>
                <w:rFonts w:ascii="Times New Roman" w:hAnsi="Times New Roman"/>
                <w:b w:val="0"/>
                <w:i w:val="0"/>
                <w:sz w:val="20"/>
                <w:u w:val="none"/>
              </w:rPr>
              <w:t>Lee et al. (Nat. Med.)</w:t>
            </w:r>
          </w:p>
        </w:tc>
        <w:tc>
          <w:tcPr>
            <w:tcW w:type="dxa" w:w="1134"/>
          </w:tcPr>
          <w:p>
            <w:pPr>
              <w:spacing w:before="40" w:after="40" w:line="240" w:lineRule="auto"/>
              <w:jc w:val="left"/>
            </w:pPr>
            <w:r/>
            <w:r>
              <w:rPr>
                <w:rFonts w:ascii="Times New Roman" w:hAnsi="Times New Roman"/>
                <w:b w:val="0"/>
                <w:i w:val="0"/>
                <w:sz w:val="20"/>
                <w:u w:val="none"/>
              </w:rPr>
              <w:t>2024</w:t>
            </w:r>
          </w:p>
        </w:tc>
        <w:tc>
          <w:tcPr>
            <w:tcW w:type="dxa" w:w="1134"/>
          </w:tcPr>
          <w:p>
            <w:pPr>
              <w:spacing w:before="40" w:after="40" w:line="240" w:lineRule="auto"/>
              <w:jc w:val="left"/>
            </w:pPr>
            <w:r/>
            <w:r>
              <w:rPr>
                <w:rFonts w:ascii="Times New Roman" w:hAnsi="Times New Roman"/>
                <w:b w:val="0"/>
                <w:i w:val="0"/>
                <w:sz w:val="20"/>
                <w:u w:val="none"/>
              </w:rPr>
              <w:t>K-means</w:t>
            </w:r>
          </w:p>
        </w:tc>
        <w:tc>
          <w:tcPr>
            <w:tcW w:type="dxa" w:w="1134"/>
          </w:tcPr>
          <w:p>
            <w:pPr>
              <w:spacing w:before="40" w:after="40" w:line="240" w:lineRule="auto"/>
              <w:jc w:val="left"/>
            </w:pPr>
            <w:r/>
            <w:r>
              <w:rPr>
                <w:rFonts w:ascii="Times New Roman" w:hAnsi="Times New Roman"/>
                <w:b w:val="0"/>
                <w:i w:val="0"/>
                <w:sz w:val="20"/>
                <w:u w:val="none"/>
              </w:rPr>
              <w:t>Obese-majority</w:t>
            </w:r>
          </w:p>
        </w:tc>
        <w:tc>
          <w:tcPr>
            <w:tcW w:type="dxa" w:w="1134"/>
          </w:tcPr>
          <w:p>
            <w:pPr>
              <w:spacing w:before="40" w:after="40" w:line="240" w:lineRule="auto"/>
              <w:jc w:val="left"/>
            </w:pPr>
            <w:r/>
            <w:r>
              <w:rPr>
                <w:rFonts w:ascii="Times New Roman" w:hAnsi="Times New Roman"/>
                <w:b w:val="0"/>
                <w:i w:val="0"/>
                <w:sz w:val="20"/>
                <w:u w:val="none"/>
              </w:rPr>
              <w:t>Discrete clusters</w:t>
            </w:r>
          </w:p>
        </w:tc>
        <w:tc>
          <w:tcPr>
            <w:tcW w:type="dxa" w:w="1134"/>
          </w:tcPr>
          <w:p>
            <w:pPr>
              <w:spacing w:before="40" w:after="40" w:line="240" w:lineRule="auto"/>
              <w:jc w:val="left"/>
            </w:pPr>
            <w:r/>
            <w:r>
              <w:rPr>
                <w:rFonts w:ascii="Times New Roman" w:hAnsi="Times New Roman"/>
                <w:b w:val="0"/>
                <w:i w:val="0"/>
                <w:sz w:val="20"/>
                <w:u w:val="none"/>
              </w:rPr>
              <w:t>Liver biopsy</w:t>
            </w:r>
          </w:p>
        </w:tc>
        <w:tc>
          <w:tcPr>
            <w:tcW w:type="dxa" w:w="1134"/>
          </w:tcPr>
          <w:p>
            <w:pPr>
              <w:spacing w:before="40" w:after="40" w:line="240" w:lineRule="auto"/>
              <w:jc w:val="left"/>
            </w:pPr>
            <w:r/>
            <w:r>
              <w:rPr>
                <w:rFonts w:ascii="Times New Roman" w:hAnsi="Times New Roman"/>
                <w:b w:val="0"/>
                <w:i w:val="0"/>
                <w:sz w:val="20"/>
                <w:u w:val="none"/>
              </w:rPr>
              <w:t>None</w:t>
            </w:r>
          </w:p>
        </w:tc>
      </w:tr>
      <w:tr>
        <w:tc>
          <w:tcPr>
            <w:tcW w:type="dxa" w:w="1134"/>
          </w:tcPr>
          <w:p>
            <w:pPr>
              <w:spacing w:before="40" w:after="40" w:line="240" w:lineRule="auto"/>
              <w:jc w:val="left"/>
            </w:pPr>
            <w:r/>
            <w:r>
              <w:rPr>
                <w:rFonts w:ascii="Times New Roman" w:hAnsi="Times New Roman"/>
                <w:b w:val="0"/>
                <w:i w:val="0"/>
                <w:sz w:val="20"/>
                <w:u w:val="none"/>
              </w:rPr>
              <w:t>SENA-delta VAE</w:t>
            </w:r>
          </w:p>
        </w:tc>
        <w:tc>
          <w:tcPr>
            <w:tcW w:type="dxa" w:w="1134"/>
          </w:tcPr>
          <w:p>
            <w:pPr>
              <w:spacing w:before="40" w:after="40" w:line="240" w:lineRule="auto"/>
              <w:jc w:val="left"/>
            </w:pPr>
            <w:r/>
            <w:r>
              <w:rPr>
                <w:rFonts w:ascii="Times New Roman" w:hAnsi="Times New Roman"/>
                <w:b w:val="0"/>
                <w:i w:val="0"/>
                <w:sz w:val="20"/>
                <w:u w:val="none"/>
              </w:rPr>
              <w:t>2025</w:t>
            </w:r>
          </w:p>
        </w:tc>
        <w:tc>
          <w:tcPr>
            <w:tcW w:type="dxa" w:w="1134"/>
          </w:tcPr>
          <w:p>
            <w:pPr>
              <w:spacing w:before="40" w:after="40" w:line="240" w:lineRule="auto"/>
              <w:jc w:val="left"/>
            </w:pPr>
            <w:r/>
            <w:r>
              <w:rPr>
                <w:rFonts w:ascii="Times New Roman" w:hAnsi="Times New Roman"/>
                <w:b w:val="0"/>
                <w:i w:val="0"/>
                <w:sz w:val="20"/>
                <w:u w:val="none"/>
              </w:rPr>
              <w:t>Causal VAE</w:t>
            </w:r>
          </w:p>
        </w:tc>
        <w:tc>
          <w:tcPr>
            <w:tcW w:type="dxa" w:w="1134"/>
          </w:tcPr>
          <w:p>
            <w:pPr>
              <w:spacing w:before="40" w:after="40" w:line="240" w:lineRule="auto"/>
              <w:jc w:val="left"/>
            </w:pPr>
            <w:r/>
            <w:r>
              <w:rPr>
                <w:rFonts w:ascii="Times New Roman" w:hAnsi="Times New Roman"/>
                <w:b w:val="0"/>
                <w:i w:val="0"/>
                <w:sz w:val="20"/>
                <w:u w:val="none"/>
              </w:rPr>
              <w:t>Genetic perturbation</w:t>
            </w:r>
          </w:p>
        </w:tc>
        <w:tc>
          <w:tcPr>
            <w:tcW w:type="dxa" w:w="1134"/>
          </w:tcPr>
          <w:p>
            <w:pPr>
              <w:spacing w:before="40" w:after="40" w:line="240" w:lineRule="auto"/>
              <w:jc w:val="left"/>
            </w:pPr>
            <w:r/>
            <w:r>
              <w:rPr>
                <w:rFonts w:ascii="Times New Roman" w:hAnsi="Times New Roman"/>
                <w:b w:val="0"/>
                <w:i w:val="0"/>
                <w:sz w:val="20"/>
                <w:u w:val="none"/>
              </w:rPr>
              <w:t>Unanchored</w:t>
            </w:r>
          </w:p>
        </w:tc>
        <w:tc>
          <w:tcPr>
            <w:tcW w:type="dxa" w:w="1134"/>
          </w:tcPr>
          <w:p>
            <w:pPr>
              <w:spacing w:before="40" w:after="40" w:line="240" w:lineRule="auto"/>
              <w:jc w:val="left"/>
            </w:pPr>
            <w:r/>
            <w:r>
              <w:rPr>
                <w:rFonts w:ascii="Times New Roman" w:hAnsi="Times New Roman"/>
                <w:b w:val="0"/>
                <w:i w:val="0"/>
                <w:sz w:val="20"/>
                <w:u w:val="none"/>
              </w:rPr>
              <w:t>In-vitro</w:t>
            </w:r>
          </w:p>
        </w:tc>
        <w:tc>
          <w:tcPr>
            <w:tcW w:type="dxa" w:w="1134"/>
          </w:tcPr>
          <w:p>
            <w:pPr>
              <w:spacing w:before="40" w:after="40" w:line="240" w:lineRule="auto"/>
              <w:jc w:val="left"/>
            </w:pPr>
            <w:r/>
            <w:r>
              <w:rPr>
                <w:rFonts w:ascii="Times New Roman" w:hAnsi="Times New Roman"/>
                <w:b w:val="0"/>
                <w:i w:val="0"/>
                <w:sz w:val="20"/>
                <w:u w:val="none"/>
              </w:rPr>
              <w:t>None</w:t>
            </w:r>
          </w:p>
        </w:tc>
      </w:tr>
      <w:tr>
        <w:tc>
          <w:tcPr>
            <w:tcW w:type="dxa" w:w="1134"/>
          </w:tcPr>
          <w:p>
            <w:pPr>
              <w:spacing w:before="40" w:after="40" w:line="240" w:lineRule="auto"/>
              <w:jc w:val="left"/>
            </w:pPr>
            <w:r/>
            <w:r>
              <w:rPr>
                <w:rFonts w:ascii="Times New Roman" w:hAnsi="Times New Roman"/>
                <w:b w:val="0"/>
                <w:i w:val="0"/>
                <w:sz w:val="20"/>
                <w:u w:val="none"/>
              </w:rPr>
              <w:t>LMSIS (This work)</w:t>
            </w:r>
          </w:p>
        </w:tc>
        <w:tc>
          <w:tcPr>
            <w:tcW w:type="dxa" w:w="1134"/>
          </w:tcPr>
          <w:p>
            <w:pPr>
              <w:spacing w:before="40" w:after="40" w:line="240" w:lineRule="auto"/>
              <w:jc w:val="left"/>
            </w:pPr>
            <w:r/>
            <w:r>
              <w:rPr>
                <w:rFonts w:ascii="Times New Roman" w:hAnsi="Times New Roman"/>
                <w:b w:val="0"/>
                <w:i w:val="0"/>
                <w:sz w:val="20"/>
                <w:u w:val="none"/>
              </w:rPr>
              <w:t>2026</w:t>
            </w:r>
          </w:p>
        </w:tc>
        <w:tc>
          <w:tcPr>
            <w:tcW w:type="dxa" w:w="1134"/>
          </w:tcPr>
          <w:p>
            <w:pPr>
              <w:spacing w:before="40" w:after="40" w:line="240" w:lineRule="auto"/>
              <w:jc w:val="left"/>
            </w:pPr>
            <w:r/>
            <w:r>
              <w:rPr>
                <w:rFonts w:ascii="Times New Roman" w:hAnsi="Times New Roman"/>
                <w:b w:val="0"/>
                <w:i w:val="0"/>
                <w:sz w:val="20"/>
                <w:u w:val="none"/>
              </w:rPr>
              <w:t>DA-SS-iVAE</w:t>
            </w:r>
          </w:p>
        </w:tc>
        <w:tc>
          <w:tcPr>
            <w:tcW w:type="dxa" w:w="1134"/>
          </w:tcPr>
          <w:p>
            <w:pPr>
              <w:spacing w:before="40" w:after="40" w:line="240" w:lineRule="auto"/>
              <w:jc w:val="left"/>
            </w:pPr>
            <w:r/>
            <w:r>
              <w:rPr>
                <w:rFonts w:ascii="Times New Roman" w:hAnsi="Times New Roman"/>
                <w:b w:val="0"/>
                <w:i w:val="0"/>
                <w:sz w:val="20"/>
                <w:u w:val="none"/>
              </w:rPr>
              <w:t>Normal-BMI specific</w:t>
            </w:r>
          </w:p>
        </w:tc>
        <w:tc>
          <w:tcPr>
            <w:tcW w:type="dxa" w:w="1134"/>
          </w:tcPr>
          <w:p>
            <w:pPr>
              <w:spacing w:before="40" w:after="40" w:line="240" w:lineRule="auto"/>
              <w:jc w:val="left"/>
            </w:pPr>
            <w:r/>
            <w:r>
              <w:rPr>
                <w:rFonts w:ascii="Times New Roman" w:hAnsi="Times New Roman"/>
                <w:b w:val="0"/>
                <w:i w:val="0"/>
                <w:sz w:val="20"/>
                <w:u w:val="none"/>
              </w:rPr>
              <w:t>Continuous 2D anchored</w:t>
            </w:r>
          </w:p>
        </w:tc>
        <w:tc>
          <w:tcPr>
            <w:tcW w:type="dxa" w:w="1134"/>
          </w:tcPr>
          <w:p>
            <w:pPr>
              <w:spacing w:before="40" w:after="40" w:line="240" w:lineRule="auto"/>
              <w:jc w:val="left"/>
            </w:pPr>
            <w:r/>
            <w:r>
              <w:rPr>
                <w:rFonts w:ascii="Times New Roman" w:hAnsi="Times New Roman"/>
                <w:b w:val="0"/>
                <w:i w:val="0"/>
                <w:sz w:val="20"/>
                <w:u w:val="none"/>
              </w:rPr>
              <w:t>OOD temporal + VCTE</w:t>
            </w:r>
          </w:p>
        </w:tc>
        <w:tc>
          <w:tcPr>
            <w:tcW w:type="dxa" w:w="1134"/>
          </w:tcPr>
          <w:p>
            <w:pPr>
              <w:spacing w:before="40" w:after="40" w:line="240" w:lineRule="auto"/>
              <w:jc w:val="left"/>
            </w:pPr>
            <w:r/>
            <w:r>
              <w:rPr>
                <w:rFonts w:ascii="Times New Roman" w:hAnsi="Times New Roman"/>
                <w:b w:val="0"/>
                <w:i w:val="0"/>
                <w:sz w:val="20"/>
                <w:u w:val="none"/>
              </w:rPr>
              <w:t>Mondrian &gt;=90%</w:t>
            </w:r>
          </w:p>
        </w:tc>
      </w:tr>
    </w:tbl>
    <w:p>
      <w:pPr>
        <w:keepNext w:val="0"/>
        <w:spacing w:before="0" w:after="200" w:line="360" w:lineRule="auto"/>
        <w:jc w:val="both"/>
      </w:pPr>
    </w:p>
    <w:p>
      <w:pPr>
        <w:keepNext/>
        <w:spacing w:before="360" w:after="120" w:line="360" w:lineRule="auto"/>
        <w:jc w:val="left"/>
      </w:pPr>
      <w:r>
        <w:rPr>
          <w:rFonts w:ascii="Times New Roman" w:hAnsi="Times New Roman"/>
          <w:b/>
          <w:i w:val="0"/>
          <w:sz w:val="24"/>
          <w:u w:val="single"/>
        </w:rPr>
        <w:t>2.4   Literature Review Methodology</w:t>
      </w:r>
    </w:p>
    <w:p>
      <w:pPr>
        <w:keepNext w:val="0"/>
        <w:spacing w:before="0" w:after="120" w:line="360" w:lineRule="auto"/>
        <w:jc w:val="both"/>
      </w:pPr>
      <w:r>
        <w:rPr>
          <w:rFonts w:ascii="Times New Roman" w:hAnsi="Times New Roman"/>
          <w:b w:val="0"/>
          <w:i w:val="0"/>
          <w:sz w:val="24"/>
          <w:u w:val="none"/>
        </w:rPr>
        <w:t>This review employs a narrative synthesis approach. The search strategy targeted: clinical ML for MASLD/NAFLD screening (2019-2026), identifiable latent variable models (iVAE, nonlinear ICA), conformal prediction in healthcare, and NHANES-based metabolic inference studies. Inclusion criteria: peer-reviewed publications or high-quality preprints with publicly described methodology, validation on human biomarker data, and relevance to metabolic phenotyping.</w:t>
      </w:r>
    </w:p>
    <w:p>
      <w:pPr>
        <w:keepNext/>
        <w:spacing w:before="360" w:after="120" w:line="360" w:lineRule="auto"/>
        <w:jc w:val="left"/>
      </w:pPr>
      <w:r>
        <w:rPr>
          <w:rFonts w:ascii="Times New Roman" w:hAnsi="Times New Roman"/>
          <w:b/>
          <w:i w:val="0"/>
          <w:sz w:val="24"/>
          <w:u w:val="single"/>
        </w:rPr>
        <w:t>2.5   Limitations of Existing Work</w:t>
      </w:r>
    </w:p>
    <w:p>
      <w:pPr>
        <w:keepNext w:val="0"/>
        <w:spacing w:before="0" w:after="80" w:line="360" w:lineRule="auto"/>
        <w:ind w:left="850" w:hanging="850"/>
        <w:jc w:val="both"/>
      </w:pPr>
      <w:r>
        <w:rPr>
          <w:rFonts w:ascii="Times New Roman" w:hAnsi="Times New Roman"/>
          <w:b/>
          <w:i w:val="0"/>
          <w:sz w:val="24"/>
          <w:u w:val="none"/>
        </w:rPr>
        <w:t>1.</w:t>
        <w:tab/>
      </w:r>
      <w:r>
        <w:rPr>
          <w:rFonts w:ascii="Times New Roman" w:hAnsi="Times New Roman"/>
          <w:b/>
          <w:i w:val="0"/>
          <w:sz w:val="24"/>
          <w:u w:val="none"/>
        </w:rPr>
        <w:t xml:space="preserve">Mixed-BMI Calibration Bias: </w:t>
      </w:r>
      <w:r>
        <w:rPr>
          <w:rFonts w:ascii="Times New Roman" w:hAnsi="Times New Roman"/>
          <w:b w:val="0"/>
          <w:i w:val="0"/>
          <w:sz w:val="24"/>
          <w:u w:val="none"/>
        </w:rPr>
        <w:t>All existing indices and classifiers are calibrated on cohorts where BMI spans the full range. Their performance in restricted normal-BMI subgroups is either unreported or degraded.</w:t>
      </w:r>
    </w:p>
    <w:p>
      <w:pPr>
        <w:keepNext w:val="0"/>
        <w:spacing w:before="0" w:after="80" w:line="360" w:lineRule="auto"/>
        <w:ind w:left="850" w:hanging="850"/>
        <w:jc w:val="both"/>
      </w:pPr>
      <w:r>
        <w:rPr>
          <w:rFonts w:ascii="Times New Roman" w:hAnsi="Times New Roman"/>
          <w:b/>
          <w:i w:val="0"/>
          <w:sz w:val="24"/>
          <w:u w:val="none"/>
        </w:rPr>
        <w:t>2.</w:t>
        <w:tab/>
      </w:r>
      <w:r>
        <w:rPr>
          <w:rFonts w:ascii="Times New Roman" w:hAnsi="Times New Roman"/>
          <w:b/>
          <w:i w:val="0"/>
          <w:sz w:val="24"/>
          <w:u w:val="none"/>
        </w:rPr>
        <w:t xml:space="preserve">Unanchored Latent Spaces: </w:t>
      </w:r>
      <w:r>
        <w:rPr>
          <w:rFonts w:ascii="Times New Roman" w:hAnsi="Times New Roman"/>
          <w:b w:val="0"/>
          <w:i w:val="0"/>
          <w:sz w:val="24"/>
          <w:u w:val="none"/>
        </w:rPr>
        <w:t>VAE-based approaches in clinical ML do not assign biological meaning to latent axes.</w:t>
      </w:r>
    </w:p>
    <w:p>
      <w:pPr>
        <w:keepNext w:val="0"/>
        <w:spacing w:before="0" w:after="80" w:line="360" w:lineRule="auto"/>
        <w:ind w:left="850" w:hanging="850"/>
        <w:jc w:val="both"/>
      </w:pPr>
      <w:r>
        <w:rPr>
          <w:rFonts w:ascii="Times New Roman" w:hAnsi="Times New Roman"/>
          <w:b/>
          <w:i w:val="0"/>
          <w:sz w:val="24"/>
          <w:u w:val="none"/>
        </w:rPr>
        <w:t>3.</w:t>
        <w:tab/>
      </w:r>
      <w:r>
        <w:rPr>
          <w:rFonts w:ascii="Times New Roman" w:hAnsi="Times New Roman"/>
          <w:b/>
          <w:i w:val="0"/>
          <w:sz w:val="24"/>
          <w:u w:val="none"/>
        </w:rPr>
        <w:t xml:space="preserve">Absence of Subgroup Coverage Properties: </w:t>
      </w:r>
      <w:r>
        <w:rPr>
          <w:rFonts w:ascii="Times New Roman" w:hAnsi="Times New Roman"/>
          <w:b w:val="0"/>
          <w:i w:val="0"/>
          <w:sz w:val="24"/>
          <w:u w:val="none"/>
        </w:rPr>
        <w:t>No identified metabolic phenotyping system implements subgroup-conditional conformal calibration.</w:t>
      </w:r>
    </w:p>
    <w:p>
      <w:pPr>
        <w:keepNext w:val="0"/>
        <w:spacing w:before="0" w:after="80" w:line="360" w:lineRule="auto"/>
        <w:ind w:left="850" w:hanging="850"/>
        <w:jc w:val="both"/>
      </w:pPr>
      <w:r>
        <w:rPr>
          <w:rFonts w:ascii="Times New Roman" w:hAnsi="Times New Roman"/>
          <w:b/>
          <w:i w:val="0"/>
          <w:sz w:val="24"/>
          <w:u w:val="none"/>
        </w:rPr>
        <w:t>4.</w:t>
        <w:tab/>
      </w:r>
      <w:r>
        <w:rPr>
          <w:rFonts w:ascii="Times New Roman" w:hAnsi="Times New Roman"/>
          <w:b/>
          <w:i w:val="0"/>
          <w:sz w:val="24"/>
          <w:u w:val="none"/>
        </w:rPr>
        <w:t xml:space="preserve">Opacity of Decoder Mappings: </w:t>
      </w:r>
      <w:r>
        <w:rPr>
          <w:rFonts w:ascii="Times New Roman" w:hAnsi="Times New Roman"/>
          <w:b w:val="0"/>
          <w:i w:val="0"/>
          <w:sz w:val="24"/>
          <w:u w:val="none"/>
        </w:rPr>
        <w:t>Even when deep models are accurate, their internal biomarker-latent relationships remain hidden.</w:t>
      </w:r>
    </w:p>
    <w:p>
      <w:pPr>
        <w:keepNext w:val="0"/>
        <w:spacing w:before="0" w:after="80" w:line="360" w:lineRule="auto"/>
        <w:ind w:left="850" w:hanging="850"/>
        <w:jc w:val="both"/>
      </w:pPr>
      <w:r>
        <w:rPr>
          <w:rFonts w:ascii="Times New Roman" w:hAnsi="Times New Roman"/>
          <w:b/>
          <w:i w:val="0"/>
          <w:sz w:val="24"/>
          <w:u w:val="none"/>
        </w:rPr>
        <w:t>5.</w:t>
        <w:tab/>
      </w:r>
      <w:r>
        <w:rPr>
          <w:rFonts w:ascii="Times New Roman" w:hAnsi="Times New Roman"/>
          <w:b/>
          <w:i w:val="0"/>
          <w:sz w:val="24"/>
          <w:u w:val="none"/>
        </w:rPr>
        <w:t xml:space="preserve">Narrow Technical Scope: </w:t>
      </w:r>
      <w:r>
        <w:rPr>
          <w:rFonts w:ascii="Times New Roman" w:hAnsi="Times New Roman"/>
          <w:b w:val="0"/>
          <w:i w:val="0"/>
          <w:sz w:val="24"/>
          <w:u w:val="none"/>
        </w:rPr>
        <w:t>Existing works are either pure ML methods papers without system engineering, or pure software systems without methodological novelty.</w:t>
      </w:r>
    </w:p>
    <w:p>
      <w:pPr>
        <w:keepNext/>
        <w:spacing w:before="360" w:after="120" w:line="360" w:lineRule="auto"/>
        <w:jc w:val="left"/>
      </w:pPr>
      <w:r>
        <w:rPr>
          <w:rFonts w:ascii="Times New Roman" w:hAnsi="Times New Roman"/>
          <w:b/>
          <w:i w:val="0"/>
          <w:sz w:val="24"/>
          <w:u w:val="single"/>
        </w:rPr>
        <w:t>2.6   Comparative Framework</w:t>
      </w:r>
    </w:p>
    <w:p>
      <w:pPr>
        <w:keepNext w:val="0"/>
        <w:spacing w:before="0" w:after="120" w:line="360" w:lineRule="auto"/>
        <w:jc w:val="both"/>
      </w:pPr>
      <w:r>
        <w:rPr>
          <w:rFonts w:ascii="Times New Roman" w:hAnsi="Times New Roman"/>
          <w:b w:val="0"/>
          <w:i w:val="0"/>
          <w:sz w:val="24"/>
          <w:u w:val="none"/>
        </w:rPr>
        <w:t>This section provides a comparative analysis of existing metabolic screening methods and the proposed LMSIS pipeline across three dimensions: Predictive Validity (correlation with reference-standard biomarkers in normal-BMI cohorts), Interpretability (whether the model provides biologically meaningful latent coordinates), and Safety (whether the model provides subgroup-conditional uncertainty coverage).</w:t>
      </w:r>
    </w:p>
    <w:p>
      <w:pPr>
        <w:keepNext/>
        <w:spacing w:before="360" w:after="120" w:line="360" w:lineRule="auto"/>
        <w:jc w:val="left"/>
      </w:pPr>
      <w:r>
        <w:rPr>
          <w:rFonts w:ascii="Times New Roman" w:hAnsi="Times New Roman"/>
          <w:b/>
          <w:i w:val="0"/>
          <w:sz w:val="24"/>
          <w:u w:val="single"/>
        </w:rPr>
        <w:t>2.7   Analysis of Clinical Scoring Indices in Normal-BMI Cohorts</w:t>
      </w:r>
    </w:p>
    <w:p>
      <w:pPr>
        <w:keepNext/>
        <w:spacing w:before="240" w:after="80" w:line="360" w:lineRule="auto"/>
        <w:jc w:val="left"/>
      </w:pPr>
      <w:r>
        <w:rPr>
          <w:rFonts w:ascii="Times New Roman" w:hAnsi="Times New Roman"/>
          <w:b/>
          <w:i w:val="0"/>
          <w:sz w:val="24"/>
          <w:u w:val="single"/>
        </w:rPr>
        <w:t>2.7.1   HSI Discriminative Collapse</w:t>
      </w:r>
    </w:p>
    <w:p>
      <w:pPr>
        <w:keepNext w:val="0"/>
        <w:spacing w:before="0" w:after="120" w:line="360" w:lineRule="auto"/>
        <w:jc w:val="both"/>
      </w:pPr>
      <w:r>
        <w:rPr>
          <w:rFonts w:ascii="Times New Roman" w:hAnsi="Times New Roman"/>
          <w:b w:val="0"/>
          <w:i w:val="0"/>
          <w:sz w:val="24"/>
          <w:u w:val="none"/>
        </w:rPr>
        <w:t>The Hepatic Steatosis Index is defined as: HSI = 8 x (ALT/AST) + BMI + (sex/diabetes adjustment terms). In mixed-BMI cohorts, BMI contributes approximately 45.6% of the discriminative variance. In a normal-BMI cohort, the BMI term is near-invariant (SD ~1.4 kg/m2). The Discriminative Contribution Ratio (DCR) of BMI is reduced to approximately 5.6%, yielding a Spearman correlation of rho = 0.111 (training) and rho = 0.092 (OOD) against CAP -- near-random performance.</w:t>
      </w:r>
    </w:p>
    <w:p>
      <w:pPr>
        <w:keepNext/>
        <w:spacing w:before="240" w:after="80" w:line="360" w:lineRule="auto"/>
        <w:jc w:val="left"/>
      </w:pPr>
      <w:r>
        <w:rPr>
          <w:rFonts w:ascii="Times New Roman" w:hAnsi="Times New Roman"/>
          <w:b/>
          <w:i w:val="0"/>
          <w:sz w:val="24"/>
          <w:u w:val="single"/>
        </w:rPr>
        <w:t>2.7.2   NAFLD-LFS Risk Ranking Inversion</w:t>
      </w:r>
    </w:p>
    <w:p>
      <w:pPr>
        <w:keepNext w:val="0"/>
        <w:spacing w:before="0" w:after="120" w:line="360" w:lineRule="auto"/>
        <w:jc w:val="both"/>
      </w:pPr>
      <w:r>
        <w:rPr>
          <w:rFonts w:ascii="Times New Roman" w:hAnsi="Times New Roman"/>
          <w:b w:val="0"/>
          <w:i w:val="0"/>
          <w:sz w:val="24"/>
          <w:u w:val="none"/>
        </w:rPr>
        <w:t>The NAFLD Liver Fat Score incorporates metabolic syndrome (MetS) criteria as positive predictors. In normal-BMI adults, hepatic steatosis may occur through non-obese pathways that are not captured by MetS criteria. This produces a ranking inversion: rho = -0.069 (training) and rho = -0.051 (OOD).</w:t>
      </w:r>
    </w:p>
    <w:p>
      <w:pPr>
        <w:keepNext/>
        <w:spacing w:before="240" w:after="80" w:line="360" w:lineRule="auto"/>
        <w:jc w:val="left"/>
      </w:pPr>
      <w:r>
        <w:rPr>
          <w:rFonts w:ascii="Times New Roman" w:hAnsi="Times New Roman"/>
          <w:b/>
          <w:i w:val="0"/>
          <w:sz w:val="24"/>
          <w:u w:val="single"/>
        </w:rPr>
        <w:t>2.7.3   FLI and TyG Degradation</w:t>
      </w:r>
    </w:p>
    <w:p>
      <w:pPr>
        <w:keepNext w:val="0"/>
        <w:spacing w:before="0" w:after="120" w:line="360" w:lineRule="auto"/>
        <w:jc w:val="both"/>
      </w:pPr>
      <w:r>
        <w:rPr>
          <w:rFonts w:ascii="Times New Roman" w:hAnsi="Times New Roman"/>
          <w:b w:val="0"/>
          <w:i w:val="0"/>
          <w:sz w:val="24"/>
          <w:u w:val="none"/>
        </w:rPr>
        <w:t>FLI retains some signal from waist circumference and GGT, achieving rho = 0.447 (training) and rho = 0.385 (OOD). TyG achieves rho = 0.358 (training) and rho = 0.312 (OOD). Neither index is designed for normal-BMI specificity.</w:t>
      </w:r>
    </w:p>
    <w:p>
      <w:pPr>
        <w:keepNext/>
        <w:spacing w:before="360" w:after="120" w:line="360" w:lineRule="auto"/>
        <w:jc w:val="left"/>
      </w:pPr>
      <w:r>
        <w:rPr>
          <w:rFonts w:ascii="Times New Roman" w:hAnsi="Times New Roman"/>
          <w:b/>
          <w:i w:val="0"/>
          <w:sz w:val="24"/>
          <w:u w:val="single"/>
        </w:rPr>
        <w:t>2.8   Machine Learning Method Comparison</w:t>
      </w:r>
    </w:p>
    <w:p>
      <w:pPr>
        <w:keepNext/>
        <w:spacing w:before="240" w:after="80" w:line="240" w:lineRule="auto"/>
        <w:jc w:val="center"/>
      </w:pPr>
      <w:r>
        <w:rPr>
          <w:rFonts w:ascii="Times New Roman" w:hAnsi="Times New Roman"/>
          <w:b/>
          <w:i w:val="0"/>
          <w:sz w:val="20"/>
          <w:u w:val="none"/>
        </w:rPr>
        <w:t>Table 2: Steatosis prediction performance in normal-BMI cohort</w:t>
      </w:r>
    </w:p>
    <w:tbl>
      <w:tblPr>
        <w:tblStyle w:val="TableGrid"/>
        <w:tblW w:type="auto" w:w="0"/>
        <w:tblLook w:firstColumn="1" w:firstRow="1" w:lastColumn="0" w:lastRow="0" w:noHBand="0" w:noVBand="1" w:val="04A0"/>
      </w:tblPr>
      <w:tblGrid>
        <w:gridCol w:w="1323"/>
        <w:gridCol w:w="1323"/>
        <w:gridCol w:w="1323"/>
        <w:gridCol w:w="1323"/>
        <w:gridCol w:w="1323"/>
        <w:gridCol w:w="1323"/>
      </w:tblGrid>
      <w:tr>
        <w:tc>
          <w:tcPr>
            <w:tcW w:type="dxa" w:w="1323"/>
          </w:tcPr>
          <w:p>
            <w:pPr>
              <w:spacing w:before="40" w:after="40" w:line="240" w:lineRule="auto"/>
              <w:jc w:val="center"/>
            </w:pPr>
            <w:r/>
            <w:r>
              <w:rPr>
                <w:rFonts w:ascii="Times New Roman" w:hAnsi="Times New Roman"/>
                <w:b/>
                <w:i w:val="0"/>
                <w:sz w:val="20"/>
                <w:u w:val="none"/>
              </w:rPr>
              <w:t>Model / Index</w:t>
            </w:r>
          </w:p>
        </w:tc>
        <w:tc>
          <w:tcPr>
            <w:tcW w:type="dxa" w:w="1323"/>
          </w:tcPr>
          <w:p>
            <w:pPr>
              <w:spacing w:before="40" w:after="40" w:line="240" w:lineRule="auto"/>
              <w:jc w:val="center"/>
            </w:pPr>
            <w:r/>
            <w:r>
              <w:rPr>
                <w:rFonts w:ascii="Times New Roman" w:hAnsi="Times New Roman"/>
                <w:b/>
                <w:i w:val="0"/>
                <w:sz w:val="20"/>
                <w:u w:val="none"/>
              </w:rPr>
              <w:t>Spearman rho (J-Cycle)</w:t>
            </w:r>
          </w:p>
        </w:tc>
        <w:tc>
          <w:tcPr>
            <w:tcW w:type="dxa" w:w="1323"/>
          </w:tcPr>
          <w:p>
            <w:pPr>
              <w:spacing w:before="40" w:after="40" w:line="240" w:lineRule="auto"/>
              <w:jc w:val="center"/>
            </w:pPr>
            <w:r/>
            <w:r>
              <w:rPr>
                <w:rFonts w:ascii="Times New Roman" w:hAnsi="Times New Roman"/>
                <w:b/>
                <w:i w:val="0"/>
                <w:sz w:val="20"/>
                <w:u w:val="none"/>
              </w:rPr>
              <w:t>Spearman rho (P-Cycle OOD)</w:t>
            </w:r>
          </w:p>
        </w:tc>
        <w:tc>
          <w:tcPr>
            <w:tcW w:type="dxa" w:w="1323"/>
          </w:tcPr>
          <w:p>
            <w:pPr>
              <w:spacing w:before="40" w:after="40" w:line="240" w:lineRule="auto"/>
              <w:jc w:val="center"/>
            </w:pPr>
            <w:r/>
            <w:r>
              <w:rPr>
                <w:rFonts w:ascii="Times New Roman" w:hAnsi="Times New Roman"/>
                <w:b/>
                <w:i w:val="0"/>
                <w:sz w:val="20"/>
                <w:u w:val="none"/>
              </w:rPr>
              <w:t>AUROC (&gt;=248)</w:t>
            </w:r>
          </w:p>
        </w:tc>
        <w:tc>
          <w:tcPr>
            <w:tcW w:type="dxa" w:w="1323"/>
          </w:tcPr>
          <w:p>
            <w:pPr>
              <w:spacing w:before="40" w:after="40" w:line="240" w:lineRule="auto"/>
              <w:jc w:val="center"/>
            </w:pPr>
            <w:r/>
            <w:r>
              <w:rPr>
                <w:rFonts w:ascii="Times New Roman" w:hAnsi="Times New Roman"/>
                <w:b/>
                <w:i w:val="0"/>
                <w:sz w:val="20"/>
                <w:u w:val="none"/>
              </w:rPr>
              <w:t>AUROC (&gt;=268)</w:t>
            </w:r>
          </w:p>
        </w:tc>
        <w:tc>
          <w:tcPr>
            <w:tcW w:type="dxa" w:w="1323"/>
          </w:tcPr>
          <w:p>
            <w:pPr>
              <w:spacing w:before="40" w:after="40" w:line="240" w:lineRule="auto"/>
              <w:jc w:val="center"/>
            </w:pPr>
            <w:r/>
            <w:r>
              <w:rPr>
                <w:rFonts w:ascii="Times New Roman" w:hAnsi="Times New Roman"/>
                <w:b/>
                <w:i w:val="0"/>
                <w:sz w:val="20"/>
                <w:u w:val="none"/>
              </w:rPr>
              <w:t>Verdict</w:t>
            </w:r>
          </w:p>
        </w:tc>
      </w:tr>
      <w:tr>
        <w:tc>
          <w:tcPr>
            <w:tcW w:type="dxa" w:w="1323"/>
          </w:tcPr>
          <w:p>
            <w:pPr>
              <w:spacing w:before="40" w:after="40" w:line="240" w:lineRule="auto"/>
              <w:jc w:val="left"/>
            </w:pPr>
            <w:r/>
            <w:r>
              <w:rPr>
                <w:rFonts w:ascii="Times New Roman" w:hAnsi="Times New Roman"/>
                <w:b w:val="0"/>
                <w:i w:val="0"/>
                <w:sz w:val="20"/>
                <w:u w:val="none"/>
              </w:rPr>
              <w:t>LMSIS VAE (Z2)</w:t>
            </w:r>
          </w:p>
        </w:tc>
        <w:tc>
          <w:tcPr>
            <w:tcW w:type="dxa" w:w="1323"/>
          </w:tcPr>
          <w:p>
            <w:pPr>
              <w:spacing w:before="40" w:after="40" w:line="240" w:lineRule="auto"/>
              <w:jc w:val="left"/>
            </w:pPr>
            <w:r/>
            <w:r>
              <w:rPr>
                <w:rFonts w:ascii="Times New Roman" w:hAnsi="Times New Roman"/>
                <w:b w:val="0"/>
                <w:i w:val="0"/>
                <w:sz w:val="20"/>
                <w:u w:val="none"/>
              </w:rPr>
              <w:t>0.628</w:t>
            </w:r>
          </w:p>
        </w:tc>
        <w:tc>
          <w:tcPr>
            <w:tcW w:type="dxa" w:w="1323"/>
          </w:tcPr>
          <w:p>
            <w:pPr>
              <w:spacing w:before="40" w:after="40" w:line="240" w:lineRule="auto"/>
              <w:jc w:val="left"/>
            </w:pPr>
            <w:r/>
            <w:r>
              <w:rPr>
                <w:rFonts w:ascii="Times New Roman" w:hAnsi="Times New Roman"/>
                <w:b w:val="0"/>
                <w:i w:val="0"/>
                <w:sz w:val="20"/>
                <w:u w:val="none"/>
              </w:rPr>
              <w:t>0.583</w:t>
            </w:r>
          </w:p>
        </w:tc>
        <w:tc>
          <w:tcPr>
            <w:tcW w:type="dxa" w:w="1323"/>
          </w:tcPr>
          <w:p>
            <w:pPr>
              <w:spacing w:before="40" w:after="40" w:line="240" w:lineRule="auto"/>
              <w:jc w:val="left"/>
            </w:pPr>
            <w:r/>
            <w:r>
              <w:rPr>
                <w:rFonts w:ascii="Times New Roman" w:hAnsi="Times New Roman"/>
                <w:b w:val="0"/>
                <w:i w:val="0"/>
                <w:sz w:val="20"/>
                <w:u w:val="none"/>
              </w:rPr>
              <w:t>0.841</w:t>
            </w:r>
          </w:p>
        </w:tc>
        <w:tc>
          <w:tcPr>
            <w:tcW w:type="dxa" w:w="1323"/>
          </w:tcPr>
          <w:p>
            <w:pPr>
              <w:spacing w:before="40" w:after="40" w:line="240" w:lineRule="auto"/>
              <w:jc w:val="left"/>
            </w:pPr>
            <w:r/>
            <w:r>
              <w:rPr>
                <w:rFonts w:ascii="Times New Roman" w:hAnsi="Times New Roman"/>
                <w:b w:val="0"/>
                <w:i w:val="0"/>
                <w:sz w:val="20"/>
                <w:u w:val="none"/>
              </w:rPr>
              <w:t>0.833</w:t>
            </w:r>
          </w:p>
        </w:tc>
        <w:tc>
          <w:tcPr>
            <w:tcW w:type="dxa" w:w="1323"/>
          </w:tcPr>
          <w:p>
            <w:pPr>
              <w:spacing w:before="40" w:after="40" w:line="240" w:lineRule="auto"/>
              <w:jc w:val="left"/>
            </w:pPr>
            <w:r/>
            <w:r>
              <w:rPr>
                <w:rFonts w:ascii="Times New Roman" w:hAnsi="Times New Roman"/>
                <w:b w:val="0"/>
                <w:i w:val="0"/>
                <w:sz w:val="20"/>
                <w:u w:val="none"/>
              </w:rPr>
              <w:t>Best in normal-BMI cohort</w:t>
            </w:r>
          </w:p>
        </w:tc>
      </w:tr>
      <w:tr>
        <w:tc>
          <w:tcPr>
            <w:tcW w:type="dxa" w:w="1323"/>
          </w:tcPr>
          <w:p>
            <w:pPr>
              <w:spacing w:before="40" w:after="40" w:line="240" w:lineRule="auto"/>
              <w:jc w:val="left"/>
            </w:pPr>
            <w:r/>
            <w:r>
              <w:rPr>
                <w:rFonts w:ascii="Times New Roman" w:hAnsi="Times New Roman"/>
                <w:b w:val="0"/>
                <w:i w:val="0"/>
                <w:sz w:val="20"/>
                <w:u w:val="none"/>
              </w:rPr>
              <w:t>Fatty Liver Index (FLI)</w:t>
            </w:r>
          </w:p>
        </w:tc>
        <w:tc>
          <w:tcPr>
            <w:tcW w:type="dxa" w:w="1323"/>
          </w:tcPr>
          <w:p>
            <w:pPr>
              <w:spacing w:before="40" w:after="40" w:line="240" w:lineRule="auto"/>
              <w:jc w:val="left"/>
            </w:pPr>
            <w:r/>
            <w:r>
              <w:rPr>
                <w:rFonts w:ascii="Times New Roman" w:hAnsi="Times New Roman"/>
                <w:b w:val="0"/>
                <w:i w:val="0"/>
                <w:sz w:val="20"/>
                <w:u w:val="none"/>
              </w:rPr>
              <w:t>0.447</w:t>
            </w:r>
          </w:p>
        </w:tc>
        <w:tc>
          <w:tcPr>
            <w:tcW w:type="dxa" w:w="1323"/>
          </w:tcPr>
          <w:p>
            <w:pPr>
              <w:spacing w:before="40" w:after="40" w:line="240" w:lineRule="auto"/>
              <w:jc w:val="left"/>
            </w:pPr>
            <w:r/>
            <w:r>
              <w:rPr>
                <w:rFonts w:ascii="Times New Roman" w:hAnsi="Times New Roman"/>
                <w:b w:val="0"/>
                <w:i w:val="0"/>
                <w:sz w:val="20"/>
                <w:u w:val="none"/>
              </w:rPr>
              <w:t>0.385</w:t>
            </w:r>
          </w:p>
        </w:tc>
        <w:tc>
          <w:tcPr>
            <w:tcW w:type="dxa" w:w="1323"/>
          </w:tcPr>
          <w:p>
            <w:pPr>
              <w:spacing w:before="40" w:after="40" w:line="240" w:lineRule="auto"/>
              <w:jc w:val="left"/>
            </w:pPr>
            <w:r/>
            <w:r>
              <w:rPr>
                <w:rFonts w:ascii="Times New Roman" w:hAnsi="Times New Roman"/>
                <w:b w:val="0"/>
                <w:i w:val="0"/>
                <w:sz w:val="20"/>
                <w:u w:val="none"/>
              </w:rPr>
              <w:t>0.740</w:t>
            </w:r>
          </w:p>
        </w:tc>
        <w:tc>
          <w:tcPr>
            <w:tcW w:type="dxa" w:w="1323"/>
          </w:tcPr>
          <w:p>
            <w:pPr>
              <w:spacing w:before="40" w:after="40" w:line="240" w:lineRule="auto"/>
              <w:jc w:val="left"/>
            </w:pPr>
            <w:r/>
            <w:r>
              <w:rPr>
                <w:rFonts w:ascii="Times New Roman" w:hAnsi="Times New Roman"/>
                <w:b w:val="0"/>
                <w:i w:val="0"/>
                <w:sz w:val="20"/>
                <w:u w:val="none"/>
              </w:rPr>
              <w:t>0.766</w:t>
            </w:r>
          </w:p>
        </w:tc>
        <w:tc>
          <w:tcPr>
            <w:tcW w:type="dxa" w:w="1323"/>
          </w:tcPr>
          <w:p>
            <w:pPr>
              <w:spacing w:before="40" w:after="40" w:line="240" w:lineRule="auto"/>
              <w:jc w:val="left"/>
            </w:pPr>
            <w:r/>
            <w:r>
              <w:rPr>
                <w:rFonts w:ascii="Times New Roman" w:hAnsi="Times New Roman"/>
                <w:b w:val="0"/>
                <w:i w:val="0"/>
                <w:sz w:val="20"/>
                <w:u w:val="none"/>
              </w:rPr>
              <w:t>Degraded</w:t>
            </w:r>
          </w:p>
        </w:tc>
      </w:tr>
      <w:tr>
        <w:tc>
          <w:tcPr>
            <w:tcW w:type="dxa" w:w="1323"/>
          </w:tcPr>
          <w:p>
            <w:pPr>
              <w:spacing w:before="40" w:after="40" w:line="240" w:lineRule="auto"/>
              <w:jc w:val="left"/>
            </w:pPr>
            <w:r/>
            <w:r>
              <w:rPr>
                <w:rFonts w:ascii="Times New Roman" w:hAnsi="Times New Roman"/>
                <w:b w:val="0"/>
                <w:i w:val="0"/>
                <w:sz w:val="20"/>
                <w:u w:val="none"/>
              </w:rPr>
              <w:t>Triglyceride-Glucose (TyG)</w:t>
            </w:r>
          </w:p>
        </w:tc>
        <w:tc>
          <w:tcPr>
            <w:tcW w:type="dxa" w:w="1323"/>
          </w:tcPr>
          <w:p>
            <w:pPr>
              <w:spacing w:before="40" w:after="40" w:line="240" w:lineRule="auto"/>
              <w:jc w:val="left"/>
            </w:pPr>
            <w:r/>
            <w:r>
              <w:rPr>
                <w:rFonts w:ascii="Times New Roman" w:hAnsi="Times New Roman"/>
                <w:b w:val="0"/>
                <w:i w:val="0"/>
                <w:sz w:val="20"/>
                <w:u w:val="none"/>
              </w:rPr>
              <w:t>0.358</w:t>
            </w:r>
          </w:p>
        </w:tc>
        <w:tc>
          <w:tcPr>
            <w:tcW w:type="dxa" w:w="1323"/>
          </w:tcPr>
          <w:p>
            <w:pPr>
              <w:spacing w:before="40" w:after="40" w:line="240" w:lineRule="auto"/>
              <w:jc w:val="left"/>
            </w:pPr>
            <w:r/>
            <w:r>
              <w:rPr>
                <w:rFonts w:ascii="Times New Roman" w:hAnsi="Times New Roman"/>
                <w:b w:val="0"/>
                <w:i w:val="0"/>
                <w:sz w:val="20"/>
                <w:u w:val="none"/>
              </w:rPr>
              <w:t>0.312</w:t>
            </w:r>
          </w:p>
        </w:tc>
        <w:tc>
          <w:tcPr>
            <w:tcW w:type="dxa" w:w="1323"/>
          </w:tcPr>
          <w:p>
            <w:pPr>
              <w:spacing w:before="40" w:after="40" w:line="240" w:lineRule="auto"/>
              <w:jc w:val="left"/>
            </w:pPr>
            <w:r/>
            <w:r>
              <w:rPr>
                <w:rFonts w:ascii="Times New Roman" w:hAnsi="Times New Roman"/>
                <w:b w:val="0"/>
                <w:i w:val="0"/>
                <w:sz w:val="20"/>
                <w:u w:val="none"/>
              </w:rPr>
              <w:t>0.710</w:t>
            </w:r>
          </w:p>
        </w:tc>
        <w:tc>
          <w:tcPr>
            <w:tcW w:type="dxa" w:w="1323"/>
          </w:tcPr>
          <w:p>
            <w:pPr>
              <w:spacing w:before="40" w:after="40" w:line="240" w:lineRule="auto"/>
              <w:jc w:val="left"/>
            </w:pPr>
            <w:r/>
            <w:r>
              <w:rPr>
                <w:rFonts w:ascii="Times New Roman" w:hAnsi="Times New Roman"/>
                <w:b w:val="0"/>
                <w:i w:val="0"/>
                <w:sz w:val="20"/>
                <w:u w:val="none"/>
              </w:rPr>
              <w:t>0.736</w:t>
            </w:r>
          </w:p>
        </w:tc>
        <w:tc>
          <w:tcPr>
            <w:tcW w:type="dxa" w:w="1323"/>
          </w:tcPr>
          <w:p>
            <w:pPr>
              <w:spacing w:before="40" w:after="40" w:line="240" w:lineRule="auto"/>
              <w:jc w:val="left"/>
            </w:pPr>
            <w:r/>
            <w:r>
              <w:rPr>
                <w:rFonts w:ascii="Times New Roman" w:hAnsi="Times New Roman"/>
                <w:b w:val="0"/>
                <w:i w:val="0"/>
                <w:sz w:val="20"/>
                <w:u w:val="none"/>
              </w:rPr>
              <w:t>Moderate</w:t>
            </w:r>
          </w:p>
        </w:tc>
      </w:tr>
      <w:tr>
        <w:tc>
          <w:tcPr>
            <w:tcW w:type="dxa" w:w="1323"/>
          </w:tcPr>
          <w:p>
            <w:pPr>
              <w:spacing w:before="40" w:after="40" w:line="240" w:lineRule="auto"/>
              <w:jc w:val="left"/>
            </w:pPr>
            <w:r/>
            <w:r>
              <w:rPr>
                <w:rFonts w:ascii="Times New Roman" w:hAnsi="Times New Roman"/>
                <w:b w:val="0"/>
                <w:i w:val="0"/>
                <w:sz w:val="20"/>
                <w:u w:val="none"/>
              </w:rPr>
              <w:t>Hepatic Steatosis Index (HSI)</w:t>
            </w:r>
          </w:p>
        </w:tc>
        <w:tc>
          <w:tcPr>
            <w:tcW w:type="dxa" w:w="1323"/>
          </w:tcPr>
          <w:p>
            <w:pPr>
              <w:spacing w:before="40" w:after="40" w:line="240" w:lineRule="auto"/>
              <w:jc w:val="left"/>
            </w:pPr>
            <w:r/>
            <w:r>
              <w:rPr>
                <w:rFonts w:ascii="Times New Roman" w:hAnsi="Times New Roman"/>
                <w:b w:val="0"/>
                <w:i w:val="0"/>
                <w:sz w:val="20"/>
                <w:u w:val="none"/>
              </w:rPr>
              <w:t>0.111</w:t>
            </w:r>
          </w:p>
        </w:tc>
        <w:tc>
          <w:tcPr>
            <w:tcW w:type="dxa" w:w="1323"/>
          </w:tcPr>
          <w:p>
            <w:pPr>
              <w:spacing w:before="40" w:after="40" w:line="240" w:lineRule="auto"/>
              <w:jc w:val="left"/>
            </w:pPr>
            <w:r/>
            <w:r>
              <w:rPr>
                <w:rFonts w:ascii="Times New Roman" w:hAnsi="Times New Roman"/>
                <w:b w:val="0"/>
                <w:i w:val="0"/>
                <w:sz w:val="20"/>
                <w:u w:val="none"/>
              </w:rPr>
              <w:t>0.092</w:t>
            </w:r>
          </w:p>
        </w:tc>
        <w:tc>
          <w:tcPr>
            <w:tcW w:type="dxa" w:w="1323"/>
          </w:tcPr>
          <w:p>
            <w:pPr>
              <w:spacing w:before="40" w:after="40" w:line="240" w:lineRule="auto"/>
              <w:jc w:val="left"/>
            </w:pPr>
            <w:r/>
            <w:r>
              <w:rPr>
                <w:rFonts w:ascii="Times New Roman" w:hAnsi="Times New Roman"/>
                <w:b w:val="0"/>
                <w:i w:val="0"/>
                <w:sz w:val="20"/>
                <w:u w:val="none"/>
              </w:rPr>
              <w:t>0.587</w:t>
            </w:r>
          </w:p>
        </w:tc>
        <w:tc>
          <w:tcPr>
            <w:tcW w:type="dxa" w:w="1323"/>
          </w:tcPr>
          <w:p>
            <w:pPr>
              <w:spacing w:before="40" w:after="40" w:line="240" w:lineRule="auto"/>
              <w:jc w:val="left"/>
            </w:pPr>
            <w:r/>
            <w:r>
              <w:rPr>
                <w:rFonts w:ascii="Times New Roman" w:hAnsi="Times New Roman"/>
                <w:b w:val="0"/>
                <w:i w:val="0"/>
                <w:sz w:val="20"/>
                <w:u w:val="none"/>
              </w:rPr>
              <w:t>0.557</w:t>
            </w:r>
          </w:p>
        </w:tc>
        <w:tc>
          <w:tcPr>
            <w:tcW w:type="dxa" w:w="1323"/>
          </w:tcPr>
          <w:p>
            <w:pPr>
              <w:spacing w:before="40" w:after="40" w:line="240" w:lineRule="auto"/>
              <w:jc w:val="left"/>
            </w:pPr>
            <w:r/>
            <w:r>
              <w:rPr>
                <w:rFonts w:ascii="Times New Roman" w:hAnsi="Times New Roman"/>
                <w:b w:val="0"/>
                <w:i w:val="0"/>
                <w:sz w:val="20"/>
                <w:u w:val="none"/>
              </w:rPr>
              <w:t>Near-Random</w:t>
            </w:r>
          </w:p>
        </w:tc>
      </w:tr>
      <w:tr>
        <w:tc>
          <w:tcPr>
            <w:tcW w:type="dxa" w:w="1323"/>
          </w:tcPr>
          <w:p>
            <w:pPr>
              <w:spacing w:before="40" w:after="40" w:line="240" w:lineRule="auto"/>
              <w:jc w:val="left"/>
            </w:pPr>
            <w:r/>
            <w:r>
              <w:rPr>
                <w:rFonts w:ascii="Times New Roman" w:hAnsi="Times New Roman"/>
                <w:b w:val="0"/>
                <w:i w:val="0"/>
                <w:sz w:val="20"/>
                <w:u w:val="none"/>
              </w:rPr>
              <w:t>NAFLD Liver Fat Score (LFS)</w:t>
            </w:r>
          </w:p>
        </w:tc>
        <w:tc>
          <w:tcPr>
            <w:tcW w:type="dxa" w:w="1323"/>
          </w:tcPr>
          <w:p>
            <w:pPr>
              <w:spacing w:before="40" w:after="40" w:line="240" w:lineRule="auto"/>
              <w:jc w:val="left"/>
            </w:pPr>
            <w:r/>
            <w:r>
              <w:rPr>
                <w:rFonts w:ascii="Times New Roman" w:hAnsi="Times New Roman"/>
                <w:b w:val="0"/>
                <w:i w:val="0"/>
                <w:sz w:val="20"/>
                <w:u w:val="none"/>
              </w:rPr>
              <w:t>-0.069</w:t>
            </w:r>
          </w:p>
        </w:tc>
        <w:tc>
          <w:tcPr>
            <w:tcW w:type="dxa" w:w="1323"/>
          </w:tcPr>
          <w:p>
            <w:pPr>
              <w:spacing w:before="40" w:after="40" w:line="240" w:lineRule="auto"/>
              <w:jc w:val="left"/>
            </w:pPr>
            <w:r/>
            <w:r>
              <w:rPr>
                <w:rFonts w:ascii="Times New Roman" w:hAnsi="Times New Roman"/>
                <w:b w:val="0"/>
                <w:i w:val="0"/>
                <w:sz w:val="20"/>
                <w:u w:val="none"/>
              </w:rPr>
              <w:t>-0.051</w:t>
            </w:r>
          </w:p>
        </w:tc>
        <w:tc>
          <w:tcPr>
            <w:tcW w:type="dxa" w:w="1323"/>
          </w:tcPr>
          <w:p>
            <w:pPr>
              <w:spacing w:before="40" w:after="40" w:line="240" w:lineRule="auto"/>
              <w:jc w:val="left"/>
            </w:pPr>
            <w:r/>
            <w:r>
              <w:rPr>
                <w:rFonts w:ascii="Times New Roman" w:hAnsi="Times New Roman"/>
                <w:b w:val="0"/>
                <w:i w:val="0"/>
                <w:sz w:val="20"/>
                <w:u w:val="none"/>
              </w:rPr>
              <w:t>0.509</w:t>
            </w:r>
          </w:p>
        </w:tc>
        <w:tc>
          <w:tcPr>
            <w:tcW w:type="dxa" w:w="1323"/>
          </w:tcPr>
          <w:p>
            <w:pPr>
              <w:spacing w:before="40" w:after="40" w:line="240" w:lineRule="auto"/>
              <w:jc w:val="left"/>
            </w:pPr>
            <w:r/>
            <w:r>
              <w:rPr>
                <w:rFonts w:ascii="Times New Roman" w:hAnsi="Times New Roman"/>
                <w:b w:val="0"/>
                <w:i w:val="0"/>
                <w:sz w:val="20"/>
                <w:u w:val="none"/>
              </w:rPr>
              <w:t>0.512</w:t>
            </w:r>
          </w:p>
        </w:tc>
        <w:tc>
          <w:tcPr>
            <w:tcW w:type="dxa" w:w="1323"/>
          </w:tcPr>
          <w:p>
            <w:pPr>
              <w:spacing w:before="40" w:after="40" w:line="240" w:lineRule="auto"/>
              <w:jc w:val="left"/>
            </w:pPr>
            <w:r/>
            <w:r>
              <w:rPr>
                <w:rFonts w:ascii="Times New Roman" w:hAnsi="Times New Roman"/>
                <w:b w:val="0"/>
                <w:i w:val="0"/>
                <w:sz w:val="20"/>
                <w:u w:val="none"/>
              </w:rPr>
              <w:t>Inverted</w:t>
            </w:r>
          </w:p>
        </w:tc>
      </w:tr>
    </w:tbl>
    <w:p>
      <w:pPr>
        <w:keepNext w:val="0"/>
        <w:spacing w:before="0" w:after="200" w:line="360" w:lineRule="auto"/>
        <w:jc w:val="both"/>
      </w:pPr>
    </w:p>
    <w:p>
      <w:pPr>
        <w:keepNext/>
        <w:spacing w:before="240" w:after="80" w:line="240" w:lineRule="auto"/>
        <w:jc w:val="center"/>
      </w:pPr>
      <w:r>
        <w:rPr>
          <w:rFonts w:ascii="Times New Roman" w:hAnsi="Times New Roman"/>
          <w:b/>
          <w:i w:val="0"/>
          <w:sz w:val="20"/>
          <w:u w:val="none"/>
        </w:rPr>
        <w:t>Table 3: Structural and safety comparison across methods</w:t>
      </w:r>
    </w:p>
    <w:tbl>
      <w:tblPr>
        <w:tblStyle w:val="TableGrid"/>
        <w:tblW w:type="auto" w:w="0"/>
        <w:tblLook w:firstColumn="1" w:firstRow="1" w:lastColumn="0" w:lastRow="0" w:noHBand="0" w:noVBand="1" w:val="04A0"/>
      </w:tblPr>
      <w:tblGrid>
        <w:gridCol w:w="1587"/>
        <w:gridCol w:w="1587"/>
        <w:gridCol w:w="1587"/>
        <w:gridCol w:w="1587"/>
        <w:gridCol w:w="1587"/>
      </w:tblGrid>
      <w:tr>
        <w:tc>
          <w:tcPr>
            <w:tcW w:type="dxa" w:w="1587"/>
          </w:tcPr>
          <w:p>
            <w:pPr>
              <w:spacing w:before="40" w:after="40" w:line="240" w:lineRule="auto"/>
              <w:jc w:val="center"/>
            </w:pPr>
            <w:r/>
            <w:r>
              <w:rPr>
                <w:rFonts w:ascii="Times New Roman" w:hAnsi="Times New Roman"/>
                <w:b/>
                <w:i w:val="0"/>
                <w:sz w:val="20"/>
                <w:u w:val="none"/>
              </w:rPr>
              <w:t>Property</w:t>
            </w:r>
          </w:p>
        </w:tc>
        <w:tc>
          <w:tcPr>
            <w:tcW w:type="dxa" w:w="1587"/>
          </w:tcPr>
          <w:p>
            <w:pPr>
              <w:spacing w:before="40" w:after="40" w:line="240" w:lineRule="auto"/>
              <w:jc w:val="center"/>
            </w:pPr>
            <w:r/>
            <w:r>
              <w:rPr>
                <w:rFonts w:ascii="Times New Roman" w:hAnsi="Times New Roman"/>
                <w:b/>
                <w:i w:val="0"/>
                <w:sz w:val="20"/>
                <w:u w:val="none"/>
              </w:rPr>
              <w:t>Clinical Indices</w:t>
            </w:r>
          </w:p>
        </w:tc>
        <w:tc>
          <w:tcPr>
            <w:tcW w:type="dxa" w:w="1587"/>
          </w:tcPr>
          <w:p>
            <w:pPr>
              <w:spacing w:before="40" w:after="40" w:line="240" w:lineRule="auto"/>
              <w:jc w:val="center"/>
            </w:pPr>
            <w:r/>
            <w:r>
              <w:rPr>
                <w:rFonts w:ascii="Times New Roman" w:hAnsi="Times New Roman"/>
                <w:b/>
                <w:i w:val="0"/>
                <w:sz w:val="20"/>
                <w:u w:val="none"/>
              </w:rPr>
              <w:t>Standard ML</w:t>
            </w:r>
          </w:p>
        </w:tc>
        <w:tc>
          <w:tcPr>
            <w:tcW w:type="dxa" w:w="1587"/>
          </w:tcPr>
          <w:p>
            <w:pPr>
              <w:spacing w:before="40" w:after="40" w:line="240" w:lineRule="auto"/>
              <w:jc w:val="center"/>
            </w:pPr>
            <w:r/>
            <w:r>
              <w:rPr>
                <w:rFonts w:ascii="Times New Roman" w:hAnsi="Times New Roman"/>
                <w:b/>
                <w:i w:val="0"/>
                <w:sz w:val="20"/>
                <w:u w:val="none"/>
              </w:rPr>
              <w:t>Standard VAE</w:t>
            </w:r>
          </w:p>
        </w:tc>
        <w:tc>
          <w:tcPr>
            <w:tcW w:type="dxa" w:w="1587"/>
          </w:tcPr>
          <w:p>
            <w:pPr>
              <w:spacing w:before="40" w:after="40" w:line="240" w:lineRule="auto"/>
              <w:jc w:val="center"/>
            </w:pPr>
            <w:r/>
            <w:r>
              <w:rPr>
                <w:rFonts w:ascii="Times New Roman" w:hAnsi="Times New Roman"/>
                <w:b/>
                <w:i w:val="0"/>
                <w:sz w:val="20"/>
                <w:u w:val="none"/>
              </w:rPr>
              <w:t>LMSIS (Proposed)</w:t>
            </w:r>
          </w:p>
        </w:tc>
      </w:tr>
      <w:tr>
        <w:tc>
          <w:tcPr>
            <w:tcW w:type="dxa" w:w="1587"/>
          </w:tcPr>
          <w:p>
            <w:pPr>
              <w:spacing w:before="40" w:after="40" w:line="240" w:lineRule="auto"/>
              <w:jc w:val="left"/>
            </w:pPr>
            <w:r/>
            <w:r>
              <w:rPr>
                <w:rFonts w:ascii="Times New Roman" w:hAnsi="Times New Roman"/>
                <w:b w:val="0"/>
                <w:i w:val="0"/>
                <w:sz w:val="20"/>
                <w:u w:val="none"/>
              </w:rPr>
              <w:t>Normal-BMI Specific</w:t>
            </w:r>
          </w:p>
        </w:tc>
        <w:tc>
          <w:tcPr>
            <w:tcW w:type="dxa" w:w="1587"/>
          </w:tcPr>
          <w:p>
            <w:pPr>
              <w:spacing w:before="40" w:after="40" w:line="240" w:lineRule="auto"/>
              <w:jc w:val="left"/>
            </w:pPr>
            <w:r/>
            <w:r>
              <w:rPr>
                <w:rFonts w:ascii="Times New Roman" w:hAnsi="Times New Roman"/>
                <w:b w:val="0"/>
                <w:i w:val="0"/>
                <w:sz w:val="20"/>
                <w:u w:val="none"/>
              </w:rPr>
              <w:t>No</w:t>
            </w:r>
          </w:p>
        </w:tc>
        <w:tc>
          <w:tcPr>
            <w:tcW w:type="dxa" w:w="1587"/>
          </w:tcPr>
          <w:p>
            <w:pPr>
              <w:spacing w:before="40" w:after="40" w:line="240" w:lineRule="auto"/>
              <w:jc w:val="left"/>
            </w:pPr>
            <w:r/>
            <w:r>
              <w:rPr>
                <w:rFonts w:ascii="Times New Roman" w:hAnsi="Times New Roman"/>
                <w:b w:val="0"/>
                <w:i w:val="0"/>
                <w:sz w:val="20"/>
                <w:u w:val="none"/>
              </w:rPr>
              <w:t>No</w:t>
            </w:r>
          </w:p>
        </w:tc>
        <w:tc>
          <w:tcPr>
            <w:tcW w:type="dxa" w:w="1587"/>
          </w:tcPr>
          <w:p>
            <w:pPr>
              <w:spacing w:before="40" w:after="40" w:line="240" w:lineRule="auto"/>
              <w:jc w:val="left"/>
            </w:pPr>
            <w:r/>
            <w:r>
              <w:rPr>
                <w:rFonts w:ascii="Times New Roman" w:hAnsi="Times New Roman"/>
                <w:b w:val="0"/>
                <w:i w:val="0"/>
                <w:sz w:val="20"/>
                <w:u w:val="none"/>
              </w:rPr>
              <w:t>No</w:t>
            </w:r>
          </w:p>
        </w:tc>
        <w:tc>
          <w:tcPr>
            <w:tcW w:type="dxa" w:w="1587"/>
          </w:tcPr>
          <w:p>
            <w:pPr>
              <w:spacing w:before="40" w:after="40" w:line="240" w:lineRule="auto"/>
              <w:jc w:val="left"/>
            </w:pPr>
            <w:r/>
            <w:r>
              <w:rPr>
                <w:rFonts w:ascii="Times New Roman" w:hAnsi="Times New Roman"/>
                <w:b w:val="0"/>
                <w:i w:val="0"/>
                <w:sz w:val="20"/>
                <w:u w:val="none"/>
              </w:rPr>
              <w:t>Yes</w:t>
            </w:r>
          </w:p>
        </w:tc>
      </w:tr>
      <w:tr>
        <w:tc>
          <w:tcPr>
            <w:tcW w:type="dxa" w:w="1587"/>
          </w:tcPr>
          <w:p>
            <w:pPr>
              <w:spacing w:before="40" w:after="40" w:line="240" w:lineRule="auto"/>
              <w:jc w:val="left"/>
            </w:pPr>
            <w:r/>
            <w:r>
              <w:rPr>
                <w:rFonts w:ascii="Times New Roman" w:hAnsi="Times New Roman"/>
                <w:b w:val="0"/>
                <w:i w:val="0"/>
                <w:sz w:val="20"/>
                <w:u w:val="none"/>
              </w:rPr>
              <w:t>Continuous Latent Space</w:t>
            </w:r>
          </w:p>
        </w:tc>
        <w:tc>
          <w:tcPr>
            <w:tcW w:type="dxa" w:w="1587"/>
          </w:tcPr>
          <w:p>
            <w:pPr>
              <w:spacing w:before="40" w:after="40" w:line="240" w:lineRule="auto"/>
              <w:jc w:val="left"/>
            </w:pPr>
            <w:r/>
            <w:r>
              <w:rPr>
                <w:rFonts w:ascii="Times New Roman" w:hAnsi="Times New Roman"/>
                <w:b w:val="0"/>
                <w:i w:val="0"/>
                <w:sz w:val="20"/>
                <w:u w:val="none"/>
              </w:rPr>
              <w:t>N/A</w:t>
            </w:r>
          </w:p>
        </w:tc>
        <w:tc>
          <w:tcPr>
            <w:tcW w:type="dxa" w:w="1587"/>
          </w:tcPr>
          <w:p>
            <w:pPr>
              <w:spacing w:before="40" w:after="40" w:line="240" w:lineRule="auto"/>
              <w:jc w:val="left"/>
            </w:pPr>
            <w:r/>
            <w:r>
              <w:rPr>
                <w:rFonts w:ascii="Times New Roman" w:hAnsi="Times New Roman"/>
                <w:b w:val="0"/>
                <w:i w:val="0"/>
                <w:sz w:val="20"/>
                <w:u w:val="none"/>
              </w:rPr>
              <w:t>N/A</w:t>
            </w:r>
          </w:p>
        </w:tc>
        <w:tc>
          <w:tcPr>
            <w:tcW w:type="dxa" w:w="1587"/>
          </w:tcPr>
          <w:p>
            <w:pPr>
              <w:spacing w:before="40" w:after="40" w:line="240" w:lineRule="auto"/>
              <w:jc w:val="left"/>
            </w:pPr>
            <w:r/>
            <w:r>
              <w:rPr>
                <w:rFonts w:ascii="Times New Roman" w:hAnsi="Times New Roman"/>
                <w:b w:val="0"/>
                <w:i w:val="0"/>
                <w:sz w:val="20"/>
                <w:u w:val="none"/>
              </w:rPr>
              <w:t>Unanchored</w:t>
            </w:r>
          </w:p>
        </w:tc>
        <w:tc>
          <w:tcPr>
            <w:tcW w:type="dxa" w:w="1587"/>
          </w:tcPr>
          <w:p>
            <w:pPr>
              <w:spacing w:before="40" w:after="40" w:line="240" w:lineRule="auto"/>
              <w:jc w:val="left"/>
            </w:pPr>
            <w:r/>
            <w:r>
              <w:rPr>
                <w:rFonts w:ascii="Times New Roman" w:hAnsi="Times New Roman"/>
                <w:b w:val="0"/>
                <w:i w:val="0"/>
                <w:sz w:val="20"/>
                <w:u w:val="none"/>
              </w:rPr>
              <w:t>2D Anchored</w:t>
            </w:r>
          </w:p>
        </w:tc>
      </w:tr>
      <w:tr>
        <w:tc>
          <w:tcPr>
            <w:tcW w:type="dxa" w:w="1587"/>
          </w:tcPr>
          <w:p>
            <w:pPr>
              <w:spacing w:before="40" w:after="40" w:line="240" w:lineRule="auto"/>
              <w:jc w:val="left"/>
            </w:pPr>
            <w:r/>
            <w:r>
              <w:rPr>
                <w:rFonts w:ascii="Times New Roman" w:hAnsi="Times New Roman"/>
                <w:b w:val="0"/>
                <w:i w:val="0"/>
                <w:sz w:val="20"/>
                <w:u w:val="none"/>
              </w:rPr>
              <w:t>Identifiable Axes</w:t>
            </w:r>
          </w:p>
        </w:tc>
        <w:tc>
          <w:tcPr>
            <w:tcW w:type="dxa" w:w="1587"/>
          </w:tcPr>
          <w:p>
            <w:pPr>
              <w:spacing w:before="40" w:after="40" w:line="240" w:lineRule="auto"/>
              <w:jc w:val="left"/>
            </w:pPr>
            <w:r/>
            <w:r>
              <w:rPr>
                <w:rFonts w:ascii="Times New Roman" w:hAnsi="Times New Roman"/>
                <w:b w:val="0"/>
                <w:i w:val="0"/>
                <w:sz w:val="20"/>
                <w:u w:val="none"/>
              </w:rPr>
              <w:t>N/A</w:t>
            </w:r>
          </w:p>
        </w:tc>
        <w:tc>
          <w:tcPr>
            <w:tcW w:type="dxa" w:w="1587"/>
          </w:tcPr>
          <w:p>
            <w:pPr>
              <w:spacing w:before="40" w:after="40" w:line="240" w:lineRule="auto"/>
              <w:jc w:val="left"/>
            </w:pPr>
            <w:r/>
            <w:r>
              <w:rPr>
                <w:rFonts w:ascii="Times New Roman" w:hAnsi="Times New Roman"/>
                <w:b w:val="0"/>
                <w:i w:val="0"/>
                <w:sz w:val="20"/>
                <w:u w:val="none"/>
              </w:rPr>
              <w:t>N/A</w:t>
            </w:r>
          </w:p>
        </w:tc>
        <w:tc>
          <w:tcPr>
            <w:tcW w:type="dxa" w:w="1587"/>
          </w:tcPr>
          <w:p>
            <w:pPr>
              <w:spacing w:before="40" w:after="40" w:line="240" w:lineRule="auto"/>
              <w:jc w:val="left"/>
            </w:pPr>
            <w:r/>
            <w:r>
              <w:rPr>
                <w:rFonts w:ascii="Times New Roman" w:hAnsi="Times New Roman"/>
                <w:b w:val="0"/>
                <w:i w:val="0"/>
                <w:sz w:val="20"/>
                <w:u w:val="none"/>
              </w:rPr>
              <w:t>No</w:t>
            </w:r>
          </w:p>
        </w:tc>
        <w:tc>
          <w:tcPr>
            <w:tcW w:type="dxa" w:w="1587"/>
          </w:tcPr>
          <w:p>
            <w:pPr>
              <w:spacing w:before="40" w:after="40" w:line="240" w:lineRule="auto"/>
              <w:jc w:val="left"/>
            </w:pPr>
            <w:r/>
            <w:r>
              <w:rPr>
                <w:rFonts w:ascii="Times New Roman" w:hAnsi="Times New Roman"/>
                <w:b w:val="0"/>
                <w:i w:val="0"/>
                <w:sz w:val="20"/>
                <w:u w:val="none"/>
              </w:rPr>
              <w:t>Yes (iVAE)</w:t>
            </w:r>
          </w:p>
        </w:tc>
      </w:tr>
      <w:tr>
        <w:tc>
          <w:tcPr>
            <w:tcW w:type="dxa" w:w="1587"/>
          </w:tcPr>
          <w:p>
            <w:pPr>
              <w:spacing w:before="40" w:after="40" w:line="240" w:lineRule="auto"/>
              <w:jc w:val="left"/>
            </w:pPr>
            <w:r/>
            <w:r>
              <w:rPr>
                <w:rFonts w:ascii="Times New Roman" w:hAnsi="Times New Roman"/>
                <w:b w:val="0"/>
                <w:i w:val="0"/>
                <w:sz w:val="20"/>
                <w:u w:val="none"/>
              </w:rPr>
              <w:t>Subgroup Conformal Coverage</w:t>
            </w:r>
          </w:p>
        </w:tc>
        <w:tc>
          <w:tcPr>
            <w:tcW w:type="dxa" w:w="1587"/>
          </w:tcPr>
          <w:p>
            <w:pPr>
              <w:spacing w:before="40" w:after="40" w:line="240" w:lineRule="auto"/>
              <w:jc w:val="left"/>
            </w:pPr>
            <w:r/>
            <w:r>
              <w:rPr>
                <w:rFonts w:ascii="Times New Roman" w:hAnsi="Times New Roman"/>
                <w:b w:val="0"/>
                <w:i w:val="0"/>
                <w:sz w:val="20"/>
                <w:u w:val="none"/>
              </w:rPr>
              <w:t>N/A</w:t>
            </w:r>
          </w:p>
        </w:tc>
        <w:tc>
          <w:tcPr>
            <w:tcW w:type="dxa" w:w="1587"/>
          </w:tcPr>
          <w:p>
            <w:pPr>
              <w:spacing w:before="40" w:after="40" w:line="240" w:lineRule="auto"/>
              <w:jc w:val="left"/>
            </w:pPr>
            <w:r/>
            <w:r>
              <w:rPr>
                <w:rFonts w:ascii="Times New Roman" w:hAnsi="Times New Roman"/>
                <w:b w:val="0"/>
                <w:i w:val="0"/>
                <w:sz w:val="20"/>
                <w:u w:val="none"/>
              </w:rPr>
              <w:t>N/A</w:t>
            </w:r>
          </w:p>
        </w:tc>
        <w:tc>
          <w:tcPr>
            <w:tcW w:type="dxa" w:w="1587"/>
          </w:tcPr>
          <w:p>
            <w:pPr>
              <w:spacing w:before="40" w:after="40" w:line="240" w:lineRule="auto"/>
              <w:jc w:val="left"/>
            </w:pPr>
            <w:r/>
            <w:r>
              <w:rPr>
                <w:rFonts w:ascii="Times New Roman" w:hAnsi="Times New Roman"/>
                <w:b w:val="0"/>
                <w:i w:val="0"/>
                <w:sz w:val="20"/>
                <w:u w:val="none"/>
              </w:rPr>
              <w:t>No</w:t>
            </w:r>
          </w:p>
        </w:tc>
        <w:tc>
          <w:tcPr>
            <w:tcW w:type="dxa" w:w="1587"/>
          </w:tcPr>
          <w:p>
            <w:pPr>
              <w:spacing w:before="40" w:after="40" w:line="240" w:lineRule="auto"/>
              <w:jc w:val="left"/>
            </w:pPr>
            <w:r/>
            <w:r>
              <w:rPr>
                <w:rFonts w:ascii="Times New Roman" w:hAnsi="Times New Roman"/>
                <w:b w:val="0"/>
                <w:i w:val="0"/>
                <w:sz w:val="20"/>
                <w:u w:val="none"/>
              </w:rPr>
              <w:t>Mondrian &gt;=90%</w:t>
            </w:r>
          </w:p>
        </w:tc>
      </w:tr>
      <w:tr>
        <w:tc>
          <w:tcPr>
            <w:tcW w:type="dxa" w:w="1587"/>
          </w:tcPr>
          <w:p>
            <w:pPr>
              <w:spacing w:before="40" w:after="40" w:line="240" w:lineRule="auto"/>
              <w:jc w:val="left"/>
            </w:pPr>
            <w:r/>
            <w:r>
              <w:rPr>
                <w:rFonts w:ascii="Times New Roman" w:hAnsi="Times New Roman"/>
                <w:b w:val="0"/>
                <w:i w:val="0"/>
                <w:sz w:val="20"/>
                <w:u w:val="none"/>
              </w:rPr>
              <w:t>Closed-Form Interpretability</w:t>
            </w:r>
          </w:p>
        </w:tc>
        <w:tc>
          <w:tcPr>
            <w:tcW w:type="dxa" w:w="1587"/>
          </w:tcPr>
          <w:p>
            <w:pPr>
              <w:spacing w:before="40" w:after="40" w:line="240" w:lineRule="auto"/>
              <w:jc w:val="left"/>
            </w:pPr>
            <w:r/>
            <w:r>
              <w:rPr>
                <w:rFonts w:ascii="Times New Roman" w:hAnsi="Times New Roman"/>
                <w:b w:val="0"/>
                <w:i w:val="0"/>
                <w:sz w:val="20"/>
                <w:u w:val="none"/>
              </w:rPr>
              <w:t>Yes (formula)</w:t>
            </w:r>
          </w:p>
        </w:tc>
        <w:tc>
          <w:tcPr>
            <w:tcW w:type="dxa" w:w="1587"/>
          </w:tcPr>
          <w:p>
            <w:pPr>
              <w:spacing w:before="40" w:after="40" w:line="240" w:lineRule="auto"/>
              <w:jc w:val="left"/>
            </w:pPr>
            <w:r/>
            <w:r>
              <w:rPr>
                <w:rFonts w:ascii="Times New Roman" w:hAnsi="Times New Roman"/>
                <w:b w:val="0"/>
                <w:i w:val="0"/>
                <w:sz w:val="20"/>
                <w:u w:val="none"/>
              </w:rPr>
              <w:t>No</w:t>
            </w:r>
          </w:p>
        </w:tc>
        <w:tc>
          <w:tcPr>
            <w:tcW w:type="dxa" w:w="1587"/>
          </w:tcPr>
          <w:p>
            <w:pPr>
              <w:spacing w:before="40" w:after="40" w:line="240" w:lineRule="auto"/>
              <w:jc w:val="left"/>
            </w:pPr>
            <w:r/>
            <w:r>
              <w:rPr>
                <w:rFonts w:ascii="Times New Roman" w:hAnsi="Times New Roman"/>
                <w:b w:val="0"/>
                <w:i w:val="0"/>
                <w:sz w:val="20"/>
                <w:u w:val="none"/>
              </w:rPr>
              <w:t>No</w:t>
            </w:r>
          </w:p>
        </w:tc>
        <w:tc>
          <w:tcPr>
            <w:tcW w:type="dxa" w:w="1587"/>
          </w:tcPr>
          <w:p>
            <w:pPr>
              <w:spacing w:before="40" w:after="40" w:line="240" w:lineRule="auto"/>
              <w:jc w:val="left"/>
            </w:pPr>
            <w:r/>
            <w:r>
              <w:rPr>
                <w:rFonts w:ascii="Times New Roman" w:hAnsi="Times New Roman"/>
                <w:b w:val="0"/>
                <w:i w:val="0"/>
                <w:sz w:val="20"/>
                <w:u w:val="none"/>
              </w:rPr>
              <w:t>PySR Extraction</w:t>
            </w:r>
          </w:p>
        </w:tc>
      </w:tr>
      <w:tr>
        <w:tc>
          <w:tcPr>
            <w:tcW w:type="dxa" w:w="1587"/>
          </w:tcPr>
          <w:p>
            <w:pPr>
              <w:spacing w:before="40" w:after="40" w:line="240" w:lineRule="auto"/>
              <w:jc w:val="left"/>
            </w:pPr>
            <w:r/>
            <w:r>
              <w:rPr>
                <w:rFonts w:ascii="Times New Roman" w:hAnsi="Times New Roman"/>
                <w:b w:val="0"/>
                <w:i w:val="0"/>
                <w:sz w:val="20"/>
                <w:u w:val="none"/>
              </w:rPr>
              <w:t>Full-Stack Deployment</w:t>
            </w:r>
          </w:p>
        </w:tc>
        <w:tc>
          <w:tcPr>
            <w:tcW w:type="dxa" w:w="1587"/>
          </w:tcPr>
          <w:p>
            <w:pPr>
              <w:spacing w:before="40" w:after="40" w:line="240" w:lineRule="auto"/>
              <w:jc w:val="left"/>
            </w:pPr>
            <w:r/>
            <w:r>
              <w:rPr>
                <w:rFonts w:ascii="Times New Roman" w:hAnsi="Times New Roman"/>
                <w:b w:val="0"/>
                <w:i w:val="0"/>
                <w:sz w:val="20"/>
                <w:u w:val="none"/>
              </w:rPr>
              <w:t>N/A</w:t>
            </w:r>
          </w:p>
        </w:tc>
        <w:tc>
          <w:tcPr>
            <w:tcW w:type="dxa" w:w="1587"/>
          </w:tcPr>
          <w:p>
            <w:pPr>
              <w:spacing w:before="40" w:after="40" w:line="240" w:lineRule="auto"/>
              <w:jc w:val="left"/>
            </w:pPr>
            <w:r/>
            <w:r>
              <w:rPr>
                <w:rFonts w:ascii="Times New Roman" w:hAnsi="Times New Roman"/>
                <w:b w:val="0"/>
                <w:i w:val="0"/>
                <w:sz w:val="20"/>
                <w:u w:val="none"/>
              </w:rPr>
              <w:t>N/A</w:t>
            </w:r>
          </w:p>
        </w:tc>
        <w:tc>
          <w:tcPr>
            <w:tcW w:type="dxa" w:w="1587"/>
          </w:tcPr>
          <w:p>
            <w:pPr>
              <w:spacing w:before="40" w:after="40" w:line="240" w:lineRule="auto"/>
              <w:jc w:val="left"/>
            </w:pPr>
            <w:r/>
            <w:r>
              <w:rPr>
                <w:rFonts w:ascii="Times New Roman" w:hAnsi="Times New Roman"/>
                <w:b w:val="0"/>
                <w:i w:val="0"/>
                <w:sz w:val="20"/>
                <w:u w:val="none"/>
              </w:rPr>
              <w:t>No</w:t>
            </w:r>
          </w:p>
        </w:tc>
        <w:tc>
          <w:tcPr>
            <w:tcW w:type="dxa" w:w="1587"/>
          </w:tcPr>
          <w:p>
            <w:pPr>
              <w:spacing w:before="40" w:after="40" w:line="240" w:lineRule="auto"/>
              <w:jc w:val="left"/>
            </w:pPr>
            <w:r/>
            <w:r>
              <w:rPr>
                <w:rFonts w:ascii="Times New Roman" w:hAnsi="Times New Roman"/>
                <w:b w:val="0"/>
                <w:i w:val="0"/>
                <w:sz w:val="20"/>
                <w:u w:val="none"/>
              </w:rPr>
              <w:t>FastAPI + React</w:t>
            </w:r>
          </w:p>
        </w:tc>
      </w:tr>
    </w:tbl>
    <w:p>
      <w:pPr>
        <w:keepNext w:val="0"/>
        <w:spacing w:before="0" w:after="200" w:line="360" w:lineRule="auto"/>
        <w:jc w:val="both"/>
      </w:pPr>
    </w:p>
    <w:p>
      <w:pPr>
        <w:keepNext/>
        <w:spacing w:before="240" w:after="80" w:line="240" w:lineRule="auto"/>
        <w:jc w:val="center"/>
      </w:pPr>
      <w:r>
        <w:rPr>
          <w:rFonts w:ascii="Times New Roman" w:hAnsi="Times New Roman"/>
          <w:b/>
          <w:i w:val="0"/>
          <w:sz w:val="20"/>
          <w:u w:val="none"/>
        </w:rPr>
        <w:t>Table 4: Conformal coverage by phenotypic quadrant</w:t>
      </w:r>
    </w:p>
    <w:tbl>
      <w:tblPr>
        <w:tblStyle w:val="TableGrid"/>
        <w:tblW w:type="auto" w:w="0"/>
        <w:tblLook w:firstColumn="1" w:firstRow="1" w:lastColumn="0" w:lastRow="0" w:noHBand="0" w:noVBand="1" w:val="04A0"/>
      </w:tblPr>
      <w:tblGrid>
        <w:gridCol w:w="1323"/>
        <w:gridCol w:w="1323"/>
        <w:gridCol w:w="1323"/>
        <w:gridCol w:w="1323"/>
        <w:gridCol w:w="1323"/>
        <w:gridCol w:w="1323"/>
      </w:tblGrid>
      <w:tr>
        <w:tc>
          <w:tcPr>
            <w:tcW w:type="dxa" w:w="1323"/>
          </w:tcPr>
          <w:p>
            <w:pPr>
              <w:spacing w:before="40" w:after="40" w:line="240" w:lineRule="auto"/>
              <w:jc w:val="center"/>
            </w:pPr>
            <w:r/>
            <w:r>
              <w:rPr>
                <w:rFonts w:ascii="Times New Roman" w:hAnsi="Times New Roman"/>
                <w:b/>
                <w:i w:val="0"/>
                <w:sz w:val="20"/>
                <w:u w:val="none"/>
              </w:rPr>
              <w:t>Phenotypic Quadrant</w:t>
            </w:r>
          </w:p>
        </w:tc>
        <w:tc>
          <w:tcPr>
            <w:tcW w:type="dxa" w:w="1323"/>
          </w:tcPr>
          <w:p>
            <w:pPr>
              <w:spacing w:before="40" w:after="40" w:line="240" w:lineRule="auto"/>
              <w:jc w:val="center"/>
            </w:pPr>
            <w:r/>
            <w:r>
              <w:rPr>
                <w:rFonts w:ascii="Times New Roman" w:hAnsi="Times New Roman"/>
                <w:b/>
                <w:i w:val="0"/>
                <w:sz w:val="20"/>
                <w:u w:val="none"/>
              </w:rPr>
              <w:t>n</w:t>
            </w:r>
          </w:p>
        </w:tc>
        <w:tc>
          <w:tcPr>
            <w:tcW w:type="dxa" w:w="1323"/>
          </w:tcPr>
          <w:p>
            <w:pPr>
              <w:spacing w:before="40" w:after="40" w:line="240" w:lineRule="auto"/>
              <w:jc w:val="center"/>
            </w:pPr>
            <w:r/>
            <w:r>
              <w:rPr>
                <w:rFonts w:ascii="Times New Roman" w:hAnsi="Times New Roman"/>
                <w:b/>
                <w:i w:val="0"/>
                <w:sz w:val="20"/>
                <w:u w:val="none"/>
              </w:rPr>
              <w:t>Marginal Coverage</w:t>
            </w:r>
          </w:p>
        </w:tc>
        <w:tc>
          <w:tcPr>
            <w:tcW w:type="dxa" w:w="1323"/>
          </w:tcPr>
          <w:p>
            <w:pPr>
              <w:spacing w:before="40" w:after="40" w:line="240" w:lineRule="auto"/>
              <w:jc w:val="center"/>
            </w:pPr>
            <w:r/>
            <w:r>
              <w:rPr>
                <w:rFonts w:ascii="Times New Roman" w:hAnsi="Times New Roman"/>
                <w:b/>
                <w:i w:val="0"/>
                <w:sz w:val="20"/>
                <w:u w:val="none"/>
              </w:rPr>
              <w:t>Mondrian Coverage</w:t>
            </w:r>
          </w:p>
        </w:tc>
        <w:tc>
          <w:tcPr>
            <w:tcW w:type="dxa" w:w="1323"/>
          </w:tcPr>
          <w:p>
            <w:pPr>
              <w:spacing w:before="40" w:after="40" w:line="240" w:lineRule="auto"/>
              <w:jc w:val="center"/>
            </w:pPr>
            <w:r/>
            <w:r>
              <w:rPr>
                <w:rFonts w:ascii="Times New Roman" w:hAnsi="Times New Roman"/>
                <w:b/>
                <w:i w:val="0"/>
                <w:sz w:val="20"/>
                <w:u w:val="none"/>
              </w:rPr>
              <w:t>Safety Target</w:t>
            </w:r>
          </w:p>
        </w:tc>
        <w:tc>
          <w:tcPr>
            <w:tcW w:type="dxa" w:w="1323"/>
          </w:tcPr>
          <w:p>
            <w:pPr>
              <w:spacing w:before="40" w:after="40" w:line="240" w:lineRule="auto"/>
              <w:jc w:val="center"/>
            </w:pPr>
            <w:r/>
            <w:r>
              <w:rPr>
                <w:rFonts w:ascii="Times New Roman" w:hAnsi="Times New Roman"/>
                <w:b/>
                <w:i w:val="0"/>
                <w:sz w:val="20"/>
                <w:u w:val="none"/>
              </w:rPr>
              <w:t>Status</w:t>
            </w:r>
          </w:p>
        </w:tc>
      </w:tr>
      <w:tr>
        <w:tc>
          <w:tcPr>
            <w:tcW w:type="dxa" w:w="1323"/>
          </w:tcPr>
          <w:p>
            <w:pPr>
              <w:spacing w:before="40" w:after="40" w:line="240" w:lineRule="auto"/>
              <w:jc w:val="left"/>
            </w:pPr>
            <w:r/>
            <w:r>
              <w:rPr>
                <w:rFonts w:ascii="Times New Roman" w:hAnsi="Times New Roman"/>
                <w:b w:val="0"/>
                <w:i w:val="0"/>
                <w:sz w:val="20"/>
                <w:u w:val="none"/>
              </w:rPr>
              <w:t>MHNW</w:t>
            </w:r>
          </w:p>
        </w:tc>
        <w:tc>
          <w:tcPr>
            <w:tcW w:type="dxa" w:w="1323"/>
          </w:tcPr>
          <w:p>
            <w:pPr>
              <w:spacing w:before="40" w:after="40" w:line="240" w:lineRule="auto"/>
              <w:jc w:val="left"/>
            </w:pPr>
            <w:r/>
            <w:r>
              <w:rPr>
                <w:rFonts w:ascii="Times New Roman" w:hAnsi="Times New Roman"/>
                <w:b w:val="0"/>
                <w:i w:val="0"/>
                <w:sz w:val="20"/>
                <w:u w:val="none"/>
              </w:rPr>
              <w:t>168</w:t>
            </w:r>
          </w:p>
        </w:tc>
        <w:tc>
          <w:tcPr>
            <w:tcW w:type="dxa" w:w="1323"/>
          </w:tcPr>
          <w:p>
            <w:pPr>
              <w:spacing w:before="40" w:after="40" w:line="240" w:lineRule="auto"/>
              <w:jc w:val="left"/>
            </w:pPr>
            <w:r/>
            <w:r>
              <w:rPr>
                <w:rFonts w:ascii="Times New Roman" w:hAnsi="Times New Roman"/>
                <w:b w:val="0"/>
                <w:i w:val="0"/>
                <w:sz w:val="20"/>
                <w:u w:val="none"/>
              </w:rPr>
              <w:t>98.2%</w:t>
            </w:r>
          </w:p>
        </w:tc>
        <w:tc>
          <w:tcPr>
            <w:tcW w:type="dxa" w:w="1323"/>
          </w:tcPr>
          <w:p>
            <w:pPr>
              <w:spacing w:before="40" w:after="40" w:line="240" w:lineRule="auto"/>
              <w:jc w:val="left"/>
            </w:pPr>
            <w:r/>
            <w:r>
              <w:rPr>
                <w:rFonts w:ascii="Times New Roman" w:hAnsi="Times New Roman"/>
                <w:b w:val="0"/>
                <w:i w:val="0"/>
                <w:sz w:val="20"/>
                <w:u w:val="none"/>
              </w:rPr>
              <w:t>98.2%</w:t>
            </w:r>
          </w:p>
        </w:tc>
        <w:tc>
          <w:tcPr>
            <w:tcW w:type="dxa" w:w="1323"/>
          </w:tcPr>
          <w:p>
            <w:pPr>
              <w:spacing w:before="40" w:after="40" w:line="240" w:lineRule="auto"/>
              <w:jc w:val="left"/>
            </w:pPr>
            <w:r/>
            <w:r>
              <w:rPr>
                <w:rFonts w:ascii="Times New Roman" w:hAnsi="Times New Roman"/>
                <w:b w:val="0"/>
                <w:i w:val="0"/>
                <w:sz w:val="20"/>
                <w:u w:val="none"/>
              </w:rPr>
              <w:t>90.0%</w:t>
            </w:r>
          </w:p>
        </w:tc>
        <w:tc>
          <w:tcPr>
            <w:tcW w:type="dxa" w:w="1323"/>
          </w:tcPr>
          <w:p>
            <w:pPr>
              <w:spacing w:before="40" w:after="40" w:line="240" w:lineRule="auto"/>
              <w:jc w:val="left"/>
            </w:pPr>
            <w:r/>
            <w:r>
              <w:rPr>
                <w:rFonts w:ascii="Times New Roman" w:hAnsi="Times New Roman"/>
                <w:b w:val="0"/>
                <w:i w:val="0"/>
                <w:sz w:val="20"/>
                <w:u w:val="none"/>
              </w:rPr>
              <w:t>Safe</w:t>
            </w:r>
          </w:p>
        </w:tc>
      </w:tr>
      <w:tr>
        <w:tc>
          <w:tcPr>
            <w:tcW w:type="dxa" w:w="1323"/>
          </w:tcPr>
          <w:p>
            <w:pPr>
              <w:spacing w:before="40" w:after="40" w:line="240" w:lineRule="auto"/>
              <w:jc w:val="left"/>
            </w:pPr>
            <w:r/>
            <w:r>
              <w:rPr>
                <w:rFonts w:ascii="Times New Roman" w:hAnsi="Times New Roman"/>
                <w:b w:val="0"/>
                <w:i w:val="0"/>
                <w:sz w:val="20"/>
                <w:u w:val="none"/>
              </w:rPr>
              <w:t>IR-Dominant</w:t>
            </w:r>
          </w:p>
        </w:tc>
        <w:tc>
          <w:tcPr>
            <w:tcW w:type="dxa" w:w="1323"/>
          </w:tcPr>
          <w:p>
            <w:pPr>
              <w:spacing w:before="40" w:after="40" w:line="240" w:lineRule="auto"/>
              <w:jc w:val="left"/>
            </w:pPr>
            <w:r/>
            <w:r>
              <w:rPr>
                <w:rFonts w:ascii="Times New Roman" w:hAnsi="Times New Roman"/>
                <w:b w:val="0"/>
                <w:i w:val="0"/>
                <w:sz w:val="20"/>
                <w:u w:val="none"/>
              </w:rPr>
              <w:t>129</w:t>
            </w:r>
          </w:p>
        </w:tc>
        <w:tc>
          <w:tcPr>
            <w:tcW w:type="dxa" w:w="1323"/>
          </w:tcPr>
          <w:p>
            <w:pPr>
              <w:spacing w:before="40" w:after="40" w:line="240" w:lineRule="auto"/>
              <w:jc w:val="left"/>
            </w:pPr>
            <w:r/>
            <w:r>
              <w:rPr>
                <w:rFonts w:ascii="Times New Roman" w:hAnsi="Times New Roman"/>
                <w:b w:val="0"/>
                <w:i w:val="0"/>
                <w:sz w:val="20"/>
                <w:u w:val="none"/>
              </w:rPr>
              <w:t>93.8%</w:t>
            </w:r>
          </w:p>
        </w:tc>
        <w:tc>
          <w:tcPr>
            <w:tcW w:type="dxa" w:w="1323"/>
          </w:tcPr>
          <w:p>
            <w:pPr>
              <w:spacing w:before="40" w:after="40" w:line="240" w:lineRule="auto"/>
              <w:jc w:val="left"/>
            </w:pPr>
            <w:r/>
            <w:r>
              <w:rPr>
                <w:rFonts w:ascii="Times New Roman" w:hAnsi="Times New Roman"/>
                <w:b w:val="0"/>
                <w:i w:val="0"/>
                <w:sz w:val="20"/>
                <w:u w:val="none"/>
              </w:rPr>
              <w:t>100.0%</w:t>
            </w:r>
          </w:p>
        </w:tc>
        <w:tc>
          <w:tcPr>
            <w:tcW w:type="dxa" w:w="1323"/>
          </w:tcPr>
          <w:p>
            <w:pPr>
              <w:spacing w:before="40" w:after="40" w:line="240" w:lineRule="auto"/>
              <w:jc w:val="left"/>
            </w:pPr>
            <w:r/>
            <w:r>
              <w:rPr>
                <w:rFonts w:ascii="Times New Roman" w:hAnsi="Times New Roman"/>
                <w:b w:val="0"/>
                <w:i w:val="0"/>
                <w:sz w:val="20"/>
                <w:u w:val="none"/>
              </w:rPr>
              <w:t>90.0%</w:t>
            </w:r>
          </w:p>
        </w:tc>
        <w:tc>
          <w:tcPr>
            <w:tcW w:type="dxa" w:w="1323"/>
          </w:tcPr>
          <w:p>
            <w:pPr>
              <w:spacing w:before="40" w:after="40" w:line="240" w:lineRule="auto"/>
              <w:jc w:val="left"/>
            </w:pPr>
            <w:r/>
            <w:r>
              <w:rPr>
                <w:rFonts w:ascii="Times New Roman" w:hAnsi="Times New Roman"/>
                <w:b w:val="0"/>
                <w:i w:val="0"/>
                <w:sz w:val="20"/>
                <w:u w:val="none"/>
              </w:rPr>
              <w:t>Safe</w:t>
            </w:r>
          </w:p>
        </w:tc>
      </w:tr>
      <w:tr>
        <w:tc>
          <w:tcPr>
            <w:tcW w:type="dxa" w:w="1323"/>
          </w:tcPr>
          <w:p>
            <w:pPr>
              <w:spacing w:before="40" w:after="40" w:line="240" w:lineRule="auto"/>
              <w:jc w:val="left"/>
            </w:pPr>
            <w:r/>
            <w:r>
              <w:rPr>
                <w:rFonts w:ascii="Times New Roman" w:hAnsi="Times New Roman"/>
                <w:b w:val="0"/>
                <w:i w:val="0"/>
                <w:sz w:val="20"/>
                <w:u w:val="none"/>
              </w:rPr>
              <w:t>Steatosis-Dominant</w:t>
            </w:r>
          </w:p>
        </w:tc>
        <w:tc>
          <w:tcPr>
            <w:tcW w:type="dxa" w:w="1323"/>
          </w:tcPr>
          <w:p>
            <w:pPr>
              <w:spacing w:before="40" w:after="40" w:line="240" w:lineRule="auto"/>
              <w:jc w:val="left"/>
            </w:pPr>
            <w:r/>
            <w:r>
              <w:rPr>
                <w:rFonts w:ascii="Times New Roman" w:hAnsi="Times New Roman"/>
                <w:b w:val="0"/>
                <w:i w:val="0"/>
                <w:sz w:val="20"/>
                <w:u w:val="none"/>
              </w:rPr>
              <w:t>185</w:t>
            </w:r>
          </w:p>
        </w:tc>
        <w:tc>
          <w:tcPr>
            <w:tcW w:type="dxa" w:w="1323"/>
          </w:tcPr>
          <w:p>
            <w:pPr>
              <w:spacing w:before="40" w:after="40" w:line="240" w:lineRule="auto"/>
              <w:jc w:val="left"/>
            </w:pPr>
            <w:r/>
            <w:r>
              <w:rPr>
                <w:rFonts w:ascii="Times New Roman" w:hAnsi="Times New Roman"/>
                <w:b w:val="0"/>
                <w:i w:val="0"/>
                <w:sz w:val="20"/>
                <w:u w:val="none"/>
              </w:rPr>
              <w:t>87.0%</w:t>
            </w:r>
          </w:p>
        </w:tc>
        <w:tc>
          <w:tcPr>
            <w:tcW w:type="dxa" w:w="1323"/>
          </w:tcPr>
          <w:p>
            <w:pPr>
              <w:spacing w:before="40" w:after="40" w:line="240" w:lineRule="auto"/>
              <w:jc w:val="left"/>
            </w:pPr>
            <w:r/>
            <w:r>
              <w:rPr>
                <w:rFonts w:ascii="Times New Roman" w:hAnsi="Times New Roman"/>
                <w:b w:val="0"/>
                <w:i w:val="0"/>
                <w:sz w:val="20"/>
                <w:u w:val="none"/>
              </w:rPr>
              <w:t>98.9%</w:t>
            </w:r>
          </w:p>
        </w:tc>
        <w:tc>
          <w:tcPr>
            <w:tcW w:type="dxa" w:w="1323"/>
          </w:tcPr>
          <w:p>
            <w:pPr>
              <w:spacing w:before="40" w:after="40" w:line="240" w:lineRule="auto"/>
              <w:jc w:val="left"/>
            </w:pPr>
            <w:r/>
            <w:r>
              <w:rPr>
                <w:rFonts w:ascii="Times New Roman" w:hAnsi="Times New Roman"/>
                <w:b w:val="0"/>
                <w:i w:val="0"/>
                <w:sz w:val="20"/>
                <w:u w:val="none"/>
              </w:rPr>
              <w:t>90.0%</w:t>
            </w:r>
          </w:p>
        </w:tc>
        <w:tc>
          <w:tcPr>
            <w:tcW w:type="dxa" w:w="1323"/>
          </w:tcPr>
          <w:p>
            <w:pPr>
              <w:spacing w:before="40" w:after="40" w:line="240" w:lineRule="auto"/>
              <w:jc w:val="left"/>
            </w:pPr>
            <w:r/>
            <w:r>
              <w:rPr>
                <w:rFonts w:ascii="Times New Roman" w:hAnsi="Times New Roman"/>
                <w:b w:val="0"/>
                <w:i w:val="0"/>
                <w:sz w:val="20"/>
                <w:u w:val="none"/>
              </w:rPr>
              <w:t>Safe</w:t>
            </w:r>
          </w:p>
        </w:tc>
      </w:tr>
      <w:tr>
        <w:tc>
          <w:tcPr>
            <w:tcW w:type="dxa" w:w="1323"/>
          </w:tcPr>
          <w:p>
            <w:pPr>
              <w:spacing w:before="40" w:after="40" w:line="240" w:lineRule="auto"/>
              <w:jc w:val="left"/>
            </w:pPr>
            <w:r/>
            <w:r>
              <w:rPr>
                <w:rFonts w:ascii="Times New Roman" w:hAnsi="Times New Roman"/>
                <w:b w:val="0"/>
                <w:i w:val="0"/>
                <w:sz w:val="20"/>
                <w:u w:val="none"/>
              </w:rPr>
              <w:t>Dual-Burden (High-Risk)</w:t>
            </w:r>
          </w:p>
        </w:tc>
        <w:tc>
          <w:tcPr>
            <w:tcW w:type="dxa" w:w="1323"/>
          </w:tcPr>
          <w:p>
            <w:pPr>
              <w:spacing w:before="40" w:after="40" w:line="240" w:lineRule="auto"/>
              <w:jc w:val="left"/>
            </w:pPr>
            <w:r/>
            <w:r>
              <w:rPr>
                <w:rFonts w:ascii="Times New Roman" w:hAnsi="Times New Roman"/>
                <w:b w:val="0"/>
                <w:i w:val="0"/>
                <w:sz w:val="20"/>
                <w:u w:val="none"/>
              </w:rPr>
              <w:t>136</w:t>
            </w:r>
          </w:p>
        </w:tc>
        <w:tc>
          <w:tcPr>
            <w:tcW w:type="dxa" w:w="1323"/>
          </w:tcPr>
          <w:p>
            <w:pPr>
              <w:spacing w:before="40" w:after="40" w:line="240" w:lineRule="auto"/>
              <w:jc w:val="left"/>
            </w:pPr>
            <w:r/>
            <w:r>
              <w:rPr>
                <w:rFonts w:ascii="Times New Roman" w:hAnsi="Times New Roman"/>
                <w:b w:val="0"/>
                <w:i w:val="0"/>
                <w:sz w:val="20"/>
                <w:u w:val="none"/>
              </w:rPr>
              <w:t>81.6%</w:t>
            </w:r>
          </w:p>
        </w:tc>
        <w:tc>
          <w:tcPr>
            <w:tcW w:type="dxa" w:w="1323"/>
          </w:tcPr>
          <w:p>
            <w:pPr>
              <w:spacing w:before="40" w:after="40" w:line="240" w:lineRule="auto"/>
              <w:jc w:val="left"/>
            </w:pPr>
            <w:r/>
            <w:r>
              <w:rPr>
                <w:rFonts w:ascii="Times New Roman" w:hAnsi="Times New Roman"/>
                <w:b w:val="0"/>
                <w:i w:val="0"/>
                <w:sz w:val="20"/>
                <w:u w:val="none"/>
              </w:rPr>
              <w:t>90.4%</w:t>
            </w:r>
          </w:p>
        </w:tc>
        <w:tc>
          <w:tcPr>
            <w:tcW w:type="dxa" w:w="1323"/>
          </w:tcPr>
          <w:p>
            <w:pPr>
              <w:spacing w:before="40" w:after="40" w:line="240" w:lineRule="auto"/>
              <w:jc w:val="left"/>
            </w:pPr>
            <w:r/>
            <w:r>
              <w:rPr>
                <w:rFonts w:ascii="Times New Roman" w:hAnsi="Times New Roman"/>
                <w:b w:val="0"/>
                <w:i w:val="0"/>
                <w:sz w:val="20"/>
                <w:u w:val="none"/>
              </w:rPr>
              <w:t>90.0%</w:t>
            </w:r>
          </w:p>
        </w:tc>
        <w:tc>
          <w:tcPr>
            <w:tcW w:type="dxa" w:w="1323"/>
          </w:tcPr>
          <w:p>
            <w:pPr>
              <w:spacing w:before="40" w:after="40" w:line="240" w:lineRule="auto"/>
              <w:jc w:val="left"/>
            </w:pPr>
            <w:r/>
            <w:r>
              <w:rPr>
                <w:rFonts w:ascii="Times New Roman" w:hAnsi="Times New Roman"/>
                <w:b w:val="0"/>
                <w:i w:val="0"/>
                <w:sz w:val="20"/>
                <w:u w:val="none"/>
              </w:rPr>
              <w:t>Restored</w:t>
            </w:r>
          </w:p>
        </w:tc>
      </w:tr>
    </w:tbl>
    <w:p>
      <w:pPr>
        <w:keepNext w:val="0"/>
        <w:spacing w:before="0" w:after="200" w:line="360" w:lineRule="auto"/>
        <w:jc w:val="both"/>
      </w:pPr>
    </w:p>
    <w:p>
      <w:pPr>
        <w:keepNext/>
        <w:spacing w:before="360" w:after="120" w:line="360" w:lineRule="auto"/>
        <w:jc w:val="left"/>
      </w:pPr>
      <w:r>
        <w:rPr>
          <w:rFonts w:ascii="Times New Roman" w:hAnsi="Times New Roman"/>
          <w:b/>
          <w:i w:val="0"/>
          <w:sz w:val="24"/>
          <w:u w:val="single"/>
        </w:rPr>
        <w:t>2.9   Gap Analysis Summary</w:t>
      </w:r>
    </w:p>
    <w:p>
      <w:pPr>
        <w:keepNext w:val="0"/>
        <w:spacing w:before="0" w:after="80" w:line="360" w:lineRule="auto"/>
        <w:ind w:left="850" w:hanging="850"/>
        <w:jc w:val="both"/>
      </w:pPr>
      <w:r>
        <w:rPr>
          <w:rFonts w:ascii="Times New Roman" w:hAnsi="Times New Roman"/>
          <w:b/>
          <w:i w:val="0"/>
          <w:sz w:val="24"/>
          <w:u w:val="none"/>
        </w:rPr>
        <w:t>1.</w:t>
        <w:tab/>
      </w:r>
      <w:r>
        <w:rPr>
          <w:rFonts w:ascii="Times New Roman" w:hAnsi="Times New Roman"/>
          <w:b w:val="0"/>
          <w:i w:val="0"/>
          <w:sz w:val="24"/>
          <w:u w:val="none"/>
        </w:rPr>
        <w:t>Clinical indices exhibit structural degradation in normal-BMI cohorts due to BMI variance compression and pathway heterogeneity, not merely statistical noise.</w:t>
      </w:r>
    </w:p>
    <w:p>
      <w:pPr>
        <w:keepNext w:val="0"/>
        <w:spacing w:before="0" w:after="80" w:line="360" w:lineRule="auto"/>
        <w:ind w:left="850" w:hanging="850"/>
        <w:jc w:val="both"/>
      </w:pPr>
      <w:r>
        <w:rPr>
          <w:rFonts w:ascii="Times New Roman" w:hAnsi="Times New Roman"/>
          <w:b/>
          <w:i w:val="0"/>
          <w:sz w:val="24"/>
          <w:u w:val="none"/>
        </w:rPr>
        <w:t>2.</w:t>
        <w:tab/>
      </w:r>
      <w:r>
        <w:rPr>
          <w:rFonts w:ascii="Times New Roman" w:hAnsi="Times New Roman"/>
          <w:b w:val="0"/>
          <w:i w:val="0"/>
          <w:sz w:val="24"/>
          <w:u w:val="none"/>
        </w:rPr>
        <w:t>Standard ML classifiers lack latent structure and cannot disentangle insulin resistance from hepatic steatosis.</w:t>
      </w:r>
    </w:p>
    <w:p>
      <w:pPr>
        <w:keepNext w:val="0"/>
        <w:spacing w:before="0" w:after="80" w:line="360" w:lineRule="auto"/>
        <w:ind w:left="850" w:hanging="850"/>
        <w:jc w:val="both"/>
      </w:pPr>
      <w:r>
        <w:rPr>
          <w:rFonts w:ascii="Times New Roman" w:hAnsi="Times New Roman"/>
          <w:b/>
          <w:i w:val="0"/>
          <w:sz w:val="24"/>
          <w:u w:val="none"/>
        </w:rPr>
        <w:t>3.</w:t>
        <w:tab/>
      </w:r>
      <w:r>
        <w:rPr>
          <w:rFonts w:ascii="Times New Roman" w:hAnsi="Times New Roman"/>
          <w:b w:val="0"/>
          <w:i w:val="0"/>
          <w:sz w:val="24"/>
          <w:u w:val="none"/>
        </w:rPr>
        <w:t>Standard VAEs lack identifiability and anchoring, making their latent spaces clinically uninterpretable.</w:t>
      </w:r>
    </w:p>
    <w:p>
      <w:pPr>
        <w:keepNext w:val="0"/>
        <w:spacing w:before="0" w:after="80" w:line="360" w:lineRule="auto"/>
        <w:ind w:left="850" w:hanging="850"/>
        <w:jc w:val="both"/>
      </w:pPr>
      <w:r>
        <w:rPr>
          <w:rFonts w:ascii="Times New Roman" w:hAnsi="Times New Roman"/>
          <w:b/>
          <w:i w:val="0"/>
          <w:sz w:val="24"/>
          <w:u w:val="none"/>
        </w:rPr>
        <w:t>4.</w:t>
        <w:tab/>
      </w:r>
      <w:r>
        <w:rPr>
          <w:rFonts w:ascii="Times New Roman" w:hAnsi="Times New Roman"/>
          <w:b w:val="0"/>
          <w:i w:val="0"/>
          <w:sz w:val="24"/>
          <w:u w:val="none"/>
        </w:rPr>
        <w:t>No existing system provides subgroup-conditional safety guarantees.</w:t>
      </w:r>
    </w:p>
    <w:p>
      <w:pPr>
        <w:keepNext w:val="0"/>
        <w:spacing w:before="0" w:after="80" w:line="360" w:lineRule="auto"/>
        <w:ind w:left="850" w:hanging="850"/>
        <w:jc w:val="both"/>
      </w:pPr>
      <w:r>
        <w:rPr>
          <w:rFonts w:ascii="Times New Roman" w:hAnsi="Times New Roman"/>
          <w:b/>
          <w:i w:val="0"/>
          <w:sz w:val="24"/>
          <w:u w:val="none"/>
        </w:rPr>
        <w:t>5.</w:t>
        <w:tab/>
      </w:r>
      <w:r>
        <w:rPr>
          <w:rFonts w:ascii="Times New Roman" w:hAnsi="Times New Roman"/>
          <w:b w:val="0"/>
          <w:i w:val="0"/>
          <w:sz w:val="24"/>
          <w:u w:val="none"/>
        </w:rPr>
        <w:t>No existing system integrates methodological novelty with full-stack engineering.</w:t>
      </w:r>
    </w:p>
    <w:p>
      <w:pPr>
        <w:keepNext/>
        <w:spacing w:before="360" w:after="120" w:line="360" w:lineRule="auto"/>
        <w:jc w:val="left"/>
      </w:pPr>
      <w:r>
        <w:rPr>
          <w:rFonts w:ascii="Times New Roman" w:hAnsi="Times New Roman"/>
          <w:b/>
          <w:i w:val="0"/>
          <w:sz w:val="24"/>
          <w:u w:val="single"/>
        </w:rPr>
        <w:t>2.10   Clinical Utility Analysis</w:t>
      </w:r>
    </w:p>
    <w:p>
      <w:pPr>
        <w:keepNext/>
        <w:spacing w:before="240" w:after="80" w:line="240" w:lineRule="auto"/>
        <w:jc w:val="center"/>
      </w:pPr>
      <w:r>
        <w:rPr>
          <w:rFonts w:ascii="Times New Roman" w:hAnsi="Times New Roman"/>
          <w:b/>
          <w:i w:val="0"/>
          <w:sz w:val="20"/>
          <w:u w:val="none"/>
        </w:rPr>
        <w:t>Table 5: Clinical utility and cost comparison matrix</w:t>
      </w:r>
    </w:p>
    <w:tbl>
      <w:tblPr>
        <w:tblStyle w:val="TableGrid"/>
        <w:tblW w:type="auto" w:w="0"/>
        <w:tblLook w:firstColumn="1" w:firstRow="1" w:lastColumn="0" w:lastRow="0" w:noHBand="0" w:noVBand="1" w:val="04A0"/>
      </w:tblPr>
      <w:tblGrid>
        <w:gridCol w:w="1323"/>
        <w:gridCol w:w="1323"/>
        <w:gridCol w:w="1323"/>
        <w:gridCol w:w="1323"/>
        <w:gridCol w:w="1323"/>
        <w:gridCol w:w="1323"/>
      </w:tblGrid>
      <w:tr>
        <w:tc>
          <w:tcPr>
            <w:tcW w:type="dxa" w:w="1323"/>
          </w:tcPr>
          <w:p>
            <w:pPr>
              <w:spacing w:before="40" w:after="40" w:line="240" w:lineRule="auto"/>
              <w:jc w:val="center"/>
            </w:pPr>
            <w:r/>
            <w:r>
              <w:rPr>
                <w:rFonts w:ascii="Times New Roman" w:hAnsi="Times New Roman"/>
                <w:b/>
                <w:i w:val="0"/>
                <w:sz w:val="20"/>
                <w:u w:val="none"/>
              </w:rPr>
              <w:t>Method</w:t>
            </w:r>
          </w:p>
        </w:tc>
        <w:tc>
          <w:tcPr>
            <w:tcW w:type="dxa" w:w="1323"/>
          </w:tcPr>
          <w:p>
            <w:pPr>
              <w:spacing w:before="40" w:after="40" w:line="240" w:lineRule="auto"/>
              <w:jc w:val="center"/>
            </w:pPr>
            <w:r/>
            <w:r>
              <w:rPr>
                <w:rFonts w:ascii="Times New Roman" w:hAnsi="Times New Roman"/>
                <w:b/>
                <w:i w:val="0"/>
                <w:sz w:val="20"/>
                <w:u w:val="none"/>
              </w:rPr>
              <w:t>Cost</w:t>
            </w:r>
          </w:p>
        </w:tc>
        <w:tc>
          <w:tcPr>
            <w:tcW w:type="dxa" w:w="1323"/>
          </w:tcPr>
          <w:p>
            <w:pPr>
              <w:spacing w:before="40" w:after="40" w:line="240" w:lineRule="auto"/>
              <w:jc w:val="center"/>
            </w:pPr>
            <w:r/>
            <w:r>
              <w:rPr>
                <w:rFonts w:ascii="Times New Roman" w:hAnsi="Times New Roman"/>
                <w:b/>
                <w:i w:val="0"/>
                <w:sz w:val="20"/>
                <w:u w:val="none"/>
              </w:rPr>
              <w:t>CAP Required</w:t>
            </w:r>
          </w:p>
        </w:tc>
        <w:tc>
          <w:tcPr>
            <w:tcW w:type="dxa" w:w="1323"/>
          </w:tcPr>
          <w:p>
            <w:pPr>
              <w:spacing w:before="40" w:after="40" w:line="240" w:lineRule="auto"/>
              <w:jc w:val="center"/>
            </w:pPr>
            <w:r/>
            <w:r>
              <w:rPr>
                <w:rFonts w:ascii="Times New Roman" w:hAnsi="Times New Roman"/>
                <w:b/>
                <w:i w:val="0"/>
                <w:sz w:val="20"/>
                <w:u w:val="none"/>
              </w:rPr>
              <w:t>FibroScan Required</w:t>
            </w:r>
          </w:p>
        </w:tc>
        <w:tc>
          <w:tcPr>
            <w:tcW w:type="dxa" w:w="1323"/>
          </w:tcPr>
          <w:p>
            <w:pPr>
              <w:spacing w:before="40" w:after="40" w:line="240" w:lineRule="auto"/>
              <w:jc w:val="center"/>
            </w:pPr>
            <w:r/>
            <w:r>
              <w:rPr>
                <w:rFonts w:ascii="Times New Roman" w:hAnsi="Times New Roman"/>
                <w:b/>
                <w:i w:val="0"/>
                <w:sz w:val="20"/>
                <w:u w:val="none"/>
              </w:rPr>
              <w:t>Latent Risk Map</w:t>
            </w:r>
          </w:p>
        </w:tc>
        <w:tc>
          <w:tcPr>
            <w:tcW w:type="dxa" w:w="1323"/>
          </w:tcPr>
          <w:p>
            <w:pPr>
              <w:spacing w:before="40" w:after="40" w:line="240" w:lineRule="auto"/>
              <w:jc w:val="center"/>
            </w:pPr>
            <w:r/>
            <w:r>
              <w:rPr>
                <w:rFonts w:ascii="Times New Roman" w:hAnsi="Times New Roman"/>
                <w:b/>
                <w:i w:val="0"/>
                <w:sz w:val="20"/>
                <w:u w:val="none"/>
              </w:rPr>
              <w:t>Primary Care Accessibility</w:t>
            </w:r>
          </w:p>
        </w:tc>
      </w:tr>
      <w:tr>
        <w:tc>
          <w:tcPr>
            <w:tcW w:type="dxa" w:w="1323"/>
          </w:tcPr>
          <w:p>
            <w:pPr>
              <w:spacing w:before="40" w:after="40" w:line="240" w:lineRule="auto"/>
              <w:jc w:val="left"/>
            </w:pPr>
            <w:r/>
            <w:r>
              <w:rPr>
                <w:rFonts w:ascii="Times New Roman" w:hAnsi="Times New Roman"/>
                <w:b w:val="0"/>
                <w:i w:val="0"/>
                <w:sz w:val="20"/>
                <w:u w:val="none"/>
              </w:rPr>
              <w:t>HOMA-IR</w:t>
            </w:r>
          </w:p>
        </w:tc>
        <w:tc>
          <w:tcPr>
            <w:tcW w:type="dxa" w:w="1323"/>
          </w:tcPr>
          <w:p>
            <w:pPr>
              <w:spacing w:before="40" w:after="40" w:line="240" w:lineRule="auto"/>
              <w:jc w:val="left"/>
            </w:pPr>
            <w:r/>
            <w:r>
              <w:rPr>
                <w:rFonts w:ascii="Times New Roman" w:hAnsi="Times New Roman"/>
                <w:b w:val="0"/>
                <w:i w:val="0"/>
                <w:sz w:val="20"/>
                <w:u w:val="none"/>
              </w:rPr>
              <w:t>Moderate lab cost</w:t>
            </w:r>
          </w:p>
        </w:tc>
        <w:tc>
          <w:tcPr>
            <w:tcW w:type="dxa" w:w="1323"/>
          </w:tcPr>
          <w:p>
            <w:pPr>
              <w:spacing w:before="40" w:after="40" w:line="240" w:lineRule="auto"/>
              <w:jc w:val="left"/>
            </w:pPr>
            <w:r/>
            <w:r>
              <w:rPr>
                <w:rFonts w:ascii="Times New Roman" w:hAnsi="Times New Roman"/>
                <w:b w:val="0"/>
                <w:i w:val="0"/>
                <w:sz w:val="20"/>
                <w:u w:val="none"/>
              </w:rPr>
              <w:t>No</w:t>
            </w:r>
          </w:p>
        </w:tc>
        <w:tc>
          <w:tcPr>
            <w:tcW w:type="dxa" w:w="1323"/>
          </w:tcPr>
          <w:p>
            <w:pPr>
              <w:spacing w:before="40" w:after="40" w:line="240" w:lineRule="auto"/>
              <w:jc w:val="left"/>
            </w:pPr>
            <w:r/>
            <w:r>
              <w:rPr>
                <w:rFonts w:ascii="Times New Roman" w:hAnsi="Times New Roman"/>
                <w:b w:val="0"/>
                <w:i w:val="0"/>
                <w:sz w:val="20"/>
                <w:u w:val="none"/>
              </w:rPr>
              <w:t>No</w:t>
            </w:r>
          </w:p>
        </w:tc>
        <w:tc>
          <w:tcPr>
            <w:tcW w:type="dxa" w:w="1323"/>
          </w:tcPr>
          <w:p>
            <w:pPr>
              <w:spacing w:before="40" w:after="40" w:line="240" w:lineRule="auto"/>
              <w:jc w:val="left"/>
            </w:pPr>
            <w:r/>
            <w:r>
              <w:rPr>
                <w:rFonts w:ascii="Times New Roman" w:hAnsi="Times New Roman"/>
                <w:b w:val="0"/>
                <w:i w:val="0"/>
                <w:sz w:val="20"/>
                <w:u w:val="none"/>
              </w:rPr>
              <w:t>No</w:t>
            </w:r>
          </w:p>
        </w:tc>
        <w:tc>
          <w:tcPr>
            <w:tcW w:type="dxa" w:w="1323"/>
          </w:tcPr>
          <w:p>
            <w:pPr>
              <w:spacing w:before="40" w:after="40" w:line="240" w:lineRule="auto"/>
              <w:jc w:val="left"/>
            </w:pPr>
            <w:r/>
            <w:r>
              <w:rPr>
                <w:rFonts w:ascii="Times New Roman" w:hAnsi="Times New Roman"/>
                <w:b w:val="0"/>
                <w:i w:val="0"/>
                <w:sz w:val="20"/>
                <w:u w:val="none"/>
              </w:rPr>
              <w:t>Accessible (fasting insulin + glucose)</w:t>
            </w:r>
          </w:p>
        </w:tc>
      </w:tr>
      <w:tr>
        <w:tc>
          <w:tcPr>
            <w:tcW w:type="dxa" w:w="1323"/>
          </w:tcPr>
          <w:p>
            <w:pPr>
              <w:spacing w:before="40" w:after="40" w:line="240" w:lineRule="auto"/>
              <w:jc w:val="left"/>
            </w:pPr>
            <w:r/>
            <w:r>
              <w:rPr>
                <w:rFonts w:ascii="Times New Roman" w:hAnsi="Times New Roman"/>
                <w:b w:val="0"/>
                <w:i w:val="0"/>
                <w:sz w:val="20"/>
                <w:u w:val="none"/>
              </w:rPr>
              <w:t>CAP (FibroScan)</w:t>
            </w:r>
          </w:p>
        </w:tc>
        <w:tc>
          <w:tcPr>
            <w:tcW w:type="dxa" w:w="1323"/>
          </w:tcPr>
          <w:p>
            <w:pPr>
              <w:spacing w:before="40" w:after="40" w:line="240" w:lineRule="auto"/>
              <w:jc w:val="left"/>
            </w:pPr>
            <w:r/>
            <w:r>
              <w:rPr>
                <w:rFonts w:ascii="Times New Roman" w:hAnsi="Times New Roman"/>
                <w:b w:val="0"/>
                <w:i w:val="0"/>
                <w:sz w:val="20"/>
                <w:u w:val="none"/>
              </w:rPr>
              <w:t>$300-$500/scan</w:t>
            </w:r>
          </w:p>
        </w:tc>
        <w:tc>
          <w:tcPr>
            <w:tcW w:type="dxa" w:w="1323"/>
          </w:tcPr>
          <w:p>
            <w:pPr>
              <w:spacing w:before="40" w:after="40" w:line="240" w:lineRule="auto"/>
              <w:jc w:val="left"/>
            </w:pPr>
            <w:r/>
            <w:r>
              <w:rPr>
                <w:rFonts w:ascii="Times New Roman" w:hAnsi="Times New Roman"/>
                <w:b w:val="0"/>
                <w:i w:val="0"/>
                <w:sz w:val="20"/>
                <w:u w:val="none"/>
              </w:rPr>
              <w:t>Yes</w:t>
            </w:r>
          </w:p>
        </w:tc>
        <w:tc>
          <w:tcPr>
            <w:tcW w:type="dxa" w:w="1323"/>
          </w:tcPr>
          <w:p>
            <w:pPr>
              <w:spacing w:before="40" w:after="40" w:line="240" w:lineRule="auto"/>
              <w:jc w:val="left"/>
            </w:pPr>
            <w:r/>
            <w:r>
              <w:rPr>
                <w:rFonts w:ascii="Times New Roman" w:hAnsi="Times New Roman"/>
                <w:b w:val="0"/>
                <w:i w:val="0"/>
                <w:sz w:val="20"/>
                <w:u w:val="none"/>
              </w:rPr>
              <w:t>Yes</w:t>
            </w:r>
          </w:p>
        </w:tc>
        <w:tc>
          <w:tcPr>
            <w:tcW w:type="dxa" w:w="1323"/>
          </w:tcPr>
          <w:p>
            <w:pPr>
              <w:spacing w:before="40" w:after="40" w:line="240" w:lineRule="auto"/>
              <w:jc w:val="left"/>
            </w:pPr>
            <w:r/>
            <w:r>
              <w:rPr>
                <w:rFonts w:ascii="Times New Roman" w:hAnsi="Times New Roman"/>
                <w:b w:val="0"/>
                <w:i w:val="0"/>
                <w:sz w:val="20"/>
                <w:u w:val="none"/>
              </w:rPr>
              <w:t>No</w:t>
            </w:r>
          </w:p>
        </w:tc>
        <w:tc>
          <w:tcPr>
            <w:tcW w:type="dxa" w:w="1323"/>
          </w:tcPr>
          <w:p>
            <w:pPr>
              <w:spacing w:before="40" w:after="40" w:line="240" w:lineRule="auto"/>
              <w:jc w:val="left"/>
            </w:pPr>
            <w:r/>
            <w:r>
              <w:rPr>
                <w:rFonts w:ascii="Times New Roman" w:hAnsi="Times New Roman"/>
                <w:b w:val="0"/>
                <w:i w:val="0"/>
                <w:sz w:val="20"/>
                <w:u w:val="none"/>
              </w:rPr>
              <w:t>Low (specialist referral required)</w:t>
            </w:r>
          </w:p>
        </w:tc>
      </w:tr>
      <w:tr>
        <w:tc>
          <w:tcPr>
            <w:tcW w:type="dxa" w:w="1323"/>
          </w:tcPr>
          <w:p>
            <w:pPr>
              <w:spacing w:before="40" w:after="40" w:line="240" w:lineRule="auto"/>
              <w:jc w:val="left"/>
            </w:pPr>
            <w:r/>
            <w:r>
              <w:rPr>
                <w:rFonts w:ascii="Times New Roman" w:hAnsi="Times New Roman"/>
                <w:b w:val="0"/>
                <w:i w:val="0"/>
                <w:sz w:val="20"/>
                <w:u w:val="none"/>
              </w:rPr>
              <w:t>Fatty Liver Index</w:t>
            </w:r>
          </w:p>
        </w:tc>
        <w:tc>
          <w:tcPr>
            <w:tcW w:type="dxa" w:w="1323"/>
          </w:tcPr>
          <w:p>
            <w:pPr>
              <w:spacing w:before="40" w:after="40" w:line="240" w:lineRule="auto"/>
              <w:jc w:val="left"/>
            </w:pPr>
            <w:r/>
            <w:r>
              <w:rPr>
                <w:rFonts w:ascii="Times New Roman" w:hAnsi="Times New Roman"/>
                <w:b w:val="0"/>
                <w:i w:val="0"/>
                <w:sz w:val="20"/>
                <w:u w:val="none"/>
              </w:rPr>
              <w:t>None</w:t>
            </w:r>
          </w:p>
        </w:tc>
        <w:tc>
          <w:tcPr>
            <w:tcW w:type="dxa" w:w="1323"/>
          </w:tcPr>
          <w:p>
            <w:pPr>
              <w:spacing w:before="40" w:after="40" w:line="240" w:lineRule="auto"/>
              <w:jc w:val="left"/>
            </w:pPr>
            <w:r/>
            <w:r>
              <w:rPr>
                <w:rFonts w:ascii="Times New Roman" w:hAnsi="Times New Roman"/>
                <w:b w:val="0"/>
                <w:i w:val="0"/>
                <w:sz w:val="20"/>
                <w:u w:val="none"/>
              </w:rPr>
              <w:t>No</w:t>
            </w:r>
          </w:p>
        </w:tc>
        <w:tc>
          <w:tcPr>
            <w:tcW w:type="dxa" w:w="1323"/>
          </w:tcPr>
          <w:p>
            <w:pPr>
              <w:spacing w:before="40" w:after="40" w:line="240" w:lineRule="auto"/>
              <w:jc w:val="left"/>
            </w:pPr>
            <w:r/>
            <w:r>
              <w:rPr>
                <w:rFonts w:ascii="Times New Roman" w:hAnsi="Times New Roman"/>
                <w:b w:val="0"/>
                <w:i w:val="0"/>
                <w:sz w:val="20"/>
                <w:u w:val="none"/>
              </w:rPr>
              <w:t>No</w:t>
            </w:r>
          </w:p>
        </w:tc>
        <w:tc>
          <w:tcPr>
            <w:tcW w:type="dxa" w:w="1323"/>
          </w:tcPr>
          <w:p>
            <w:pPr>
              <w:spacing w:before="40" w:after="40" w:line="240" w:lineRule="auto"/>
              <w:jc w:val="left"/>
            </w:pPr>
            <w:r/>
            <w:r>
              <w:rPr>
                <w:rFonts w:ascii="Times New Roman" w:hAnsi="Times New Roman"/>
                <w:b w:val="0"/>
                <w:i w:val="0"/>
                <w:sz w:val="20"/>
                <w:u w:val="none"/>
              </w:rPr>
              <w:t>No</w:t>
            </w:r>
          </w:p>
        </w:tc>
        <w:tc>
          <w:tcPr>
            <w:tcW w:type="dxa" w:w="1323"/>
          </w:tcPr>
          <w:p>
            <w:pPr>
              <w:spacing w:before="40" w:after="40" w:line="240" w:lineRule="auto"/>
              <w:jc w:val="left"/>
            </w:pPr>
            <w:r/>
            <w:r>
              <w:rPr>
                <w:rFonts w:ascii="Times New Roman" w:hAnsi="Times New Roman"/>
                <w:b w:val="0"/>
                <w:i w:val="0"/>
                <w:sz w:val="20"/>
                <w:u w:val="none"/>
              </w:rPr>
              <w:t>Accessible but degraded in normal-BMI</w:t>
            </w:r>
          </w:p>
        </w:tc>
      </w:tr>
      <w:tr>
        <w:tc>
          <w:tcPr>
            <w:tcW w:type="dxa" w:w="1323"/>
          </w:tcPr>
          <w:p>
            <w:pPr>
              <w:spacing w:before="40" w:after="40" w:line="240" w:lineRule="auto"/>
              <w:jc w:val="left"/>
            </w:pPr>
            <w:r/>
            <w:r>
              <w:rPr>
                <w:rFonts w:ascii="Times New Roman" w:hAnsi="Times New Roman"/>
                <w:b w:val="0"/>
                <w:i w:val="0"/>
                <w:sz w:val="20"/>
                <w:u w:val="none"/>
              </w:rPr>
              <w:t>LMSIS</w:t>
            </w:r>
          </w:p>
        </w:tc>
        <w:tc>
          <w:tcPr>
            <w:tcW w:type="dxa" w:w="1323"/>
          </w:tcPr>
          <w:p>
            <w:pPr>
              <w:spacing w:before="40" w:after="40" w:line="240" w:lineRule="auto"/>
              <w:jc w:val="left"/>
            </w:pPr>
            <w:r/>
            <w:r>
              <w:rPr>
                <w:rFonts w:ascii="Times New Roman" w:hAnsi="Times New Roman"/>
                <w:b w:val="0"/>
                <w:i w:val="0"/>
                <w:sz w:val="20"/>
                <w:u w:val="none"/>
              </w:rPr>
              <w:t>None</w:t>
            </w:r>
          </w:p>
        </w:tc>
        <w:tc>
          <w:tcPr>
            <w:tcW w:type="dxa" w:w="1323"/>
          </w:tcPr>
          <w:p>
            <w:pPr>
              <w:spacing w:before="40" w:after="40" w:line="240" w:lineRule="auto"/>
              <w:jc w:val="left"/>
            </w:pPr>
            <w:r/>
            <w:r>
              <w:rPr>
                <w:rFonts w:ascii="Times New Roman" w:hAnsi="Times New Roman"/>
                <w:b w:val="0"/>
                <w:i w:val="0"/>
                <w:sz w:val="20"/>
                <w:u w:val="none"/>
              </w:rPr>
              <w:t>No</w:t>
            </w:r>
          </w:p>
        </w:tc>
        <w:tc>
          <w:tcPr>
            <w:tcW w:type="dxa" w:w="1323"/>
          </w:tcPr>
          <w:p>
            <w:pPr>
              <w:spacing w:before="40" w:after="40" w:line="240" w:lineRule="auto"/>
              <w:jc w:val="left"/>
            </w:pPr>
            <w:r/>
            <w:r>
              <w:rPr>
                <w:rFonts w:ascii="Times New Roman" w:hAnsi="Times New Roman"/>
                <w:b w:val="0"/>
                <w:i w:val="0"/>
                <w:sz w:val="20"/>
                <w:u w:val="none"/>
              </w:rPr>
              <w:t>No</w:t>
            </w:r>
          </w:p>
        </w:tc>
        <w:tc>
          <w:tcPr>
            <w:tcW w:type="dxa" w:w="1323"/>
          </w:tcPr>
          <w:p>
            <w:pPr>
              <w:spacing w:before="40" w:after="40" w:line="240" w:lineRule="auto"/>
              <w:jc w:val="left"/>
            </w:pPr>
            <w:r/>
            <w:r>
              <w:rPr>
                <w:rFonts w:ascii="Times New Roman" w:hAnsi="Times New Roman"/>
                <w:b w:val="0"/>
                <w:i w:val="0"/>
                <w:sz w:val="20"/>
                <w:u w:val="none"/>
              </w:rPr>
              <w:t>Yes</w:t>
            </w:r>
          </w:p>
        </w:tc>
        <w:tc>
          <w:tcPr>
            <w:tcW w:type="dxa" w:w="1323"/>
          </w:tcPr>
          <w:p>
            <w:pPr>
              <w:spacing w:before="40" w:after="40" w:line="240" w:lineRule="auto"/>
              <w:jc w:val="left"/>
            </w:pPr>
            <w:r/>
            <w:r>
              <w:rPr>
                <w:rFonts w:ascii="Times New Roman" w:hAnsi="Times New Roman"/>
                <w:b w:val="0"/>
                <w:i w:val="0"/>
                <w:sz w:val="20"/>
                <w:u w:val="none"/>
              </w:rPr>
              <w:t>High (routine blood panel)</w:t>
            </w:r>
          </w:p>
        </w:tc>
      </w:tr>
    </w:tbl>
    <w:p>
      <w:pPr>
        <w:keepNext w:val="0"/>
        <w:spacing w:before="0" w:after="200" w:line="360" w:lineRule="auto"/>
        <w:jc w:val="both"/>
      </w:pPr>
    </w:p>
    <w:p>
      <w:pPr>
        <w:keepNext w:val="0"/>
        <w:spacing w:before="0" w:after="120" w:line="360" w:lineRule="auto"/>
        <w:jc w:val="both"/>
      </w:pPr>
      <w:r>
        <w:rPr>
          <w:rFonts w:ascii="Times New Roman" w:hAnsi="Times New Roman"/>
          <w:b w:val="0"/>
          <w:i w:val="0"/>
          <w:sz w:val="24"/>
          <w:u w:val="none"/>
        </w:rPr>
        <w:t>LMSIS serves as a cost-free, digital pre-screening translation layer. It leverages 14 routine blood biomarkers already collected during annual physical examinations. By placing normal-BMI patients on a continuous two-dimensional metabolic map (Z1, Z2), LMSIS identifies the hidden "Dual-Burden" subgroup who would otherwise bypass clinical criteria for specialist referrals.</w:t>
      </w:r>
    </w:p>
    <w:p>
      <w:pPr>
        <w:keepNext/>
        <w:spacing w:before="360" w:after="120" w:line="360" w:lineRule="auto"/>
        <w:jc w:val="left"/>
      </w:pPr>
      <w:r>
        <w:rPr>
          <w:rFonts w:ascii="Times New Roman" w:hAnsi="Times New Roman"/>
          <w:b/>
          <w:i w:val="0"/>
          <w:sz w:val="24"/>
          <w:u w:val="single"/>
        </w:rPr>
        <w:t>2.1   Domain Overview and Definitions</w:t>
      </w:r>
    </w:p>
    <w:p>
      <w:pPr>
        <w:keepNext/>
        <w:spacing w:before="240" w:after="80" w:line="360" w:lineRule="auto"/>
        <w:jc w:val="left"/>
      </w:pPr>
      <w:r>
        <w:rPr>
          <w:rFonts w:ascii="Times New Roman" w:hAnsi="Times New Roman"/>
          <w:b/>
          <w:i w:val="0"/>
          <w:sz w:val="24"/>
          <w:u w:val="single"/>
        </w:rPr>
        <w:t>2.1.1   Metabolic Dysfunction-Associated Steatotic Liver Disease (MASLD)</w:t>
      </w:r>
    </w:p>
    <w:p>
      <w:pPr>
        <w:keepNext w:val="0"/>
        <w:spacing w:before="0" w:after="120" w:line="360" w:lineRule="auto"/>
        <w:jc w:val="both"/>
      </w:pPr>
      <w:r>
        <w:rPr>
          <w:rFonts w:ascii="Times New Roman" w:hAnsi="Times New Roman"/>
          <w:b w:val="0"/>
          <w:i w:val="0"/>
          <w:sz w:val="24"/>
          <w:u w:val="none"/>
        </w:rPr>
        <w:t>Formerly known as NAFLD, MASLD is defined as hepatic steatosis (&gt;=10% fat accumulation) in the absence of excessive alcohol consumption, coupled with metabolic risk factors. The disease spectrum ranges from simple steatosis to steatohepatitis (MASH), fibrosis, and cirrhosis. MASLD affects approximately 25% of the global population and is the most common chronic liver disease worldwide. Crucially, the diagnostic criteria for MASLD were formally updated in 2023 by a multisociety Delphi consensus to affirmatively include cardiometabolic criteria rather than relying on a diagnosis of exclusion. This shift underscores the systemic nature of the pathology, embedding liver health firmly within the broader metabolic syndrome spectrum.</w:t>
      </w:r>
    </w:p>
    <w:p>
      <w:pPr>
        <w:keepNext/>
        <w:spacing w:before="240" w:after="80" w:line="360" w:lineRule="auto"/>
        <w:jc w:val="left"/>
      </w:pPr>
      <w:r>
        <w:rPr>
          <w:rFonts w:ascii="Times New Roman" w:hAnsi="Times New Roman"/>
          <w:b/>
          <w:i w:val="0"/>
          <w:sz w:val="24"/>
          <w:u w:val="single"/>
        </w:rPr>
        <w:t>2.1.2   Insulin Resistance (IR)</w:t>
      </w:r>
    </w:p>
    <w:p>
      <w:pPr>
        <w:keepNext w:val="0"/>
        <w:spacing w:before="0" w:after="120" w:line="360" w:lineRule="auto"/>
        <w:jc w:val="both"/>
      </w:pPr>
      <w:r>
        <w:rPr>
          <w:rFonts w:ascii="Times New Roman" w:hAnsi="Times New Roman"/>
          <w:b w:val="0"/>
          <w:i w:val="0"/>
          <w:sz w:val="24"/>
          <w:u w:val="none"/>
        </w:rPr>
        <w:t>A pathological condition in which cells fail to respond normally to insulin. In clinical practice, IR is commonly approximated by the Homeostatic Model Assessment for Insulin Resistance (HOMA-IR). Insulin resistance serves as the primary pathophysiological driver for a cascade of metabolic derangements, including hyperinsulinemia, impaired glucose tolerance, and type 2 diabetes mellitus (T2DM). Within the context of the liver, IR promotes de novo lipogenesis and impairs beta-oxidation, inextricably linking it to MASLD.</w:t>
      </w:r>
    </w:p>
    <w:p>
      <w:pPr>
        <w:keepNext/>
        <w:spacing w:before="240" w:after="80" w:line="360" w:lineRule="auto"/>
        <w:jc w:val="left"/>
      </w:pPr>
      <w:r>
        <w:rPr>
          <w:rFonts w:ascii="Times New Roman" w:hAnsi="Times New Roman"/>
          <w:b/>
          <w:i w:val="0"/>
          <w:sz w:val="24"/>
          <w:u w:val="single"/>
        </w:rPr>
        <w:t>2.1.3   The Lean Metabolic Phenotype (MONW)</w:t>
      </w:r>
    </w:p>
    <w:p>
      <w:pPr>
        <w:keepNext w:val="0"/>
        <w:spacing w:before="0" w:after="120" w:line="360" w:lineRule="auto"/>
        <w:jc w:val="both"/>
      </w:pPr>
      <w:r>
        <w:rPr>
          <w:rFonts w:ascii="Times New Roman" w:hAnsi="Times New Roman"/>
          <w:b w:val="0"/>
          <w:i w:val="0"/>
          <w:sz w:val="24"/>
          <w:u w:val="none"/>
        </w:rPr>
        <w:t>Metabolically Obese Normal Weight (MONW) defines individuals who maintain a normal body mass index (BMI) between 18.5 and 24.9 kg/m^2, yet exhibit the metabolic risk profile typical of obesity. These individuals often present with visceral adiposity, insulin resistance, and atherogenic dyslipidemia. Because they lack the classical phenotypic presentation of obesity, they are systematically overlooked in standard clinical triage, rendering MONW a "silent epidemic." Early identification of this cohort is paramount, as they frequently experience a higher relative risk of cardiovascular events than obese individuals with similar metabolic profiles, potentially due to delayed diagnosis.</w:t>
      </w:r>
    </w:p>
    <w:p>
      <w:pPr>
        <w:keepNext/>
        <w:spacing w:before="360" w:after="120" w:line="360" w:lineRule="auto"/>
        <w:jc w:val="left"/>
      </w:pPr>
      <w:r>
        <w:rPr>
          <w:rFonts w:ascii="Times New Roman" w:hAnsi="Times New Roman"/>
          <w:b/>
          <w:i w:val="0"/>
          <w:sz w:val="24"/>
          <w:u w:val="single"/>
        </w:rPr>
        <w:t>2.2   Critical Comparison of Existing Metabolic Screening Systems</w:t>
      </w:r>
    </w:p>
    <w:p>
      <w:pPr>
        <w:keepNext/>
        <w:spacing w:before="240" w:after="80" w:line="360" w:lineRule="auto"/>
        <w:jc w:val="left"/>
      </w:pPr>
      <w:r>
        <w:rPr>
          <w:rFonts w:ascii="Times New Roman" w:hAnsi="Times New Roman"/>
          <w:b/>
          <w:i w:val="0"/>
          <w:sz w:val="24"/>
          <w:u w:val="single"/>
        </w:rPr>
        <w:t>2.2.1   Anthropometric Indices</w:t>
      </w:r>
    </w:p>
    <w:p>
      <w:pPr>
        <w:keepNext w:val="0"/>
        <w:spacing w:before="0" w:after="120" w:line="360" w:lineRule="auto"/>
        <w:jc w:val="both"/>
      </w:pPr>
      <w:r>
        <w:rPr>
          <w:rFonts w:ascii="Times New Roman" w:hAnsi="Times New Roman"/>
          <w:b w:val="0"/>
          <w:i w:val="0"/>
          <w:sz w:val="24"/>
          <w:u w:val="none"/>
        </w:rPr>
        <w:t>The cornerstone of metabolic screening has historically been anthropometry, primarily the Body Mass Index (BMI). While BMI is statistically useful at the epidemiological scale, its validity at the individual level—particularly for assessing metabolic risk—is deeply flawed. Romero-Corral et al. (2008) demonstrated that BMI misclassifies over 50% of individuals with excess adiposity. BMI does not differentiate between subcutaneous adipose tissue (which is relatively metabolically inert) and visceral adipose tissue (which is highly pathogenic and inflammatory). Consequently, BMI functions poorly as a triage tool for MASLD or IR in normal-weight individuals.</w:t>
      </w:r>
    </w:p>
    <w:p>
      <w:pPr>
        <w:keepNext/>
        <w:spacing w:before="240" w:after="80" w:line="360" w:lineRule="auto"/>
        <w:jc w:val="left"/>
      </w:pPr>
      <w:r>
        <w:rPr>
          <w:rFonts w:ascii="Times New Roman" w:hAnsi="Times New Roman"/>
          <w:b/>
          <w:i w:val="0"/>
          <w:sz w:val="24"/>
          <w:u w:val="single"/>
        </w:rPr>
        <w:t>2.2.2   Composite Biochemical Indices (FLI, HSI, TyG)</w:t>
      </w:r>
    </w:p>
    <w:p>
      <w:pPr>
        <w:keepNext w:val="0"/>
        <w:spacing w:before="0" w:after="120" w:line="360" w:lineRule="auto"/>
        <w:jc w:val="both"/>
      </w:pPr>
      <w:r>
        <w:rPr>
          <w:rFonts w:ascii="Times New Roman" w:hAnsi="Times New Roman"/>
          <w:b w:val="0"/>
          <w:i w:val="0"/>
          <w:sz w:val="24"/>
          <w:u w:val="none"/>
        </w:rPr>
        <w:t>To overcome the limitations of BMI, several composite indices were developed utilizing routine biochemical parameters. The Fatty Liver Index (FLI) integrates triglycerides, GGT, BMI, and waist circumference. While validated in obese cohorts (AUROC &gt; 0.80), its reliance on waist circumference causes its discriminative power to plummet in lean populations. Similarly, the Hepatic Steatosis Index (HSI) and the Triglyceride-Glucose (TyG) index rely on linear algebraic formulations. Biological systems, however, are inherently non-linear. A simple linear sum of fasting glucose and triglycerides fails to capture the synergistic, compounding toxicity of concurrent hyperinsulinemia and lipotoxicity. As a result, these tools consistently under-diagnose the Dual-Burden lean phenotype.</w:t>
      </w:r>
    </w:p>
    <w:p>
      <w:pPr>
        <w:keepNext/>
        <w:spacing w:before="360" w:after="120" w:line="360" w:lineRule="auto"/>
        <w:jc w:val="left"/>
      </w:pPr>
      <w:r>
        <w:rPr>
          <w:rFonts w:ascii="Times New Roman" w:hAnsi="Times New Roman"/>
          <w:b/>
          <w:i w:val="0"/>
          <w:sz w:val="24"/>
          <w:u w:val="single"/>
        </w:rPr>
        <w:t>2.3   Epidemiology and the NHANES Dataset</w:t>
      </w:r>
    </w:p>
    <w:p>
      <w:pPr>
        <w:keepNext w:val="0"/>
        <w:spacing w:before="0" w:after="120" w:line="360" w:lineRule="auto"/>
        <w:jc w:val="both"/>
      </w:pPr>
      <w:r>
        <w:rPr>
          <w:rFonts w:ascii="Times New Roman" w:hAnsi="Times New Roman"/>
          <w:b w:val="0"/>
          <w:i w:val="0"/>
          <w:sz w:val="24"/>
          <w:u w:val="none"/>
        </w:rPr>
        <w:t>The National Health and Nutrition Examination Survey (NHANES), conducted by the CDC, provides the most comprehensive, stratified cross-sectional representation of the US population. NHANES uniquely pairs detailed demographic and dietary questionnaires with rigorous laboratory testing and physical examinations. For the study of MASLD, the introduction of Vibration-Controlled Transient Elastography (VCTE), or FibroScan, in recent NHANES cycles (2017-2020) provides unprecedented ground-truth labels for hepatic steatosis (via Controlled Attenuation Parameter, CAP) at a population scale.</w:t>
      </w:r>
    </w:p>
    <w:p>
      <w:pPr>
        <w:keepNext w:val="0"/>
        <w:spacing w:before="0" w:after="120" w:line="360" w:lineRule="auto"/>
        <w:jc w:val="both"/>
      </w:pPr>
      <w:r>
        <w:rPr>
          <w:rFonts w:ascii="Times New Roman" w:hAnsi="Times New Roman"/>
          <w:b w:val="0"/>
          <w:i w:val="0"/>
          <w:sz w:val="24"/>
          <w:u w:val="none"/>
        </w:rPr>
        <w:t>Epidemiological analysis of the NHANES J and P cycles reveals a startling prevalence of lean MASLD. By isolating normal-BMI individuals, we observe that classical risk factors (like waist circumference) regress to the mean, while subtle biochemical perturbations (e.g., elevated ALT within the "normal" range, marginal hypertriglyceridemia) become the primary indicators of disease. Understanding the epidemiological distribution of these biomarkers in a lean cohort is a prerequisite for developing sensitive machine learning architectures.</w:t>
      </w:r>
    </w:p>
    <w:p>
      <w:pPr>
        <w:keepNext/>
        <w:spacing w:before="360" w:after="120" w:line="360" w:lineRule="auto"/>
        <w:jc w:val="left"/>
      </w:pPr>
      <w:r>
        <w:rPr>
          <w:rFonts w:ascii="Times New Roman" w:hAnsi="Times New Roman"/>
          <w:b/>
          <w:i w:val="0"/>
          <w:sz w:val="24"/>
          <w:u w:val="single"/>
        </w:rPr>
        <w:t>2.4   Deep Learning and Latent Representation of Health</w:t>
      </w:r>
    </w:p>
    <w:p>
      <w:pPr>
        <w:keepNext/>
        <w:spacing w:before="240" w:after="80" w:line="360" w:lineRule="auto"/>
        <w:jc w:val="left"/>
      </w:pPr>
      <w:r>
        <w:rPr>
          <w:rFonts w:ascii="Times New Roman" w:hAnsi="Times New Roman"/>
          <w:b/>
          <w:i w:val="0"/>
          <w:sz w:val="24"/>
          <w:u w:val="single"/>
        </w:rPr>
        <w:t>2.4.1   The Shift to Unsupervised Learning</w:t>
      </w:r>
    </w:p>
    <w:p>
      <w:pPr>
        <w:keepNext w:val="0"/>
        <w:spacing w:before="0" w:after="120" w:line="360" w:lineRule="auto"/>
        <w:jc w:val="both"/>
      </w:pPr>
      <w:r>
        <w:rPr>
          <w:rFonts w:ascii="Times New Roman" w:hAnsi="Times New Roman"/>
          <w:b w:val="0"/>
          <w:i w:val="0"/>
          <w:sz w:val="24"/>
          <w:u w:val="none"/>
        </w:rPr>
        <w:t>Supervised machine learning approaches (e.g., Random Forests, XGBoost) have been applied to MASLD prediction with moderate success. However, supervised models fundamentally reduce complex, continuous physiological degradation into binary classification tasks (healthy vs. diseased). This forces arbitrary thresholding (e.g., CAP &gt;= 248 dB/m) that ignores the continuous trajectory of metabolic failure.</w:t>
      </w:r>
    </w:p>
    <w:p>
      <w:pPr>
        <w:keepNext w:val="0"/>
        <w:spacing w:before="0" w:after="120" w:line="360" w:lineRule="auto"/>
        <w:jc w:val="both"/>
      </w:pPr>
      <w:r>
        <w:rPr>
          <w:rFonts w:ascii="Times New Roman" w:hAnsi="Times New Roman"/>
          <w:b w:val="0"/>
          <w:i w:val="0"/>
          <w:sz w:val="24"/>
          <w:u w:val="none"/>
        </w:rPr>
        <w:t>To capture the continuous nature of health, researchers have turned to deep unsupervised representation learning, particularly Variational Autoencoders (VAEs). VAEs map high-dimensional clinical data into a lower-dimensional, continuous probabilistic latent space. While conceptually powerful, standard VAEs suffer from severe latent entanglement. The derived dimensions lack clinical meaning; a physician cannot interpret what a movement along latent axis Z_1 represents biologically.</w:t>
      </w:r>
    </w:p>
    <w:p>
      <w:pPr>
        <w:keepNext/>
        <w:spacing w:before="240" w:after="80" w:line="360" w:lineRule="auto"/>
        <w:jc w:val="left"/>
      </w:pPr>
      <w:r>
        <w:rPr>
          <w:rFonts w:ascii="Times New Roman" w:hAnsi="Times New Roman"/>
          <w:b/>
          <w:i w:val="0"/>
          <w:sz w:val="24"/>
          <w:u w:val="single"/>
        </w:rPr>
        <w:t>2.4.2   Identifiable VAEs (iVAEs)</w:t>
      </w:r>
    </w:p>
    <w:p>
      <w:pPr>
        <w:keepNext w:val="0"/>
        <w:spacing w:before="0" w:after="120" w:line="360" w:lineRule="auto"/>
        <w:jc w:val="both"/>
      </w:pPr>
      <w:r>
        <w:rPr>
          <w:rFonts w:ascii="Times New Roman" w:hAnsi="Times New Roman"/>
          <w:b w:val="0"/>
          <w:i w:val="0"/>
          <w:sz w:val="24"/>
          <w:u w:val="none"/>
        </w:rPr>
        <w:t>To resolve entanglement, Identifiable VAEs introduce weak supervisory signals or structural constraints. Khemakhem et al. (2020) demonstrated that true identifiability in deep generative models can be achieved if the latent variables are conditionally dependent on observed auxiliary variables. In the context of LMSIS, this theoretical foundation allows the use of sparse clinical labels (HOMA-IR and CAP scores) to act as auxiliary "anchors," forcing the VAE to align its latent axes with specific, orthogonal metabolic pathways.</w:t>
      </w:r>
    </w:p>
    <w:p>
      <w:pPr>
        <w:keepNext/>
        <w:spacing w:before="360" w:after="120" w:line="360" w:lineRule="auto"/>
        <w:jc w:val="left"/>
      </w:pPr>
      <w:r>
        <w:rPr>
          <w:rFonts w:ascii="Times New Roman" w:hAnsi="Times New Roman"/>
          <w:b/>
          <w:i w:val="0"/>
          <w:sz w:val="24"/>
          <w:u w:val="single"/>
        </w:rPr>
        <w:t>2.5   Uncertainty-Aware AI and Conformal Prediction</w:t>
      </w:r>
    </w:p>
    <w:p>
      <w:pPr>
        <w:keepNext w:val="0"/>
        <w:spacing w:before="0" w:after="120" w:line="360" w:lineRule="auto"/>
        <w:jc w:val="both"/>
      </w:pPr>
      <w:r>
        <w:rPr>
          <w:rFonts w:ascii="Times New Roman" w:hAnsi="Times New Roman"/>
          <w:b w:val="0"/>
          <w:i w:val="0"/>
          <w:sz w:val="24"/>
          <w:u w:val="none"/>
        </w:rPr>
        <w:t>A critical barrier to the clinical adoption of deep learning is the "black-box" nature of neural networks and their tendency to produce highly confident predictions even when evaluating out-of-distribution (OOD) patients. Traditional softmax probabilities are poorly calibrated and do not represent true statistical confidence.</w:t>
      </w:r>
    </w:p>
    <w:p>
      <w:pPr>
        <w:keepNext w:val="0"/>
        <w:spacing w:before="0" w:after="120" w:line="360" w:lineRule="auto"/>
        <w:jc w:val="both"/>
      </w:pPr>
      <w:r>
        <w:rPr>
          <w:rFonts w:ascii="Times New Roman" w:hAnsi="Times New Roman"/>
          <w:b w:val="0"/>
          <w:i w:val="0"/>
          <w:sz w:val="24"/>
          <w:u w:val="none"/>
        </w:rPr>
        <w:t>Conformal Prediction (CP), developed by Vovk et al., provides a mathematically rigorous solution by constructing prediction sets that guarantee marginal coverage (e.g., ensuring the true diagnosis is captured 90% of the time). However, standard marginal CP is vulnerable to subgroup failure. If a dataset is heavily imbalanced (as in normal-BMI cohorts where severe MASLD is rare), marginal CP will achieve its 90% average by perfectly predicting the healthy majority while completely failing the diseased minority. This violates algorithmic fairness.</w:t>
      </w:r>
    </w:p>
    <w:p>
      <w:pPr>
        <w:keepNext w:val="0"/>
        <w:spacing w:before="0" w:after="120" w:line="360" w:lineRule="auto"/>
        <w:jc w:val="both"/>
      </w:pPr>
      <w:r>
        <w:rPr>
          <w:rFonts w:ascii="Times New Roman" w:hAnsi="Times New Roman"/>
          <w:b w:val="0"/>
          <w:i w:val="0"/>
          <w:sz w:val="24"/>
          <w:u w:val="none"/>
        </w:rPr>
        <w:t>Mondrian Conformal Prediction addresses this by partitioning the calibration data into specific categories (or phenotypic quadrants) and ensuring conditional coverage within each group independently. This ensures that the system is equally reliable for a perfectly healthy patient and a severely ill, dual-burden patient.</w:t>
      </w:r>
    </w:p>
    <w:p>
      <w:pPr>
        <w:keepNext/>
        <w:spacing w:before="360" w:after="120" w:line="360" w:lineRule="auto"/>
        <w:jc w:val="left"/>
      </w:pPr>
      <w:r>
        <w:rPr>
          <w:rFonts w:ascii="Times New Roman" w:hAnsi="Times New Roman"/>
          <w:b/>
          <w:i w:val="0"/>
          <w:sz w:val="24"/>
          <w:u w:val="single"/>
        </w:rPr>
        <w:t>2.6   Research Gap and the LMSIS Contribution</w:t>
      </w:r>
    </w:p>
    <w:p>
      <w:pPr>
        <w:keepNext w:val="0"/>
        <w:spacing w:before="0" w:after="120" w:line="360" w:lineRule="auto"/>
        <w:jc w:val="both"/>
      </w:pPr>
      <w:r>
        <w:rPr>
          <w:rFonts w:ascii="Times New Roman" w:hAnsi="Times New Roman"/>
          <w:b w:val="0"/>
          <w:i w:val="0"/>
          <w:sz w:val="24"/>
          <w:u w:val="none"/>
        </w:rPr>
        <w:t>The synthesis of current literature highlights three cascading failures in modern metabolic screening for lean populations: (1) biological reliance on insensitive linear anthropometric indices, (2) algorithmic reliance on binary supervised classification that discards continuous trajectories, and (3) clinical deployment of uncalibrated neural networks that systematically fail minority phenotypes.</w:t>
      </w:r>
    </w:p>
    <w:p>
      <w:pPr>
        <w:keepNext w:val="0"/>
        <w:spacing w:before="0" w:after="120" w:line="360" w:lineRule="auto"/>
        <w:jc w:val="both"/>
      </w:pPr>
      <w:r>
        <w:rPr>
          <w:rFonts w:ascii="Times New Roman" w:hAnsi="Times New Roman"/>
          <w:b w:val="0"/>
          <w:i w:val="0"/>
          <w:sz w:val="24"/>
          <w:u w:val="none"/>
        </w:rPr>
        <w:t>The Latent Metabolic State Inference System (LMSIS) directly addresses these gaps by introducing the Dual-Anchored Semi-Supervised iVAE (DA-SS-iVAE) coupled with Mondrian Conformal Prediction. This framework provides a continuous, biologically interpretable, and statistically guaranteed metabolic risk assessment, specifically engineered to uncover the silent epidemic of lean MASLD.</w:t>
      </w:r>
    </w:p>
    <w:p>
      <w:r>
        <w:br w:type="page"/>
      </w:r>
    </w:p>
    <w:p>
      <w:pPr>
        <w:keepNext w:val="0"/>
        <w:spacing w:before="0" w:after="0" w:line="360" w:lineRule="auto"/>
        <w:jc w:val="both"/>
      </w:pPr>
    </w:p>
    <w:p>
      <w:pPr>
        <w:keepNext w:val="0"/>
        <w:spacing w:before="0" w:after="0" w:line="360" w:lineRule="auto"/>
        <w:jc w:val="both"/>
      </w:pPr>
    </w:p>
    <w:p>
      <w:pPr>
        <w:keepNext/>
        <w:spacing w:before="0" w:after="360" w:line="360" w:lineRule="auto"/>
        <w:jc w:val="center"/>
      </w:pPr>
      <w:r>
        <w:rPr>
          <w:rFonts w:ascii="Times New Roman" w:hAnsi="Times New Roman"/>
          <w:b/>
          <w:i w:val="0"/>
          <w:sz w:val="24"/>
          <w:u w:val="none"/>
        </w:rPr>
        <w:t>CHAPTER III</w:t>
        <w:br/>
      </w:r>
      <w:r>
        <w:rPr>
          <w:rFonts w:ascii="Times New Roman" w:hAnsi="Times New Roman"/>
          <w:b/>
          <w:i w:val="0"/>
          <w:sz w:val="24"/>
          <w:u w:val="none"/>
        </w:rPr>
        <w:t>MATERIALS AND METHODS</w:t>
      </w:r>
    </w:p>
    <w:p>
      <w:pPr>
        <w:keepNext/>
        <w:spacing w:before="360" w:after="120" w:line="360" w:lineRule="auto"/>
        <w:jc w:val="left"/>
      </w:pPr>
      <w:r>
        <w:rPr>
          <w:rFonts w:ascii="Times New Roman" w:hAnsi="Times New Roman"/>
          <w:b/>
          <w:i w:val="0"/>
          <w:sz w:val="24"/>
          <w:u w:val="single"/>
        </w:rPr>
        <w:t>3.1   System Overview and Architecture</w:t>
      </w:r>
    </w:p>
    <w:p>
      <w:pPr>
        <w:keepNext w:val="0"/>
        <w:spacing w:before="0" w:after="120" w:line="360" w:lineRule="auto"/>
        <w:jc w:val="both"/>
      </w:pPr>
      <w:r>
        <w:rPr>
          <w:rFonts w:ascii="Times New Roman" w:hAnsi="Times New Roman"/>
          <w:b w:val="0"/>
          <w:i w:val="0"/>
          <w:sz w:val="24"/>
          <w:u w:val="none"/>
        </w:rPr>
        <w:t>LMSIS is implemented as a modular, three-tier clinical machine-learning pipeline:</w:t>
      </w:r>
    </w:p>
    <w:p>
      <w:pPr>
        <w:keepNext w:val="0"/>
        <w:spacing w:before="0" w:after="80" w:line="360" w:lineRule="auto"/>
        <w:ind w:left="850" w:hanging="850"/>
        <w:jc w:val="both"/>
      </w:pPr>
      <w:r>
        <w:rPr>
          <w:rFonts w:ascii="Times New Roman" w:hAnsi="Times New Roman"/>
          <w:b/>
          <w:i w:val="0"/>
          <w:sz w:val="24"/>
          <w:u w:val="none"/>
        </w:rPr>
        <w:t>1.</w:t>
        <w:tab/>
      </w:r>
      <w:r>
        <w:rPr>
          <w:rFonts w:ascii="Times New Roman" w:hAnsi="Times New Roman"/>
          <w:b/>
          <w:i w:val="0"/>
          <w:sz w:val="24"/>
          <w:u w:val="none"/>
        </w:rPr>
        <w:t xml:space="preserve">Data Layer: </w:t>
      </w:r>
      <w:r>
        <w:rPr>
          <w:rFonts w:ascii="Times New Roman" w:hAnsi="Times New Roman"/>
          <w:b w:val="0"/>
          <w:i w:val="0"/>
          <w:sz w:val="24"/>
          <w:u w:val="none"/>
        </w:rPr>
        <w:t>NHANES 2017-2020 biomarker and demographic extraction, preprocessing, and complex survey weight computation.</w:t>
      </w:r>
    </w:p>
    <w:p>
      <w:pPr>
        <w:keepNext w:val="0"/>
        <w:spacing w:before="0" w:after="80" w:line="360" w:lineRule="auto"/>
        <w:ind w:left="850" w:hanging="850"/>
        <w:jc w:val="both"/>
      </w:pPr>
      <w:r>
        <w:rPr>
          <w:rFonts w:ascii="Times New Roman" w:hAnsi="Times New Roman"/>
          <w:b/>
          <w:i w:val="0"/>
          <w:sz w:val="24"/>
          <w:u w:val="none"/>
        </w:rPr>
        <w:t>2.</w:t>
        <w:tab/>
      </w:r>
      <w:r>
        <w:rPr>
          <w:rFonts w:ascii="Times New Roman" w:hAnsi="Times New Roman"/>
          <w:b/>
          <w:i w:val="0"/>
          <w:sz w:val="24"/>
          <w:u w:val="none"/>
        </w:rPr>
        <w:t xml:space="preserve">Inference Layer: </w:t>
      </w:r>
      <w:r>
        <w:rPr>
          <w:rFonts w:ascii="Times New Roman" w:hAnsi="Times New Roman"/>
          <w:b w:val="0"/>
          <w:i w:val="0"/>
          <w:sz w:val="24"/>
          <w:u w:val="none"/>
        </w:rPr>
        <w:t>The DA-SS-iVAE model, conformal calibration engine, symbolic regression module, and geodesic solver.</w:t>
      </w:r>
    </w:p>
    <w:p>
      <w:pPr>
        <w:keepNext w:val="0"/>
        <w:spacing w:before="0" w:after="80" w:line="360" w:lineRule="auto"/>
        <w:ind w:left="850" w:hanging="850"/>
        <w:jc w:val="both"/>
      </w:pPr>
      <w:r>
        <w:rPr>
          <w:rFonts w:ascii="Times New Roman" w:hAnsi="Times New Roman"/>
          <w:b/>
          <w:i w:val="0"/>
          <w:sz w:val="24"/>
          <w:u w:val="none"/>
        </w:rPr>
        <w:t>3.</w:t>
        <w:tab/>
      </w:r>
      <w:r>
        <w:rPr>
          <w:rFonts w:ascii="Times New Roman" w:hAnsi="Times New Roman"/>
          <w:b/>
          <w:i w:val="0"/>
          <w:sz w:val="24"/>
          <w:u w:val="none"/>
        </w:rPr>
        <w:t xml:space="preserve">Application Layer: </w:t>
      </w:r>
      <w:r>
        <w:rPr>
          <w:rFonts w:ascii="Times New Roman" w:hAnsi="Times New Roman"/>
          <w:b w:val="0"/>
          <w:i w:val="0"/>
          <w:sz w:val="24"/>
          <w:u w:val="none"/>
        </w:rPr>
        <w:t>FastAPI REST service and React 19 Research Translation Layer.</w:t>
      </w:r>
    </w:p>
    <w:p>
      <w:pPr>
        <w:keepNext w:val="0"/>
        <w:spacing w:before="0" w:after="120" w:line="360" w:lineRule="auto"/>
        <w:jc w:val="both"/>
      </w:pPr>
      <w:r>
        <w:rPr>
          <w:rFonts w:ascii="Times New Roman" w:hAnsi="Times New Roman"/>
          <w:b w:val="0"/>
          <w:i w:val="0"/>
          <w:sz w:val="24"/>
          <w:u w:val="none"/>
        </w:rPr>
        <w:t>The high-level data flow: 14 biomarker features (x) and 6 demographic variables (u) are encoded by a residual encoder to produce a 2D latent state z = (z1, z2). Two monotone anchor networks map z1 to predicted HOMA-IR and z2 to predicted CAP. A residual decoder reconstructs the biomarker vector from (z, u). A conformal calibration engine then generates subgroup-stratified prediction intervals. Optional geodesic solver and symbolic regression modules provide interpretability and intervention planning outputs. A FastAPI backend exposes REST endpoints, consumed by a React frontend dashboard.</w:t>
      </w:r>
    </w:p>
    <w:p>
      <w:pPr>
        <w:keepNext/>
        <w:spacing w:before="360" w:after="120" w:line="360" w:lineRule="auto"/>
        <w:jc w:val="left"/>
      </w:pPr>
      <w:r>
        <w:rPr>
          <w:rFonts w:ascii="Times New Roman" w:hAnsi="Times New Roman"/>
          <w:b/>
          <w:i w:val="0"/>
          <w:sz w:val="24"/>
          <w:u w:val="single"/>
        </w:rPr>
        <w:t>3.2   Dataset and Cohort Definition</w:t>
      </w:r>
    </w:p>
    <w:p>
      <w:pPr>
        <w:keepNext/>
        <w:spacing w:before="240" w:after="80" w:line="360" w:lineRule="auto"/>
        <w:jc w:val="left"/>
      </w:pPr>
      <w:r>
        <w:rPr>
          <w:rFonts w:ascii="Times New Roman" w:hAnsi="Times New Roman"/>
          <w:b/>
          <w:i w:val="0"/>
          <w:sz w:val="24"/>
          <w:u w:val="single"/>
        </w:rPr>
        <w:t>3.2.1   Data Source</w:t>
      </w:r>
    </w:p>
    <w:p>
      <w:pPr>
        <w:keepNext w:val="0"/>
        <w:spacing w:before="0" w:after="120" w:line="360" w:lineRule="auto"/>
        <w:jc w:val="both"/>
      </w:pPr>
      <w:r>
        <w:rPr>
          <w:rFonts w:ascii="Times New Roman" w:hAnsi="Times New Roman"/>
          <w:b w:val="0"/>
          <w:i w:val="0"/>
          <w:sz w:val="24"/>
          <w:u w:val="none"/>
        </w:rPr>
        <w:t>This study uses data from the National Health and Nutrition Examination Survey (NHANES), a nationally representative cross-sectional survey conducted by the Centers for Disease Control and Prevention (CDC). Two survey cycles are used: the J-cycle (2017-2018) for training and the P-cycle (2019-2020) as a strict temporal out-of-distribution holdout. An additional post-pandemic cycle (L-cycle, August 2021-August 2023) is used for stress-testing.</w:t>
      </w:r>
    </w:p>
    <w:p>
      <w:pPr>
        <w:keepNext/>
        <w:spacing w:before="240" w:after="80" w:line="360" w:lineRule="auto"/>
        <w:jc w:val="left"/>
      </w:pPr>
      <w:r>
        <w:rPr>
          <w:rFonts w:ascii="Times New Roman" w:hAnsi="Times New Roman"/>
          <w:b/>
          <w:i w:val="0"/>
          <w:sz w:val="24"/>
          <w:u w:val="single"/>
        </w:rPr>
        <w:t>3.2.2   Cohort Selection Criteria</w:t>
      </w:r>
    </w:p>
    <w:p>
      <w:pPr>
        <w:keepNext w:val="0"/>
        <w:spacing w:before="0" w:after="80" w:line="360" w:lineRule="auto"/>
        <w:ind w:left="850" w:hanging="850"/>
        <w:jc w:val="both"/>
      </w:pPr>
      <w:r>
        <w:rPr>
          <w:rFonts w:ascii="Times New Roman" w:hAnsi="Times New Roman"/>
          <w:b/>
          <w:i w:val="0"/>
          <w:sz w:val="24"/>
          <w:u w:val="none"/>
        </w:rPr>
        <w:t>1.</w:t>
        <w:tab/>
      </w:r>
      <w:r>
        <w:rPr>
          <w:rFonts w:ascii="Times New Roman" w:hAnsi="Times New Roman"/>
          <w:b w:val="0"/>
          <w:i w:val="0"/>
          <w:sz w:val="24"/>
          <w:u w:val="none"/>
        </w:rPr>
        <w:t>Adults aged 20 years or above.</w:t>
      </w:r>
    </w:p>
    <w:p>
      <w:pPr>
        <w:keepNext w:val="0"/>
        <w:spacing w:before="0" w:after="80" w:line="360" w:lineRule="auto"/>
        <w:ind w:left="850" w:hanging="850"/>
        <w:jc w:val="both"/>
      </w:pPr>
      <w:r>
        <w:rPr>
          <w:rFonts w:ascii="Times New Roman" w:hAnsi="Times New Roman"/>
          <w:b/>
          <w:i w:val="0"/>
          <w:sz w:val="24"/>
          <w:u w:val="none"/>
        </w:rPr>
        <w:t>2.</w:t>
        <w:tab/>
      </w:r>
      <w:r>
        <w:rPr>
          <w:rFonts w:ascii="Times New Roman" w:hAnsi="Times New Roman"/>
          <w:b w:val="0"/>
          <w:i w:val="0"/>
          <w:sz w:val="24"/>
          <w:u w:val="none"/>
        </w:rPr>
        <w:t>Normal BMI: 18.5 &lt;= BMI &lt;= 24.9 kg/m2.</w:t>
      </w:r>
    </w:p>
    <w:p>
      <w:pPr>
        <w:keepNext w:val="0"/>
        <w:spacing w:before="0" w:after="80" w:line="360" w:lineRule="auto"/>
        <w:ind w:left="850" w:hanging="850"/>
        <w:jc w:val="both"/>
      </w:pPr>
      <w:r>
        <w:rPr>
          <w:rFonts w:ascii="Times New Roman" w:hAnsi="Times New Roman"/>
          <w:b/>
          <w:i w:val="0"/>
          <w:sz w:val="24"/>
          <w:u w:val="none"/>
        </w:rPr>
        <w:t>3.</w:t>
        <w:tab/>
      </w:r>
      <w:r>
        <w:rPr>
          <w:rFonts w:ascii="Times New Roman" w:hAnsi="Times New Roman"/>
          <w:b w:val="0"/>
          <w:i w:val="0"/>
          <w:sz w:val="24"/>
          <w:u w:val="none"/>
        </w:rPr>
        <w:t>Complete records for all 14 blood biomarkers.</w:t>
      </w:r>
    </w:p>
    <w:p>
      <w:pPr>
        <w:keepNext w:val="0"/>
        <w:spacing w:before="0" w:after="80" w:line="360" w:lineRule="auto"/>
        <w:ind w:left="850" w:hanging="850"/>
        <w:jc w:val="both"/>
      </w:pPr>
      <w:r>
        <w:rPr>
          <w:rFonts w:ascii="Times New Roman" w:hAnsi="Times New Roman"/>
          <w:b/>
          <w:i w:val="0"/>
          <w:sz w:val="24"/>
          <w:u w:val="none"/>
        </w:rPr>
        <w:t>4.</w:t>
        <w:tab/>
      </w:r>
      <w:r>
        <w:rPr>
          <w:rFonts w:ascii="Times New Roman" w:hAnsi="Times New Roman"/>
          <w:b w:val="0"/>
          <w:i w:val="0"/>
          <w:sz w:val="24"/>
          <w:u w:val="none"/>
        </w:rPr>
        <w:t>Valid HOMA-IR (fasting glucose and fasting insulin available).</w:t>
      </w:r>
    </w:p>
    <w:p>
      <w:pPr>
        <w:keepNext/>
        <w:spacing w:before="240" w:after="80" w:line="360" w:lineRule="auto"/>
        <w:jc w:val="left"/>
      </w:pPr>
      <w:r>
        <w:rPr>
          <w:rFonts w:ascii="Times New Roman" w:hAnsi="Times New Roman"/>
          <w:b/>
          <w:i w:val="0"/>
          <w:sz w:val="24"/>
          <w:u w:val="single"/>
        </w:rPr>
        <w:t>3.2.3   Sample Size Ledger</w:t>
      </w:r>
    </w:p>
    <w:p>
      <w:pPr>
        <w:keepNext/>
        <w:spacing w:before="240" w:after="80" w:line="240" w:lineRule="auto"/>
        <w:jc w:val="center"/>
      </w:pPr>
      <w:r>
        <w:rPr>
          <w:rFonts w:ascii="Times New Roman" w:hAnsi="Times New Roman"/>
          <w:b/>
          <w:i w:val="0"/>
          <w:sz w:val="20"/>
          <w:u w:val="none"/>
        </w:rPr>
        <w:t>Table 8: Canonical sample-size ledger</w:t>
      </w:r>
    </w:p>
    <w:tbl>
      <w:tblPr>
        <w:tblStyle w:val="TableGrid"/>
        <w:tblW w:type="auto" w:w="0"/>
        <w:tblLook w:firstColumn="1" w:firstRow="1" w:lastColumn="0" w:lastRow="0" w:noHBand="0" w:noVBand="1" w:val="04A0"/>
      </w:tblPr>
      <w:tblGrid>
        <w:gridCol w:w="2646"/>
        <w:gridCol w:w="2646"/>
        <w:gridCol w:w="2646"/>
      </w:tblGrid>
      <w:tr>
        <w:tc>
          <w:tcPr>
            <w:tcW w:type="dxa" w:w="2646"/>
          </w:tcPr>
          <w:p>
            <w:pPr>
              <w:spacing w:before="40" w:after="40" w:line="240" w:lineRule="auto"/>
              <w:jc w:val="center"/>
            </w:pPr>
            <w:r/>
            <w:r>
              <w:rPr>
                <w:rFonts w:ascii="Times New Roman" w:hAnsi="Times New Roman"/>
                <w:b/>
                <w:i w:val="0"/>
                <w:sz w:val="20"/>
                <w:u w:val="none"/>
              </w:rPr>
              <w:t>Pipeline Stage</w:t>
            </w:r>
          </w:p>
        </w:tc>
        <w:tc>
          <w:tcPr>
            <w:tcW w:type="dxa" w:w="2646"/>
          </w:tcPr>
          <w:p>
            <w:pPr>
              <w:spacing w:before="40" w:after="40" w:line="240" w:lineRule="auto"/>
              <w:jc w:val="center"/>
            </w:pPr>
            <w:r/>
            <w:r>
              <w:rPr>
                <w:rFonts w:ascii="Times New Roman" w:hAnsi="Times New Roman"/>
                <w:b/>
                <w:i w:val="0"/>
                <w:sz w:val="20"/>
                <w:u w:val="none"/>
              </w:rPr>
              <w:t>N</w:t>
            </w:r>
          </w:p>
        </w:tc>
        <w:tc>
          <w:tcPr>
            <w:tcW w:type="dxa" w:w="2646"/>
          </w:tcPr>
          <w:p>
            <w:pPr>
              <w:spacing w:before="40" w:after="40" w:line="240" w:lineRule="auto"/>
              <w:jc w:val="center"/>
            </w:pPr>
            <w:r/>
            <w:r>
              <w:rPr>
                <w:rFonts w:ascii="Times New Roman" w:hAnsi="Times New Roman"/>
                <w:b/>
                <w:i w:val="0"/>
                <w:sz w:val="20"/>
                <w:u w:val="none"/>
              </w:rPr>
              <w:t>Description</w:t>
            </w:r>
          </w:p>
        </w:tc>
      </w:tr>
      <w:tr>
        <w:tc>
          <w:tcPr>
            <w:tcW w:type="dxa" w:w="2646"/>
          </w:tcPr>
          <w:p>
            <w:pPr>
              <w:spacing w:before="40" w:after="40" w:line="240" w:lineRule="auto"/>
              <w:jc w:val="left"/>
            </w:pPr>
            <w:r/>
            <w:r>
              <w:rPr>
                <w:rFonts w:ascii="Times New Roman" w:hAnsi="Times New Roman"/>
                <w:b w:val="0"/>
                <w:i w:val="0"/>
                <w:sz w:val="20"/>
                <w:u w:val="none"/>
              </w:rPr>
              <w:t>Initial NHANES (J + P cycles)</w:t>
            </w:r>
          </w:p>
        </w:tc>
        <w:tc>
          <w:tcPr>
            <w:tcW w:type="dxa" w:w="2646"/>
          </w:tcPr>
          <w:p>
            <w:pPr>
              <w:spacing w:before="40" w:after="40" w:line="240" w:lineRule="auto"/>
              <w:jc w:val="left"/>
            </w:pPr>
            <w:r/>
            <w:r>
              <w:rPr>
                <w:rFonts w:ascii="Times New Roman" w:hAnsi="Times New Roman"/>
                <w:b w:val="0"/>
                <w:i w:val="0"/>
                <w:sz w:val="20"/>
                <w:u w:val="none"/>
              </w:rPr>
              <w:t>24,814</w:t>
            </w:r>
          </w:p>
        </w:tc>
        <w:tc>
          <w:tcPr>
            <w:tcW w:type="dxa" w:w="2646"/>
          </w:tcPr>
          <w:p>
            <w:pPr>
              <w:spacing w:before="40" w:after="40" w:line="240" w:lineRule="auto"/>
              <w:jc w:val="left"/>
            </w:pPr>
            <w:r/>
            <w:r>
              <w:rPr>
                <w:rFonts w:ascii="Times New Roman" w:hAnsi="Times New Roman"/>
                <w:b w:val="0"/>
                <w:i w:val="0"/>
                <w:sz w:val="20"/>
                <w:u w:val="none"/>
              </w:rPr>
              <w:t>J-cycle: 9,254; P-cycle: 15,560</w:t>
            </w:r>
          </w:p>
        </w:tc>
      </w:tr>
      <w:tr>
        <w:tc>
          <w:tcPr>
            <w:tcW w:type="dxa" w:w="2646"/>
          </w:tcPr>
          <w:p>
            <w:pPr>
              <w:spacing w:before="40" w:after="40" w:line="240" w:lineRule="auto"/>
              <w:jc w:val="left"/>
            </w:pPr>
            <w:r/>
            <w:r>
              <w:rPr>
                <w:rFonts w:ascii="Times New Roman" w:hAnsi="Times New Roman"/>
                <w:b w:val="0"/>
                <w:i w:val="0"/>
                <w:sz w:val="20"/>
                <w:u w:val="none"/>
              </w:rPr>
              <w:t>Adults (&gt;=20 years)</w:t>
            </w:r>
          </w:p>
        </w:tc>
        <w:tc>
          <w:tcPr>
            <w:tcW w:type="dxa" w:w="2646"/>
          </w:tcPr>
          <w:p>
            <w:pPr>
              <w:spacing w:before="40" w:after="40" w:line="240" w:lineRule="auto"/>
              <w:jc w:val="left"/>
            </w:pPr>
            <w:r/>
            <w:r>
              <w:rPr>
                <w:rFonts w:ascii="Times New Roman" w:hAnsi="Times New Roman"/>
                <w:b w:val="0"/>
                <w:i w:val="0"/>
                <w:sz w:val="20"/>
                <w:u w:val="none"/>
              </w:rPr>
              <w:t>14,801</w:t>
            </w:r>
          </w:p>
        </w:tc>
        <w:tc>
          <w:tcPr>
            <w:tcW w:type="dxa" w:w="2646"/>
          </w:tcPr>
          <w:p>
            <w:pPr>
              <w:spacing w:before="40" w:after="40" w:line="240" w:lineRule="auto"/>
              <w:jc w:val="left"/>
            </w:pPr>
            <w:r/>
            <w:r>
              <w:rPr>
                <w:rFonts w:ascii="Times New Roman" w:hAnsi="Times New Roman"/>
                <w:b w:val="0"/>
                <w:i w:val="0"/>
                <w:sz w:val="20"/>
                <w:u w:val="none"/>
              </w:rPr>
              <w:t>J-cycle: 5,569; P-cycle: 9,232</w:t>
            </w:r>
          </w:p>
        </w:tc>
      </w:tr>
      <w:tr>
        <w:tc>
          <w:tcPr>
            <w:tcW w:type="dxa" w:w="2646"/>
          </w:tcPr>
          <w:p>
            <w:pPr>
              <w:spacing w:before="40" w:after="40" w:line="240" w:lineRule="auto"/>
              <w:jc w:val="left"/>
            </w:pPr>
            <w:r/>
            <w:r>
              <w:rPr>
                <w:rFonts w:ascii="Times New Roman" w:hAnsi="Times New Roman"/>
                <w:b w:val="0"/>
                <w:i w:val="0"/>
                <w:sz w:val="20"/>
                <w:u w:val="none"/>
              </w:rPr>
              <w:t>Normal BMI (18.5-24.9)</w:t>
            </w:r>
          </w:p>
        </w:tc>
        <w:tc>
          <w:tcPr>
            <w:tcW w:type="dxa" w:w="2646"/>
          </w:tcPr>
          <w:p>
            <w:pPr>
              <w:spacing w:before="40" w:after="40" w:line="240" w:lineRule="auto"/>
              <w:jc w:val="left"/>
            </w:pPr>
            <w:r/>
            <w:r>
              <w:rPr>
                <w:rFonts w:ascii="Times New Roman" w:hAnsi="Times New Roman"/>
                <w:b w:val="0"/>
                <w:i w:val="0"/>
                <w:sz w:val="20"/>
                <w:u w:val="none"/>
              </w:rPr>
              <w:t>3,259</w:t>
            </w:r>
          </w:p>
        </w:tc>
        <w:tc>
          <w:tcPr>
            <w:tcW w:type="dxa" w:w="2646"/>
          </w:tcPr>
          <w:p>
            <w:pPr>
              <w:spacing w:before="40" w:after="40" w:line="240" w:lineRule="auto"/>
              <w:jc w:val="left"/>
            </w:pPr>
            <w:r/>
            <w:r>
              <w:rPr>
                <w:rFonts w:ascii="Times New Roman" w:hAnsi="Times New Roman"/>
                <w:b w:val="0"/>
                <w:i w:val="0"/>
                <w:sz w:val="20"/>
                <w:u w:val="none"/>
              </w:rPr>
              <w:t>J-cycle: 1,255; P-cycle: 2,004</w:t>
            </w:r>
          </w:p>
        </w:tc>
      </w:tr>
      <w:tr>
        <w:tc>
          <w:tcPr>
            <w:tcW w:type="dxa" w:w="2646"/>
          </w:tcPr>
          <w:p>
            <w:pPr>
              <w:spacing w:before="40" w:after="40" w:line="240" w:lineRule="auto"/>
              <w:jc w:val="left"/>
            </w:pPr>
            <w:r/>
            <w:r>
              <w:rPr>
                <w:rFonts w:ascii="Times New Roman" w:hAnsi="Times New Roman"/>
                <w:b w:val="0"/>
                <w:i w:val="0"/>
                <w:sz w:val="20"/>
                <w:u w:val="none"/>
              </w:rPr>
              <w:t>Complete 14-biomarker record</w:t>
            </w:r>
          </w:p>
        </w:tc>
        <w:tc>
          <w:tcPr>
            <w:tcW w:type="dxa" w:w="2646"/>
          </w:tcPr>
          <w:p>
            <w:pPr>
              <w:spacing w:before="40" w:after="40" w:line="240" w:lineRule="auto"/>
              <w:jc w:val="left"/>
            </w:pPr>
            <w:r/>
            <w:r>
              <w:rPr>
                <w:rFonts w:ascii="Times New Roman" w:hAnsi="Times New Roman"/>
                <w:b w:val="0"/>
                <w:i w:val="0"/>
                <w:sz w:val="20"/>
                <w:u w:val="none"/>
              </w:rPr>
              <w:t>1,477</w:t>
            </w:r>
          </w:p>
        </w:tc>
        <w:tc>
          <w:tcPr>
            <w:tcW w:type="dxa" w:w="2646"/>
          </w:tcPr>
          <w:p>
            <w:pPr>
              <w:spacing w:before="40" w:after="40" w:line="240" w:lineRule="auto"/>
              <w:jc w:val="left"/>
            </w:pPr>
            <w:r/>
            <w:r>
              <w:rPr>
                <w:rFonts w:ascii="Times New Roman" w:hAnsi="Times New Roman"/>
                <w:b w:val="0"/>
                <w:i w:val="0"/>
                <w:sz w:val="20"/>
                <w:u w:val="none"/>
              </w:rPr>
              <w:t>J-cycle: 574; P-cycle: 903</w:t>
            </w:r>
          </w:p>
        </w:tc>
      </w:tr>
      <w:tr>
        <w:tc>
          <w:tcPr>
            <w:tcW w:type="dxa" w:w="2646"/>
          </w:tcPr>
          <w:p>
            <w:pPr>
              <w:spacing w:before="40" w:after="40" w:line="240" w:lineRule="auto"/>
              <w:jc w:val="left"/>
            </w:pPr>
            <w:r/>
            <w:r>
              <w:rPr>
                <w:rFonts w:ascii="Times New Roman" w:hAnsi="Times New Roman"/>
                <w:b w:val="0"/>
                <w:i w:val="0"/>
                <w:sz w:val="20"/>
                <w:u w:val="none"/>
              </w:rPr>
              <w:t>Valid FibroScan CAP (J+P)</w:t>
            </w:r>
          </w:p>
        </w:tc>
        <w:tc>
          <w:tcPr>
            <w:tcW w:type="dxa" w:w="2646"/>
          </w:tcPr>
          <w:p>
            <w:pPr>
              <w:spacing w:before="40" w:after="40" w:line="240" w:lineRule="auto"/>
              <w:jc w:val="left"/>
            </w:pPr>
            <w:r/>
            <w:r>
              <w:rPr>
                <w:rFonts w:ascii="Times New Roman" w:hAnsi="Times New Roman"/>
                <w:b w:val="0"/>
                <w:i w:val="0"/>
                <w:sz w:val="20"/>
                <w:u w:val="none"/>
              </w:rPr>
              <w:t>1,422</w:t>
            </w:r>
          </w:p>
        </w:tc>
        <w:tc>
          <w:tcPr>
            <w:tcW w:type="dxa" w:w="2646"/>
          </w:tcPr>
          <w:p>
            <w:pPr>
              <w:spacing w:before="40" w:after="40" w:line="240" w:lineRule="auto"/>
              <w:jc w:val="left"/>
            </w:pPr>
            <w:r/>
            <w:r>
              <w:rPr>
                <w:rFonts w:ascii="Times New Roman" w:hAnsi="Times New Roman"/>
                <w:b w:val="0"/>
                <w:i w:val="0"/>
                <w:sz w:val="20"/>
                <w:u w:val="none"/>
              </w:rPr>
              <w:t>J-cycle: 552; P-cycle: 870</w:t>
            </w:r>
          </w:p>
        </w:tc>
      </w:tr>
      <w:tr>
        <w:tc>
          <w:tcPr>
            <w:tcW w:type="dxa" w:w="2646"/>
          </w:tcPr>
          <w:p>
            <w:pPr>
              <w:spacing w:before="40" w:after="40" w:line="240" w:lineRule="auto"/>
              <w:jc w:val="left"/>
            </w:pPr>
            <w:r/>
            <w:r>
              <w:rPr>
                <w:rFonts w:ascii="Times New Roman" w:hAnsi="Times New Roman"/>
                <w:b w:val="0"/>
                <w:i w:val="0"/>
                <w:sz w:val="20"/>
                <w:u w:val="none"/>
              </w:rPr>
              <w:t>DA-SS-iVAE Training (J only, 70%)</w:t>
            </w:r>
          </w:p>
        </w:tc>
        <w:tc>
          <w:tcPr>
            <w:tcW w:type="dxa" w:w="2646"/>
          </w:tcPr>
          <w:p>
            <w:pPr>
              <w:spacing w:before="40" w:after="40" w:line="240" w:lineRule="auto"/>
              <w:jc w:val="left"/>
            </w:pPr>
            <w:r/>
            <w:r>
              <w:rPr>
                <w:rFonts w:ascii="Times New Roman" w:hAnsi="Times New Roman"/>
                <w:b w:val="0"/>
                <w:i w:val="0"/>
                <w:sz w:val="20"/>
                <w:u w:val="none"/>
              </w:rPr>
              <w:t>401</w:t>
            </w:r>
          </w:p>
        </w:tc>
        <w:tc>
          <w:tcPr>
            <w:tcW w:type="dxa" w:w="2646"/>
          </w:tcPr>
          <w:p>
            <w:pPr>
              <w:spacing w:before="40" w:after="40" w:line="240" w:lineRule="auto"/>
              <w:jc w:val="left"/>
            </w:pPr>
            <w:r/>
            <w:r>
              <w:rPr>
                <w:rFonts w:ascii="Times New Roman" w:hAnsi="Times New Roman"/>
                <w:b w:val="0"/>
                <w:i w:val="0"/>
                <w:sz w:val="20"/>
                <w:u w:val="none"/>
              </w:rPr>
              <w:t>Strict temporal training split</w:t>
            </w:r>
          </w:p>
        </w:tc>
      </w:tr>
      <w:tr>
        <w:tc>
          <w:tcPr>
            <w:tcW w:type="dxa" w:w="2646"/>
          </w:tcPr>
          <w:p>
            <w:pPr>
              <w:spacing w:before="40" w:after="40" w:line="240" w:lineRule="auto"/>
              <w:jc w:val="left"/>
            </w:pPr>
            <w:r/>
            <w:r>
              <w:rPr>
                <w:rFonts w:ascii="Times New Roman" w:hAnsi="Times New Roman"/>
                <w:b w:val="0"/>
                <w:i w:val="0"/>
                <w:sz w:val="20"/>
                <w:u w:val="none"/>
              </w:rPr>
              <w:t>J-cycle Validation</w:t>
            </w:r>
          </w:p>
        </w:tc>
        <w:tc>
          <w:tcPr>
            <w:tcW w:type="dxa" w:w="2646"/>
          </w:tcPr>
          <w:p>
            <w:pPr>
              <w:spacing w:before="40" w:after="40" w:line="240" w:lineRule="auto"/>
              <w:jc w:val="left"/>
            </w:pPr>
            <w:r/>
            <w:r>
              <w:rPr>
                <w:rFonts w:ascii="Times New Roman" w:hAnsi="Times New Roman"/>
                <w:b w:val="0"/>
                <w:i w:val="0"/>
                <w:sz w:val="20"/>
                <w:u w:val="none"/>
              </w:rPr>
              <w:t>86</w:t>
            </w:r>
          </w:p>
        </w:tc>
        <w:tc>
          <w:tcPr>
            <w:tcW w:type="dxa" w:w="2646"/>
          </w:tcPr>
          <w:p>
            <w:pPr>
              <w:spacing w:before="40" w:after="40" w:line="240" w:lineRule="auto"/>
              <w:jc w:val="left"/>
            </w:pPr>
            <w:r/>
            <w:r>
              <w:rPr>
                <w:rFonts w:ascii="Times New Roman" w:hAnsi="Times New Roman"/>
                <w:b w:val="0"/>
                <w:i w:val="0"/>
                <w:sz w:val="20"/>
                <w:u w:val="none"/>
              </w:rPr>
              <w:t>Internal validation</w:t>
            </w:r>
          </w:p>
        </w:tc>
      </w:tr>
      <w:tr>
        <w:tc>
          <w:tcPr>
            <w:tcW w:type="dxa" w:w="2646"/>
          </w:tcPr>
          <w:p>
            <w:pPr>
              <w:spacing w:before="40" w:after="40" w:line="240" w:lineRule="auto"/>
              <w:jc w:val="left"/>
            </w:pPr>
            <w:r/>
            <w:r>
              <w:rPr>
                <w:rFonts w:ascii="Times New Roman" w:hAnsi="Times New Roman"/>
                <w:b w:val="0"/>
                <w:i w:val="0"/>
                <w:sz w:val="20"/>
                <w:u w:val="none"/>
              </w:rPr>
              <w:t>J-cycle Internal Test</w:t>
            </w:r>
          </w:p>
        </w:tc>
        <w:tc>
          <w:tcPr>
            <w:tcW w:type="dxa" w:w="2646"/>
          </w:tcPr>
          <w:p>
            <w:pPr>
              <w:spacing w:before="40" w:after="40" w:line="240" w:lineRule="auto"/>
              <w:jc w:val="left"/>
            </w:pPr>
            <w:r/>
            <w:r>
              <w:rPr>
                <w:rFonts w:ascii="Times New Roman" w:hAnsi="Times New Roman"/>
                <w:b w:val="0"/>
                <w:i w:val="0"/>
                <w:sz w:val="20"/>
                <w:u w:val="none"/>
              </w:rPr>
              <w:t>87</w:t>
            </w:r>
          </w:p>
        </w:tc>
        <w:tc>
          <w:tcPr>
            <w:tcW w:type="dxa" w:w="2646"/>
          </w:tcPr>
          <w:p>
            <w:pPr>
              <w:spacing w:before="40" w:after="40" w:line="240" w:lineRule="auto"/>
              <w:jc w:val="left"/>
            </w:pPr>
            <w:r/>
            <w:r>
              <w:rPr>
                <w:rFonts w:ascii="Times New Roman" w:hAnsi="Times New Roman"/>
                <w:b w:val="0"/>
                <w:i w:val="0"/>
                <w:sz w:val="20"/>
                <w:u w:val="none"/>
              </w:rPr>
              <w:t>Internal test (in-distribution)</w:t>
            </w:r>
          </w:p>
        </w:tc>
      </w:tr>
      <w:tr>
        <w:tc>
          <w:tcPr>
            <w:tcW w:type="dxa" w:w="2646"/>
          </w:tcPr>
          <w:p>
            <w:pPr>
              <w:spacing w:before="40" w:after="40" w:line="240" w:lineRule="auto"/>
              <w:jc w:val="left"/>
            </w:pPr>
            <w:r/>
            <w:r>
              <w:rPr>
                <w:rFonts w:ascii="Times New Roman" w:hAnsi="Times New Roman"/>
                <w:b w:val="0"/>
                <w:i w:val="0"/>
                <w:sz w:val="20"/>
                <w:u w:val="none"/>
              </w:rPr>
              <w:t>P-cycle OOD Test</w:t>
            </w:r>
          </w:p>
        </w:tc>
        <w:tc>
          <w:tcPr>
            <w:tcW w:type="dxa" w:w="2646"/>
          </w:tcPr>
          <w:p>
            <w:pPr>
              <w:spacing w:before="40" w:after="40" w:line="240" w:lineRule="auto"/>
              <w:jc w:val="left"/>
            </w:pPr>
            <w:r/>
            <w:r>
              <w:rPr>
                <w:rFonts w:ascii="Times New Roman" w:hAnsi="Times New Roman"/>
                <w:b w:val="0"/>
                <w:i w:val="0"/>
                <w:sz w:val="20"/>
                <w:u w:val="none"/>
              </w:rPr>
              <w:t>870</w:t>
            </w:r>
          </w:p>
        </w:tc>
        <w:tc>
          <w:tcPr>
            <w:tcW w:type="dxa" w:w="2646"/>
          </w:tcPr>
          <w:p>
            <w:pPr>
              <w:spacing w:before="40" w:after="40" w:line="240" w:lineRule="auto"/>
              <w:jc w:val="left"/>
            </w:pPr>
            <w:r/>
            <w:r>
              <w:rPr>
                <w:rFonts w:ascii="Times New Roman" w:hAnsi="Times New Roman"/>
                <w:b w:val="0"/>
                <w:i w:val="0"/>
                <w:sz w:val="20"/>
                <w:u w:val="none"/>
              </w:rPr>
              <w:t>Full P-cycle, zero data leakage</w:t>
            </w:r>
          </w:p>
        </w:tc>
      </w:tr>
    </w:tbl>
    <w:p>
      <w:pPr>
        <w:keepNext w:val="0"/>
        <w:spacing w:before="0" w:after="200" w:line="360" w:lineRule="auto"/>
        <w:jc w:val="both"/>
      </w:pPr>
    </w:p>
    <w:p>
      <w:pPr>
        <w:keepNext/>
        <w:spacing w:before="240" w:after="80" w:line="360" w:lineRule="auto"/>
        <w:jc w:val="left"/>
      </w:pPr>
      <w:r>
        <w:rPr>
          <w:rFonts w:ascii="Times New Roman" w:hAnsi="Times New Roman"/>
          <w:b/>
          <w:i w:val="0"/>
          <w:sz w:val="24"/>
          <w:u w:val="single"/>
        </w:rPr>
        <w:t>3.2.4   Feature Set</w:t>
      </w:r>
    </w:p>
    <w:p>
      <w:pPr>
        <w:keepNext w:val="0"/>
        <w:spacing w:before="0" w:after="120" w:line="360" w:lineRule="auto"/>
        <w:jc w:val="both"/>
      </w:pPr>
      <w:r>
        <w:rPr>
          <w:rFonts w:ascii="Times New Roman" w:hAnsi="Times New Roman"/>
          <w:b w:val="0"/>
          <w:i w:val="0"/>
          <w:sz w:val="24"/>
          <w:u w:val="none"/>
        </w:rPr>
        <w:t>14 Blood Biomarkers (input features x): fasting glucose, fasting insulin, triglycerides, HDL cholesterol, LDL cholesterol, total cholesterol, ALT, AST, GGT, albumin, bilirubin, creatinine, BUN, uric acid.</w:t>
      </w:r>
    </w:p>
    <w:p>
      <w:pPr>
        <w:keepNext w:val="0"/>
        <w:spacing w:before="0" w:after="120" w:line="360" w:lineRule="auto"/>
        <w:jc w:val="both"/>
      </w:pPr>
      <w:r>
        <w:rPr>
          <w:rFonts w:ascii="Times New Roman" w:hAnsi="Times New Roman"/>
          <w:b w:val="0"/>
          <w:i w:val="0"/>
          <w:sz w:val="24"/>
          <w:u w:val="none"/>
        </w:rPr>
        <w:t>6 Demographic Variables (conditioning vector u): age, sex, Mexican American, Non-Hispanic White, Non-Hispanic Black, Non-Hispanic Asian.</w:t>
      </w:r>
    </w:p>
    <w:p>
      <w:pPr>
        <w:keepNext w:val="0"/>
        <w:spacing w:before="0" w:after="120" w:line="360" w:lineRule="auto"/>
        <w:jc w:val="both"/>
      </w:pPr>
      <w:r>
        <w:rPr>
          <w:rFonts w:ascii="Times New Roman" w:hAnsi="Times New Roman"/>
          <w:b w:val="0"/>
          <w:i w:val="0"/>
          <w:sz w:val="24"/>
          <w:u w:val="none"/>
        </w:rPr>
        <w:t>All biomarkers are standardised to zero mean and unit variance within the J-cycle training cohort. The same scaling parameters are applied to all subsequent evaluation cohorts without re-fitting.</w:t>
      </w:r>
    </w:p>
    <w:p>
      <w:pPr>
        <w:keepNext/>
        <w:spacing w:before="360" w:after="120" w:line="360" w:lineRule="auto"/>
        <w:jc w:val="left"/>
      </w:pPr>
      <w:r>
        <w:rPr>
          <w:rFonts w:ascii="Times New Roman" w:hAnsi="Times New Roman"/>
          <w:b/>
          <w:i w:val="0"/>
          <w:sz w:val="24"/>
          <w:u w:val="single"/>
        </w:rPr>
        <w:t>3.3   The DA-SS-iVAE Model</w:t>
      </w:r>
    </w:p>
    <w:p>
      <w:pPr>
        <w:keepNext/>
        <w:spacing w:before="240" w:after="80" w:line="360" w:lineRule="auto"/>
        <w:jc w:val="left"/>
      </w:pPr>
      <w:r>
        <w:rPr>
          <w:rFonts w:ascii="Times New Roman" w:hAnsi="Times New Roman"/>
          <w:b/>
          <w:i w:val="0"/>
          <w:sz w:val="24"/>
          <w:u w:val="single"/>
        </w:rPr>
        <w:t>3.3.1   Generative Model and Identifiability</w:t>
      </w:r>
    </w:p>
    <w:p>
      <w:pPr>
        <w:keepNext w:val="0"/>
        <w:spacing w:before="0" w:after="120" w:line="360" w:lineRule="auto"/>
        <w:jc w:val="both"/>
      </w:pPr>
      <w:r>
        <w:rPr>
          <w:rFonts w:ascii="Times New Roman" w:hAnsi="Times New Roman"/>
          <w:b w:val="0"/>
          <w:i w:val="0"/>
          <w:sz w:val="24"/>
          <w:u w:val="none"/>
        </w:rPr>
        <w:t>Let x in R^14 be the scaled biomarker vector, u in R^6 the demographic conditioning vector, and z = [z1, z2]^T in R^2 the latent metabolic coordinate. Following the iVAE identifiability framework, the prior is conditioned on demographics:</w:t>
      </w:r>
    </w:p>
    <w:p>
      <w:pPr>
        <w:keepNext w:val="0"/>
        <w:spacing w:before="120" w:after="120" w:line="240" w:lineRule="auto"/>
        <w:jc w:val="center"/>
      </w:pPr>
      <w:r>
        <w:rPr>
          <w:rFonts w:ascii="Times New Roman" w:hAnsi="Times New Roman"/>
          <w:b w:val="0"/>
          <w:i/>
          <w:sz w:val="24"/>
          <w:u w:val="none"/>
        </w:rPr>
        <w:t>p_theta(z | u) = N(mu_theta(u),  diag(sigma^2_theta(u)))</w:t>
      </w:r>
    </w:p>
    <w:p>
      <w:pPr>
        <w:keepNext w:val="0"/>
        <w:spacing w:before="0" w:after="120" w:line="360" w:lineRule="auto"/>
        <w:jc w:val="both"/>
      </w:pPr>
      <w:r>
        <w:rPr>
          <w:rFonts w:ascii="Times New Roman" w:hAnsi="Times New Roman"/>
          <w:b w:val="0"/>
          <w:i w:val="0"/>
          <w:sz w:val="24"/>
          <w:u w:val="none"/>
        </w:rPr>
        <w:t>The decoder reconstructs biomarkers from the latent state and demographics:</w:t>
      </w:r>
    </w:p>
    <w:p>
      <w:pPr>
        <w:keepNext w:val="0"/>
        <w:spacing w:before="120" w:after="120" w:line="240" w:lineRule="auto"/>
        <w:jc w:val="center"/>
      </w:pPr>
      <w:r>
        <w:rPr>
          <w:rFonts w:ascii="Times New Roman" w:hAnsi="Times New Roman"/>
          <w:b w:val="0"/>
          <w:i/>
          <w:sz w:val="24"/>
          <w:u w:val="none"/>
        </w:rPr>
        <w:t>p_theta(x | z, u) = N(f_theta(z, u),  sigma^2_x * I)</w:t>
      </w:r>
    </w:p>
    <w:p>
      <w:pPr>
        <w:keepNext w:val="0"/>
        <w:spacing w:before="0" w:after="120" w:line="360" w:lineRule="auto"/>
        <w:jc w:val="both"/>
      </w:pPr>
      <w:r>
        <w:rPr>
          <w:rFonts w:ascii="Times New Roman" w:hAnsi="Times New Roman"/>
          <w:b w:val="0"/>
          <w:i w:val="0"/>
          <w:sz w:val="24"/>
          <w:u w:val="none"/>
        </w:rPr>
        <w:t>Under mild exponential family assumptions and with sufficiently informative conditioning variables u, the model follows the iVAE framework of Khemakhem et al. (2020), under which latent recovery is theoretically identifiable up to coordinate permutation and element-wise monotone scaling.</w:t>
      </w:r>
    </w:p>
    <w:p>
      <w:pPr>
        <w:keepNext/>
        <w:spacing w:before="240" w:after="80" w:line="360" w:lineRule="auto"/>
        <w:jc w:val="left"/>
      </w:pPr>
      <w:r>
        <w:rPr>
          <w:rFonts w:ascii="Times New Roman" w:hAnsi="Times New Roman"/>
          <w:b/>
          <w:i w:val="0"/>
          <w:sz w:val="24"/>
          <w:u w:val="single"/>
        </w:rPr>
        <w:t>3.3.2   Dual Monotone Anchoring</w:t>
      </w:r>
    </w:p>
    <w:p>
      <w:pPr>
        <w:keepNext w:val="0"/>
        <w:spacing w:before="0" w:after="120" w:line="360" w:lineRule="auto"/>
        <w:jc w:val="both"/>
      </w:pPr>
      <w:r>
        <w:rPr>
          <w:rFonts w:ascii="Times New Roman" w:hAnsi="Times New Roman"/>
          <w:b w:val="0"/>
          <w:i w:val="0"/>
          <w:sz w:val="24"/>
          <w:u w:val="none"/>
        </w:rPr>
        <w:t>To assign biological meaning to each axis, two monotone anchor networks are introduced:</w:t>
      </w:r>
    </w:p>
    <w:p>
      <w:pPr>
        <w:keepNext w:val="0"/>
        <w:spacing w:before="120" w:after="120" w:line="240" w:lineRule="auto"/>
        <w:jc w:val="center"/>
      </w:pPr>
      <w:r>
        <w:rPr>
          <w:rFonts w:ascii="Times New Roman" w:hAnsi="Times New Roman"/>
          <w:b w:val="0"/>
          <w:i/>
          <w:sz w:val="24"/>
          <w:u w:val="none"/>
        </w:rPr>
        <w:t>y-hat_HOMA = g_gamma1(z1)     [Insulin Resistance Anchor]</w:t>
      </w:r>
    </w:p>
    <w:p>
      <w:pPr>
        <w:keepNext w:val="0"/>
        <w:spacing w:before="120" w:after="120" w:line="240" w:lineRule="auto"/>
        <w:jc w:val="center"/>
      </w:pPr>
      <w:r>
        <w:rPr>
          <w:rFonts w:ascii="Times New Roman" w:hAnsi="Times New Roman"/>
          <w:b w:val="0"/>
          <w:i/>
          <w:sz w:val="24"/>
          <w:u w:val="none"/>
        </w:rPr>
        <w:t>y-hat_CAP  = g_gamma2(z2)     [Hepatic Steatosis Anchor]</w:t>
      </w:r>
    </w:p>
    <w:p>
      <w:pPr>
        <w:keepNext w:val="0"/>
        <w:spacing w:before="0" w:after="120" w:line="360" w:lineRule="auto"/>
        <w:jc w:val="both"/>
      </w:pPr>
      <w:r>
        <w:rPr>
          <w:rFonts w:ascii="Times New Roman" w:hAnsi="Times New Roman"/>
          <w:b w:val="0"/>
          <w:i w:val="0"/>
          <w:sz w:val="24"/>
          <w:u w:val="none"/>
        </w:rPr>
        <w:t>Anchor parameters are constrained via Softplus re-projection after every training step, enforcing strictly positive partial derivatives so that z1 and z2 act as monotone ordinal scales of insulin resistance and hepatic lipid content respectively.</w:t>
      </w:r>
    </w:p>
    <w:p>
      <w:pPr>
        <w:keepNext/>
        <w:spacing w:before="240" w:after="80" w:line="360" w:lineRule="auto"/>
        <w:jc w:val="left"/>
      </w:pPr>
      <w:r>
        <w:rPr>
          <w:rFonts w:ascii="Times New Roman" w:hAnsi="Times New Roman"/>
          <w:b/>
          <w:i w:val="0"/>
          <w:sz w:val="24"/>
          <w:u w:val="single"/>
        </w:rPr>
        <w:t>3.3.3   Semi-Supervised Objective Function</w:t>
      </w:r>
    </w:p>
    <w:p>
      <w:pPr>
        <w:keepNext w:val="0"/>
        <w:spacing w:before="0" w:after="120" w:line="360" w:lineRule="auto"/>
        <w:jc w:val="both"/>
      </w:pPr>
      <w:r>
        <w:rPr>
          <w:rFonts w:ascii="Times New Roman" w:hAnsi="Times New Roman"/>
          <w:b w:val="0"/>
          <w:i w:val="0"/>
          <w:sz w:val="24"/>
          <w:u w:val="none"/>
        </w:rPr>
        <w:t>FibroScan CAP measurements are expensive and available only for a labelled subset. The model is trained semi-supervisedly using a binary mask M_CAP in {0, 1}. The total training objective is:</w:t>
      </w:r>
    </w:p>
    <w:p>
      <w:pPr>
        <w:keepNext w:val="0"/>
        <w:spacing w:before="120" w:after="120" w:line="240" w:lineRule="auto"/>
        <w:jc w:val="center"/>
      </w:pPr>
      <w:r>
        <w:rPr>
          <w:rFonts w:ascii="Times New Roman" w:hAnsi="Times New Roman"/>
          <w:b w:val="0"/>
          <w:i/>
          <w:sz w:val="24"/>
          <w:u w:val="none"/>
        </w:rPr>
        <w:t>L = L_ELBO(phi, theta)</w:t>
        <w:br/>
        <w:t xml:space="preserve">  + lambda_1 * ||y_HOMA - y-hat_HOMA||^2</w:t>
        <w:br/>
        <w:t xml:space="preserve">  + lambda_2 * M_CAP * ||y_CAP - y-hat_CAP||^2</w:t>
        <w:br/>
        <w:t xml:space="preserve">  + lambda_3 * ||Cov(Z) - I||^2_F</w:t>
      </w:r>
    </w:p>
    <w:p>
      <w:pPr>
        <w:keepNext w:val="0"/>
        <w:spacing w:before="0" w:after="120" w:line="360" w:lineRule="auto"/>
        <w:jc w:val="both"/>
      </w:pPr>
      <w:r>
        <w:rPr>
          <w:rFonts w:ascii="Times New Roman" w:hAnsi="Times New Roman"/>
          <w:b w:val="0"/>
          <w:i w:val="0"/>
          <w:sz w:val="24"/>
          <w:u w:val="none"/>
        </w:rPr>
        <w:t>The Frobenius penalty ||Cov(Z) - I||^2_F encourages orthogonal disentanglement of the two biological axes by penalising correlation between z1 and z2.</w:t>
      </w:r>
    </w:p>
    <w:p>
      <w:pPr>
        <w:keepNext/>
        <w:spacing w:before="240" w:after="80" w:line="360" w:lineRule="auto"/>
        <w:jc w:val="left"/>
      </w:pPr>
      <w:r>
        <w:rPr>
          <w:rFonts w:ascii="Times New Roman" w:hAnsi="Times New Roman"/>
          <w:b/>
          <w:i w:val="0"/>
          <w:sz w:val="24"/>
          <w:u w:val="single"/>
        </w:rPr>
        <w:t>3.3.4   Model Architecture Summary</w:t>
      </w:r>
    </w:p>
    <w:p>
      <w:pPr>
        <w:keepNext/>
        <w:spacing w:before="240" w:after="80" w:line="240" w:lineRule="auto"/>
        <w:jc w:val="center"/>
      </w:pPr>
      <w:r>
        <w:rPr>
          <w:rFonts w:ascii="Times New Roman" w:hAnsi="Times New Roman"/>
          <w:b/>
          <w:i w:val="0"/>
          <w:sz w:val="20"/>
          <w:u w:val="none"/>
        </w:rPr>
        <w:t>Table 6: Neural architecture specification</w:t>
      </w:r>
    </w:p>
    <w:tbl>
      <w:tblPr>
        <w:tblStyle w:val="TableGrid"/>
        <w:tblW w:type="auto" w:w="0"/>
        <w:tblLook w:firstColumn="1" w:firstRow="1" w:lastColumn="0" w:lastRow="0" w:noHBand="0" w:noVBand="1" w:val="04A0"/>
      </w:tblPr>
      <w:tblGrid>
        <w:gridCol w:w="1984"/>
        <w:gridCol w:w="1984"/>
        <w:gridCol w:w="1984"/>
        <w:gridCol w:w="1984"/>
      </w:tblGrid>
      <w:tr>
        <w:tc>
          <w:tcPr>
            <w:tcW w:type="dxa" w:w="1984"/>
          </w:tcPr>
          <w:p>
            <w:pPr>
              <w:spacing w:before="40" w:after="40" w:line="240" w:lineRule="auto"/>
              <w:jc w:val="center"/>
            </w:pPr>
            <w:r/>
            <w:r>
              <w:rPr>
                <w:rFonts w:ascii="Times New Roman" w:hAnsi="Times New Roman"/>
                <w:b/>
                <w:i w:val="0"/>
                <w:sz w:val="20"/>
                <w:u w:val="none"/>
              </w:rPr>
              <w:t>Component</w:t>
            </w:r>
          </w:p>
        </w:tc>
        <w:tc>
          <w:tcPr>
            <w:tcW w:type="dxa" w:w="1984"/>
          </w:tcPr>
          <w:p>
            <w:pPr>
              <w:spacing w:before="40" w:after="40" w:line="240" w:lineRule="auto"/>
              <w:jc w:val="center"/>
            </w:pPr>
            <w:r/>
            <w:r>
              <w:rPr>
                <w:rFonts w:ascii="Times New Roman" w:hAnsi="Times New Roman"/>
                <w:b/>
                <w:i w:val="0"/>
                <w:sz w:val="20"/>
                <w:u w:val="none"/>
              </w:rPr>
              <w:t>Architecture</w:t>
            </w:r>
          </w:p>
        </w:tc>
        <w:tc>
          <w:tcPr>
            <w:tcW w:type="dxa" w:w="1984"/>
          </w:tcPr>
          <w:p>
            <w:pPr>
              <w:spacing w:before="40" w:after="40" w:line="240" w:lineRule="auto"/>
              <w:jc w:val="center"/>
            </w:pPr>
            <w:r/>
            <w:r>
              <w:rPr>
                <w:rFonts w:ascii="Times New Roman" w:hAnsi="Times New Roman"/>
                <w:b/>
                <w:i w:val="0"/>
                <w:sz w:val="20"/>
                <w:u w:val="none"/>
              </w:rPr>
              <w:t>Input Dim</w:t>
            </w:r>
          </w:p>
        </w:tc>
        <w:tc>
          <w:tcPr>
            <w:tcW w:type="dxa" w:w="1984"/>
          </w:tcPr>
          <w:p>
            <w:pPr>
              <w:spacing w:before="40" w:after="40" w:line="240" w:lineRule="auto"/>
              <w:jc w:val="center"/>
            </w:pPr>
            <w:r/>
            <w:r>
              <w:rPr>
                <w:rFonts w:ascii="Times New Roman" w:hAnsi="Times New Roman"/>
                <w:b/>
                <w:i w:val="0"/>
                <w:sz w:val="20"/>
                <w:u w:val="none"/>
              </w:rPr>
              <w:t>Output Dim</w:t>
            </w:r>
          </w:p>
        </w:tc>
      </w:tr>
      <w:tr>
        <w:tc>
          <w:tcPr>
            <w:tcW w:type="dxa" w:w="1984"/>
          </w:tcPr>
          <w:p>
            <w:pPr>
              <w:spacing w:before="40" w:after="40" w:line="240" w:lineRule="auto"/>
              <w:jc w:val="left"/>
            </w:pPr>
            <w:r/>
            <w:r>
              <w:rPr>
                <w:rFonts w:ascii="Times New Roman" w:hAnsi="Times New Roman"/>
                <w:b w:val="0"/>
                <w:i w:val="0"/>
                <w:sz w:val="20"/>
                <w:u w:val="none"/>
              </w:rPr>
              <w:t>Encoder q_phi(z|x,u)</w:t>
            </w:r>
          </w:p>
        </w:tc>
        <w:tc>
          <w:tcPr>
            <w:tcW w:type="dxa" w:w="1984"/>
          </w:tcPr>
          <w:p>
            <w:pPr>
              <w:spacing w:before="40" w:after="40" w:line="240" w:lineRule="auto"/>
              <w:jc w:val="left"/>
            </w:pPr>
            <w:r/>
            <w:r>
              <w:rPr>
                <w:rFonts w:ascii="Times New Roman" w:hAnsi="Times New Roman"/>
                <w:b w:val="0"/>
                <w:i w:val="0"/>
                <w:sz w:val="20"/>
                <w:u w:val="none"/>
              </w:rPr>
              <w:t>Residual MLP [128, 64, 32]</w:t>
            </w:r>
          </w:p>
        </w:tc>
        <w:tc>
          <w:tcPr>
            <w:tcW w:type="dxa" w:w="1984"/>
          </w:tcPr>
          <w:p>
            <w:pPr>
              <w:spacing w:before="40" w:after="40" w:line="240" w:lineRule="auto"/>
              <w:jc w:val="left"/>
            </w:pPr>
            <w:r/>
            <w:r>
              <w:rPr>
                <w:rFonts w:ascii="Times New Roman" w:hAnsi="Times New Roman"/>
                <w:b w:val="0"/>
                <w:i w:val="0"/>
                <w:sz w:val="20"/>
                <w:u w:val="none"/>
              </w:rPr>
              <w:t>20</w:t>
            </w:r>
          </w:p>
        </w:tc>
        <w:tc>
          <w:tcPr>
            <w:tcW w:type="dxa" w:w="1984"/>
          </w:tcPr>
          <w:p>
            <w:pPr>
              <w:spacing w:before="40" w:after="40" w:line="240" w:lineRule="auto"/>
              <w:jc w:val="left"/>
            </w:pPr>
            <w:r/>
            <w:r>
              <w:rPr>
                <w:rFonts w:ascii="Times New Roman" w:hAnsi="Times New Roman"/>
                <w:b w:val="0"/>
                <w:i w:val="0"/>
                <w:sz w:val="20"/>
                <w:u w:val="none"/>
              </w:rPr>
              <w:t>mu_z, log_sigma_z (2-dim each)</w:t>
            </w:r>
          </w:p>
        </w:tc>
      </w:tr>
      <w:tr>
        <w:tc>
          <w:tcPr>
            <w:tcW w:type="dxa" w:w="1984"/>
          </w:tcPr>
          <w:p>
            <w:pPr>
              <w:spacing w:before="40" w:after="40" w:line="240" w:lineRule="auto"/>
              <w:jc w:val="left"/>
            </w:pPr>
            <w:r/>
            <w:r>
              <w:rPr>
                <w:rFonts w:ascii="Times New Roman" w:hAnsi="Times New Roman"/>
                <w:b w:val="0"/>
                <w:i w:val="0"/>
                <w:sz w:val="20"/>
                <w:u w:val="none"/>
              </w:rPr>
              <w:t>Prior p_theta(z|u)</w:t>
            </w:r>
          </w:p>
        </w:tc>
        <w:tc>
          <w:tcPr>
            <w:tcW w:type="dxa" w:w="1984"/>
          </w:tcPr>
          <w:p>
            <w:pPr>
              <w:spacing w:before="40" w:after="40" w:line="240" w:lineRule="auto"/>
              <w:jc w:val="left"/>
            </w:pPr>
            <w:r/>
            <w:r>
              <w:rPr>
                <w:rFonts w:ascii="Times New Roman" w:hAnsi="Times New Roman"/>
                <w:b w:val="0"/>
                <w:i w:val="0"/>
                <w:sz w:val="20"/>
                <w:u w:val="none"/>
              </w:rPr>
              <w:t>Conditional MLP [64, 32]</w:t>
            </w:r>
          </w:p>
        </w:tc>
        <w:tc>
          <w:tcPr>
            <w:tcW w:type="dxa" w:w="1984"/>
          </w:tcPr>
          <w:p>
            <w:pPr>
              <w:spacing w:before="40" w:after="40" w:line="240" w:lineRule="auto"/>
              <w:jc w:val="left"/>
            </w:pPr>
            <w:r/>
            <w:r>
              <w:rPr>
                <w:rFonts w:ascii="Times New Roman" w:hAnsi="Times New Roman"/>
                <w:b w:val="0"/>
                <w:i w:val="0"/>
                <w:sz w:val="20"/>
                <w:u w:val="none"/>
              </w:rPr>
              <w:t>6</w:t>
            </w:r>
          </w:p>
        </w:tc>
        <w:tc>
          <w:tcPr>
            <w:tcW w:type="dxa" w:w="1984"/>
          </w:tcPr>
          <w:p>
            <w:pPr>
              <w:spacing w:before="40" w:after="40" w:line="240" w:lineRule="auto"/>
              <w:jc w:val="left"/>
            </w:pPr>
            <w:r/>
            <w:r>
              <w:rPr>
                <w:rFonts w:ascii="Times New Roman" w:hAnsi="Times New Roman"/>
                <w:b w:val="0"/>
                <w:i w:val="0"/>
                <w:sz w:val="20"/>
                <w:u w:val="none"/>
              </w:rPr>
              <w:t>mu_prior, log_sigma_prior (2-dim each)</w:t>
            </w:r>
          </w:p>
        </w:tc>
      </w:tr>
      <w:tr>
        <w:tc>
          <w:tcPr>
            <w:tcW w:type="dxa" w:w="1984"/>
          </w:tcPr>
          <w:p>
            <w:pPr>
              <w:spacing w:before="40" w:after="40" w:line="240" w:lineRule="auto"/>
              <w:jc w:val="left"/>
            </w:pPr>
            <w:r/>
            <w:r>
              <w:rPr>
                <w:rFonts w:ascii="Times New Roman" w:hAnsi="Times New Roman"/>
                <w:b w:val="0"/>
                <w:i w:val="0"/>
                <w:sz w:val="20"/>
                <w:u w:val="none"/>
              </w:rPr>
              <w:t>Decoder f_theta(z,u)</w:t>
            </w:r>
          </w:p>
        </w:tc>
        <w:tc>
          <w:tcPr>
            <w:tcW w:type="dxa" w:w="1984"/>
          </w:tcPr>
          <w:p>
            <w:pPr>
              <w:spacing w:before="40" w:after="40" w:line="240" w:lineRule="auto"/>
              <w:jc w:val="left"/>
            </w:pPr>
            <w:r/>
            <w:r>
              <w:rPr>
                <w:rFonts w:ascii="Times New Roman" w:hAnsi="Times New Roman"/>
                <w:b w:val="0"/>
                <w:i w:val="0"/>
                <w:sz w:val="20"/>
                <w:u w:val="none"/>
              </w:rPr>
              <w:t>Residual MLP [128, 64, 32]</w:t>
            </w:r>
          </w:p>
        </w:tc>
        <w:tc>
          <w:tcPr>
            <w:tcW w:type="dxa" w:w="1984"/>
          </w:tcPr>
          <w:p>
            <w:pPr>
              <w:spacing w:before="40" w:after="40" w:line="240" w:lineRule="auto"/>
              <w:jc w:val="left"/>
            </w:pPr>
            <w:r/>
            <w:r>
              <w:rPr>
                <w:rFonts w:ascii="Times New Roman" w:hAnsi="Times New Roman"/>
                <w:b w:val="0"/>
                <w:i w:val="0"/>
                <w:sz w:val="20"/>
                <w:u w:val="none"/>
              </w:rPr>
              <w:t>8</w:t>
            </w:r>
          </w:p>
        </w:tc>
        <w:tc>
          <w:tcPr>
            <w:tcW w:type="dxa" w:w="1984"/>
          </w:tcPr>
          <w:p>
            <w:pPr>
              <w:spacing w:before="40" w:after="40" w:line="240" w:lineRule="auto"/>
              <w:jc w:val="left"/>
            </w:pPr>
            <w:r/>
            <w:r>
              <w:rPr>
                <w:rFonts w:ascii="Times New Roman" w:hAnsi="Times New Roman"/>
                <w:b w:val="0"/>
                <w:i w:val="0"/>
                <w:sz w:val="20"/>
                <w:u w:val="none"/>
              </w:rPr>
              <w:t>x-hat in R^14</w:t>
            </w:r>
          </w:p>
        </w:tc>
      </w:tr>
      <w:tr>
        <w:tc>
          <w:tcPr>
            <w:tcW w:type="dxa" w:w="1984"/>
          </w:tcPr>
          <w:p>
            <w:pPr>
              <w:spacing w:before="40" w:after="40" w:line="240" w:lineRule="auto"/>
              <w:jc w:val="left"/>
            </w:pPr>
            <w:r/>
            <w:r>
              <w:rPr>
                <w:rFonts w:ascii="Times New Roman" w:hAnsi="Times New Roman"/>
                <w:b w:val="0"/>
                <w:i w:val="0"/>
                <w:sz w:val="20"/>
                <w:u w:val="none"/>
              </w:rPr>
              <w:t>IR Anchor g_gamma1</w:t>
            </w:r>
          </w:p>
        </w:tc>
        <w:tc>
          <w:tcPr>
            <w:tcW w:type="dxa" w:w="1984"/>
          </w:tcPr>
          <w:p>
            <w:pPr>
              <w:spacing w:before="40" w:after="40" w:line="240" w:lineRule="auto"/>
              <w:jc w:val="left"/>
            </w:pPr>
            <w:r/>
            <w:r>
              <w:rPr>
                <w:rFonts w:ascii="Times New Roman" w:hAnsi="Times New Roman"/>
                <w:b w:val="0"/>
                <w:i w:val="0"/>
                <w:sz w:val="20"/>
                <w:u w:val="none"/>
              </w:rPr>
              <w:t>Monotone MLP [32, 16] + Softplus</w:t>
            </w:r>
          </w:p>
        </w:tc>
        <w:tc>
          <w:tcPr>
            <w:tcW w:type="dxa" w:w="1984"/>
          </w:tcPr>
          <w:p>
            <w:pPr>
              <w:spacing w:before="40" w:after="40" w:line="240" w:lineRule="auto"/>
              <w:jc w:val="left"/>
            </w:pPr>
            <w:r/>
            <w:r>
              <w:rPr>
                <w:rFonts w:ascii="Times New Roman" w:hAnsi="Times New Roman"/>
                <w:b w:val="0"/>
                <w:i w:val="0"/>
                <w:sz w:val="20"/>
                <w:u w:val="none"/>
              </w:rPr>
              <w:t>1</w:t>
            </w:r>
          </w:p>
        </w:tc>
        <w:tc>
          <w:tcPr>
            <w:tcW w:type="dxa" w:w="1984"/>
          </w:tcPr>
          <w:p>
            <w:pPr>
              <w:spacing w:before="40" w:after="40" w:line="240" w:lineRule="auto"/>
              <w:jc w:val="left"/>
            </w:pPr>
            <w:r/>
            <w:r>
              <w:rPr>
                <w:rFonts w:ascii="Times New Roman" w:hAnsi="Times New Roman"/>
                <w:b w:val="0"/>
                <w:i w:val="0"/>
                <w:sz w:val="20"/>
                <w:u w:val="none"/>
              </w:rPr>
              <w:t>y-hat_HOMA in R</w:t>
            </w:r>
          </w:p>
        </w:tc>
      </w:tr>
      <w:tr>
        <w:tc>
          <w:tcPr>
            <w:tcW w:type="dxa" w:w="1984"/>
          </w:tcPr>
          <w:p>
            <w:pPr>
              <w:spacing w:before="40" w:after="40" w:line="240" w:lineRule="auto"/>
              <w:jc w:val="left"/>
            </w:pPr>
            <w:r/>
            <w:r>
              <w:rPr>
                <w:rFonts w:ascii="Times New Roman" w:hAnsi="Times New Roman"/>
                <w:b w:val="0"/>
                <w:i w:val="0"/>
                <w:sz w:val="20"/>
                <w:u w:val="none"/>
              </w:rPr>
              <w:t>Steatosis Anchor g_gamma2</w:t>
            </w:r>
          </w:p>
        </w:tc>
        <w:tc>
          <w:tcPr>
            <w:tcW w:type="dxa" w:w="1984"/>
          </w:tcPr>
          <w:p>
            <w:pPr>
              <w:spacing w:before="40" w:after="40" w:line="240" w:lineRule="auto"/>
              <w:jc w:val="left"/>
            </w:pPr>
            <w:r/>
            <w:r>
              <w:rPr>
                <w:rFonts w:ascii="Times New Roman" w:hAnsi="Times New Roman"/>
                <w:b w:val="0"/>
                <w:i w:val="0"/>
                <w:sz w:val="20"/>
                <w:u w:val="none"/>
              </w:rPr>
              <w:t>Monotone MLP [32, 16] + Softplus</w:t>
            </w:r>
          </w:p>
        </w:tc>
        <w:tc>
          <w:tcPr>
            <w:tcW w:type="dxa" w:w="1984"/>
          </w:tcPr>
          <w:p>
            <w:pPr>
              <w:spacing w:before="40" w:after="40" w:line="240" w:lineRule="auto"/>
              <w:jc w:val="left"/>
            </w:pPr>
            <w:r/>
            <w:r>
              <w:rPr>
                <w:rFonts w:ascii="Times New Roman" w:hAnsi="Times New Roman"/>
                <w:b w:val="0"/>
                <w:i w:val="0"/>
                <w:sz w:val="20"/>
                <w:u w:val="none"/>
              </w:rPr>
              <w:t>1</w:t>
            </w:r>
          </w:p>
        </w:tc>
        <w:tc>
          <w:tcPr>
            <w:tcW w:type="dxa" w:w="1984"/>
          </w:tcPr>
          <w:p>
            <w:pPr>
              <w:spacing w:before="40" w:after="40" w:line="240" w:lineRule="auto"/>
              <w:jc w:val="left"/>
            </w:pPr>
            <w:r/>
            <w:r>
              <w:rPr>
                <w:rFonts w:ascii="Times New Roman" w:hAnsi="Times New Roman"/>
                <w:b w:val="0"/>
                <w:i w:val="0"/>
                <w:sz w:val="20"/>
                <w:u w:val="none"/>
              </w:rPr>
              <w:t>y-hat_CAP in R</w:t>
            </w:r>
          </w:p>
        </w:tc>
      </w:tr>
    </w:tbl>
    <w:p>
      <w:pPr>
        <w:keepNext w:val="0"/>
        <w:spacing w:before="0" w:after="200" w:line="360" w:lineRule="auto"/>
        <w:jc w:val="both"/>
      </w:pPr>
    </w:p>
    <w:p>
      <w:pPr>
        <w:keepNext/>
        <w:spacing w:before="360" w:after="120" w:line="360" w:lineRule="auto"/>
        <w:jc w:val="left"/>
      </w:pPr>
      <w:r>
        <w:rPr>
          <w:rFonts w:ascii="Times New Roman" w:hAnsi="Times New Roman"/>
          <w:b/>
          <w:i w:val="0"/>
          <w:sz w:val="24"/>
          <w:u w:val="single"/>
        </w:rPr>
        <w:t>3.4   Conformal Prediction and Uncertainty Quantification</w:t>
      </w:r>
    </w:p>
    <w:p>
      <w:pPr>
        <w:keepNext/>
        <w:spacing w:before="240" w:after="80" w:line="360" w:lineRule="auto"/>
        <w:jc w:val="left"/>
      </w:pPr>
      <w:r>
        <w:rPr>
          <w:rFonts w:ascii="Times New Roman" w:hAnsi="Times New Roman"/>
          <w:b/>
          <w:i w:val="0"/>
          <w:sz w:val="24"/>
          <w:u w:val="single"/>
        </w:rPr>
        <w:t>3.4.1   Marginal Coverage Limitations</w:t>
      </w:r>
    </w:p>
    <w:p>
      <w:pPr>
        <w:keepNext w:val="0"/>
        <w:spacing w:before="0" w:after="120" w:line="360" w:lineRule="auto"/>
        <w:jc w:val="both"/>
      </w:pPr>
      <w:r>
        <w:rPr>
          <w:rFonts w:ascii="Times New Roman" w:hAnsi="Times New Roman"/>
          <w:b w:val="0"/>
          <w:i w:val="0"/>
          <w:sz w:val="24"/>
          <w:u w:val="none"/>
        </w:rPr>
        <w:t>Standard split conformal prediction provides a global marginal property: P(Y in C-hat(X)) &gt;= 1 - alpha. However, for a subgroup G with covariate shift, conditional coverage is bounded by the Barber et al. (2023) result:</w:t>
      </w:r>
    </w:p>
    <w:p>
      <w:pPr>
        <w:keepNext w:val="0"/>
        <w:spacing w:before="120" w:after="120" w:line="240" w:lineRule="auto"/>
        <w:jc w:val="center"/>
      </w:pPr>
      <w:r>
        <w:rPr>
          <w:rFonts w:ascii="Times New Roman" w:hAnsi="Times New Roman"/>
          <w:b w:val="0"/>
          <w:i/>
          <w:sz w:val="24"/>
          <w:u w:val="none"/>
        </w:rPr>
        <w:t>P(Y in C-hat(X) | X in G)  &gt;=  (1-alpha) - Delta_G * (1-pi_G) / pi_G</w:t>
      </w:r>
    </w:p>
    <w:p>
      <w:pPr>
        <w:keepNext w:val="0"/>
        <w:spacing w:before="0" w:after="120" w:line="360" w:lineRule="auto"/>
        <w:jc w:val="both"/>
      </w:pPr>
      <w:r>
        <w:rPr>
          <w:rFonts w:ascii="Times New Roman" w:hAnsi="Times New Roman"/>
          <w:b w:val="0"/>
          <w:i w:val="0"/>
          <w:sz w:val="24"/>
          <w:u w:val="none"/>
        </w:rPr>
        <w:t>For the Dual-Burden subgroup with severe covariate shift (Delta_G = 0.58) and low prevalence (pi_G = 136/618 ~= 0.220), the theoretical coverage floor is approximately 80-83%, consistent with the empirical 81.6% collapse observed in experiments.</w:t>
      </w:r>
    </w:p>
    <w:p>
      <w:pPr>
        <w:keepNext/>
        <w:spacing w:before="240" w:after="80" w:line="360" w:lineRule="auto"/>
        <w:jc w:val="left"/>
      </w:pPr>
      <w:r>
        <w:rPr>
          <w:rFonts w:ascii="Times New Roman" w:hAnsi="Times New Roman"/>
          <w:b/>
          <w:i w:val="0"/>
          <w:sz w:val="24"/>
          <w:u w:val="single"/>
        </w:rPr>
        <w:t>3.4.2   Mondrian Conformal Calibration</w:t>
      </w:r>
    </w:p>
    <w:p>
      <w:pPr>
        <w:keepNext w:val="0"/>
        <w:spacing w:before="0" w:after="120" w:line="360" w:lineRule="auto"/>
        <w:jc w:val="both"/>
      </w:pPr>
      <w:r>
        <w:rPr>
          <w:rFonts w:ascii="Times New Roman" w:hAnsi="Times New Roman"/>
          <w:b w:val="0"/>
          <w:i w:val="0"/>
          <w:sz w:val="24"/>
          <w:u w:val="none"/>
        </w:rPr>
        <w:t>Mondrian conformal prediction stratifies calibration across each phenotypic quadrant independently:</w:t>
      </w:r>
    </w:p>
    <w:p>
      <w:pPr>
        <w:keepNext w:val="0"/>
        <w:spacing w:before="120" w:after="120" w:line="240" w:lineRule="auto"/>
        <w:jc w:val="center"/>
      </w:pPr>
      <w:r>
        <w:rPr>
          <w:rFonts w:ascii="Times New Roman" w:hAnsi="Times New Roman"/>
          <w:b w:val="0"/>
          <w:i/>
          <w:sz w:val="24"/>
          <w:u w:val="none"/>
        </w:rPr>
        <w:t>C-hat_Mondrian(X) = { y : s(X,y) &lt;= q^n_(1-alpha)(k) }</w:t>
      </w:r>
    </w:p>
    <w:p>
      <w:pPr>
        <w:keepNext w:val="0"/>
        <w:spacing w:before="0" w:after="120" w:line="360" w:lineRule="auto"/>
        <w:jc w:val="both"/>
      </w:pPr>
      <w:r>
        <w:rPr>
          <w:rFonts w:ascii="Times New Roman" w:hAnsi="Times New Roman"/>
          <w:b w:val="0"/>
          <w:i w:val="0"/>
          <w:sz w:val="24"/>
          <w:u w:val="none"/>
        </w:rPr>
        <w:t>where q^n_(1-alpha)(k) is the (1-alpha) quantile of nonconformity scores computed exclusively within quadrant k. This provides simultaneous finite-sample coverage:</w:t>
      </w:r>
    </w:p>
    <w:p>
      <w:pPr>
        <w:keepNext w:val="0"/>
        <w:spacing w:before="120" w:after="120" w:line="240" w:lineRule="auto"/>
        <w:jc w:val="center"/>
      </w:pPr>
      <w:r>
        <w:rPr>
          <w:rFonts w:ascii="Times New Roman" w:hAnsi="Times New Roman"/>
          <w:b w:val="0"/>
          <w:i/>
          <w:sz w:val="24"/>
          <w:u w:val="none"/>
        </w:rPr>
        <w:t>P(Y in C-hat(X) | X in Quadrant k)  &gt;=  1-alpha    for all k in {1, 2, 3, 4}</w:t>
      </w:r>
    </w:p>
    <w:p>
      <w:pPr>
        <w:keepNext w:val="0"/>
        <w:spacing w:before="0" w:after="120" w:line="360" w:lineRule="auto"/>
        <w:jc w:val="both"/>
      </w:pPr>
      <w:r>
        <w:rPr>
          <w:rFonts w:ascii="Times New Roman" w:hAnsi="Times New Roman"/>
          <w:b w:val="0"/>
          <w:i w:val="0"/>
          <w:sz w:val="24"/>
          <w:u w:val="none"/>
        </w:rPr>
        <w:t>The four phenotypic quadrants:</w:t>
      </w:r>
    </w:p>
    <w:p>
      <w:pPr>
        <w:keepNext w:val="0"/>
        <w:spacing w:before="0" w:after="80" w:line="360" w:lineRule="auto"/>
        <w:ind w:left="850" w:hanging="850"/>
        <w:jc w:val="both"/>
      </w:pPr>
      <w:r>
        <w:rPr>
          <w:rFonts w:ascii="Times New Roman" w:hAnsi="Times New Roman"/>
          <w:b/>
          <w:i w:val="0"/>
          <w:sz w:val="24"/>
          <w:u w:val="none"/>
        </w:rPr>
        <w:t>1.</w:t>
        <w:tab/>
      </w:r>
      <w:r>
        <w:rPr>
          <w:rFonts w:ascii="Times New Roman" w:hAnsi="Times New Roman"/>
          <w:b/>
          <w:i w:val="0"/>
          <w:sz w:val="24"/>
          <w:u w:val="none"/>
        </w:rPr>
        <w:t xml:space="preserve">Metabolically Healthy Normal Weight (MHNW): </w:t>
      </w:r>
      <w:r>
        <w:rPr>
          <w:rFonts w:ascii="Times New Roman" w:hAnsi="Times New Roman"/>
          <w:b w:val="0"/>
          <w:i w:val="0"/>
          <w:sz w:val="24"/>
          <w:u w:val="none"/>
        </w:rPr>
        <w:t>z1 &lt;= 0, z2 &lt;= 0. Baseline risk profile.</w:t>
      </w:r>
    </w:p>
    <w:p>
      <w:pPr>
        <w:keepNext w:val="0"/>
        <w:spacing w:before="0" w:after="80" w:line="360" w:lineRule="auto"/>
        <w:ind w:left="850" w:hanging="850"/>
        <w:jc w:val="both"/>
      </w:pPr>
      <w:r>
        <w:rPr>
          <w:rFonts w:ascii="Times New Roman" w:hAnsi="Times New Roman"/>
          <w:b/>
          <w:i w:val="0"/>
          <w:sz w:val="24"/>
          <w:u w:val="none"/>
        </w:rPr>
        <w:t>2.</w:t>
        <w:tab/>
      </w:r>
      <w:r>
        <w:rPr>
          <w:rFonts w:ascii="Times New Roman" w:hAnsi="Times New Roman"/>
          <w:b/>
          <w:i w:val="0"/>
          <w:sz w:val="24"/>
          <w:u w:val="none"/>
        </w:rPr>
        <w:t xml:space="preserve">IR-Dominant: </w:t>
      </w:r>
      <w:r>
        <w:rPr>
          <w:rFonts w:ascii="Times New Roman" w:hAnsi="Times New Roman"/>
          <w:b w:val="0"/>
          <w:i w:val="0"/>
          <w:sz w:val="24"/>
          <w:u w:val="none"/>
        </w:rPr>
        <w:t>z1 &gt; 0, z2 &lt;= 0. Isolated insulin resistance pathway.</w:t>
      </w:r>
    </w:p>
    <w:p>
      <w:pPr>
        <w:keepNext w:val="0"/>
        <w:spacing w:before="0" w:after="80" w:line="360" w:lineRule="auto"/>
        <w:ind w:left="850" w:hanging="850"/>
        <w:jc w:val="both"/>
      </w:pPr>
      <w:r>
        <w:rPr>
          <w:rFonts w:ascii="Times New Roman" w:hAnsi="Times New Roman"/>
          <w:b/>
          <w:i w:val="0"/>
          <w:sz w:val="24"/>
          <w:u w:val="none"/>
        </w:rPr>
        <w:t>3.</w:t>
        <w:tab/>
      </w:r>
      <w:r>
        <w:rPr>
          <w:rFonts w:ascii="Times New Roman" w:hAnsi="Times New Roman"/>
          <w:b/>
          <w:i w:val="0"/>
          <w:sz w:val="24"/>
          <w:u w:val="none"/>
        </w:rPr>
        <w:t xml:space="preserve">Steatosis-Dominant: </w:t>
      </w:r>
      <w:r>
        <w:rPr>
          <w:rFonts w:ascii="Times New Roman" w:hAnsi="Times New Roman"/>
          <w:b w:val="0"/>
          <w:i w:val="0"/>
          <w:sz w:val="24"/>
          <w:u w:val="none"/>
        </w:rPr>
        <w:t>z1 &lt;= 0, z2 &gt; 0. Isolated hepatic lipid accumulation pathway.</w:t>
      </w:r>
    </w:p>
    <w:p>
      <w:pPr>
        <w:keepNext w:val="0"/>
        <w:spacing w:before="0" w:after="80" w:line="360" w:lineRule="auto"/>
        <w:ind w:left="850" w:hanging="850"/>
        <w:jc w:val="both"/>
      </w:pPr>
      <w:r>
        <w:rPr>
          <w:rFonts w:ascii="Times New Roman" w:hAnsi="Times New Roman"/>
          <w:b/>
          <w:i w:val="0"/>
          <w:sz w:val="24"/>
          <w:u w:val="none"/>
        </w:rPr>
        <w:t>4.</w:t>
        <w:tab/>
      </w:r>
      <w:r>
        <w:rPr>
          <w:rFonts w:ascii="Times New Roman" w:hAnsi="Times New Roman"/>
          <w:b/>
          <w:i w:val="0"/>
          <w:sz w:val="24"/>
          <w:u w:val="none"/>
        </w:rPr>
        <w:t xml:space="preserve">Dual-Burden: </w:t>
      </w:r>
      <w:r>
        <w:rPr>
          <w:rFonts w:ascii="Times New Roman" w:hAnsi="Times New Roman"/>
          <w:b w:val="0"/>
          <w:i w:val="0"/>
          <w:sz w:val="24"/>
          <w:u w:val="none"/>
        </w:rPr>
        <w:t>z1 &gt; 0, z2 &gt; 0. Both axes elevated; highest-risk profile.</w:t>
      </w:r>
    </w:p>
    <w:p>
      <w:pPr>
        <w:keepNext/>
        <w:spacing w:before="360" w:after="120" w:line="360" w:lineRule="auto"/>
        <w:jc w:val="left"/>
      </w:pPr>
      <w:r>
        <w:rPr>
          <w:rFonts w:ascii="Times New Roman" w:hAnsi="Times New Roman"/>
          <w:b/>
          <w:i w:val="0"/>
          <w:sz w:val="24"/>
          <w:u w:val="single"/>
        </w:rPr>
        <w:t>3.5   Interpretability via Symbolic Regression</w:t>
      </w:r>
    </w:p>
    <w:p>
      <w:pPr>
        <w:keepNext w:val="0"/>
        <w:spacing w:before="0" w:after="120" w:line="360" w:lineRule="auto"/>
        <w:jc w:val="both"/>
      </w:pPr>
      <w:r>
        <w:rPr>
          <w:rFonts w:ascii="Times New Roman" w:hAnsi="Times New Roman"/>
          <w:b w:val="0"/>
          <w:i w:val="0"/>
          <w:sz w:val="24"/>
          <w:u w:val="none"/>
        </w:rPr>
        <w:t>A primary limitation of deep generative models is opacity: the decoder f_theta(z, u) is a high-dimensional residual network with no human-interpretable closed form. LMSIS applies symbolic regression via PySR to discover closed-form mathematical equations that approximate the decoder mapping from latent coordinates to individual biomarkers.</w:t>
      </w:r>
    </w:p>
    <w:p>
      <w:pPr>
        <w:keepNext w:val="0"/>
        <w:spacing w:before="0" w:after="120" w:line="360" w:lineRule="auto"/>
        <w:jc w:val="both"/>
      </w:pPr>
      <w:r>
        <w:rPr>
          <w:rFonts w:ascii="Times New Roman" w:hAnsi="Times New Roman"/>
          <w:b w:val="0"/>
          <w:i w:val="0"/>
          <w:sz w:val="24"/>
          <w:u w:val="none"/>
        </w:rPr>
        <w:t>Important Note: Symbolic regression is an exploratory interpretability tool, not a mechanistic proof. The extracted equations are hypothesis-generating approximations that may vary across random seeds. They should be treated as candidate biological hypotheses requiring experimental validation, not as established biochemical laws.</w:t>
      </w:r>
    </w:p>
    <w:p>
      <w:pPr>
        <w:keepNext/>
        <w:spacing w:before="240" w:after="80" w:line="240" w:lineRule="auto"/>
        <w:jc w:val="center"/>
      </w:pPr>
      <w:r>
        <w:rPr>
          <w:rFonts w:ascii="Times New Roman" w:hAnsi="Times New Roman"/>
          <w:b/>
          <w:i w:val="0"/>
          <w:sz w:val="20"/>
          <w:u w:val="none"/>
        </w:rPr>
        <w:t>Table 7: Symbolic regression discoveries (hypothesis-grade)</w:t>
      </w:r>
    </w:p>
    <w:tbl>
      <w:tblPr>
        <w:tblStyle w:val="TableGrid"/>
        <w:tblW w:type="auto" w:w="0"/>
        <w:tblLook w:firstColumn="1" w:firstRow="1" w:lastColumn="0" w:lastRow="0" w:noHBand="0" w:noVBand="1" w:val="04A0"/>
      </w:tblPr>
      <w:tblGrid>
        <w:gridCol w:w="1984"/>
        <w:gridCol w:w="1984"/>
        <w:gridCol w:w="1984"/>
        <w:gridCol w:w="1984"/>
      </w:tblGrid>
      <w:tr>
        <w:tc>
          <w:tcPr>
            <w:tcW w:type="dxa" w:w="1984"/>
          </w:tcPr>
          <w:p>
            <w:pPr>
              <w:spacing w:before="40" w:after="40" w:line="240" w:lineRule="auto"/>
              <w:jc w:val="center"/>
            </w:pPr>
            <w:r/>
            <w:r>
              <w:rPr>
                <w:rFonts w:ascii="Times New Roman" w:hAnsi="Times New Roman"/>
                <w:b/>
                <w:i w:val="0"/>
                <w:sz w:val="20"/>
                <w:u w:val="none"/>
              </w:rPr>
              <w:t>Biomarker</w:t>
            </w:r>
          </w:p>
        </w:tc>
        <w:tc>
          <w:tcPr>
            <w:tcW w:type="dxa" w:w="1984"/>
          </w:tcPr>
          <w:p>
            <w:pPr>
              <w:spacing w:before="40" w:after="40" w:line="240" w:lineRule="auto"/>
              <w:jc w:val="center"/>
            </w:pPr>
            <w:r/>
            <w:r>
              <w:rPr>
                <w:rFonts w:ascii="Times New Roman" w:hAnsi="Times New Roman"/>
                <w:b/>
                <w:i w:val="0"/>
                <w:sz w:val="20"/>
                <w:u w:val="none"/>
              </w:rPr>
              <w:t>Discovered Approximation</w:t>
            </w:r>
          </w:p>
        </w:tc>
        <w:tc>
          <w:tcPr>
            <w:tcW w:type="dxa" w:w="1984"/>
          </w:tcPr>
          <w:p>
            <w:pPr>
              <w:spacing w:before="40" w:after="40" w:line="240" w:lineRule="auto"/>
              <w:jc w:val="center"/>
            </w:pPr>
            <w:r/>
            <w:r>
              <w:rPr>
                <w:rFonts w:ascii="Times New Roman" w:hAnsi="Times New Roman"/>
                <w:b/>
                <w:i w:val="0"/>
                <w:sz w:val="20"/>
                <w:u w:val="none"/>
              </w:rPr>
              <w:t>Loss</w:t>
            </w:r>
          </w:p>
        </w:tc>
        <w:tc>
          <w:tcPr>
            <w:tcW w:type="dxa" w:w="1984"/>
          </w:tcPr>
          <w:p>
            <w:pPr>
              <w:spacing w:before="40" w:after="40" w:line="240" w:lineRule="auto"/>
              <w:jc w:val="center"/>
            </w:pPr>
            <w:r/>
            <w:r>
              <w:rPr>
                <w:rFonts w:ascii="Times New Roman" w:hAnsi="Times New Roman"/>
                <w:b/>
                <w:i w:val="0"/>
                <w:sz w:val="20"/>
                <w:u w:val="none"/>
              </w:rPr>
              <w:t>Interpretation</w:t>
            </w:r>
          </w:p>
        </w:tc>
      </w:tr>
      <w:tr>
        <w:tc>
          <w:tcPr>
            <w:tcW w:type="dxa" w:w="1984"/>
          </w:tcPr>
          <w:p>
            <w:pPr>
              <w:spacing w:before="40" w:after="40" w:line="240" w:lineRule="auto"/>
              <w:jc w:val="left"/>
            </w:pPr>
            <w:r/>
            <w:r>
              <w:rPr>
                <w:rFonts w:ascii="Times New Roman" w:hAnsi="Times New Roman"/>
                <w:b w:val="0"/>
                <w:i w:val="0"/>
                <w:sz w:val="20"/>
                <w:u w:val="none"/>
              </w:rPr>
              <w:t>HDL Cholesterol</w:t>
            </w:r>
          </w:p>
        </w:tc>
        <w:tc>
          <w:tcPr>
            <w:tcW w:type="dxa" w:w="1984"/>
          </w:tcPr>
          <w:p>
            <w:pPr>
              <w:spacing w:before="40" w:after="40" w:line="240" w:lineRule="auto"/>
              <w:jc w:val="left"/>
            </w:pPr>
            <w:r/>
            <w:r>
              <w:rPr>
                <w:rFonts w:ascii="Times New Roman" w:hAnsi="Times New Roman"/>
                <w:b w:val="0"/>
                <w:i w:val="0"/>
                <w:sz w:val="20"/>
                <w:u w:val="none"/>
              </w:rPr>
              <w:t>hdl = -17.13(z1 + z2 + |z2|) + 61.04</w:t>
            </w:r>
          </w:p>
        </w:tc>
        <w:tc>
          <w:tcPr>
            <w:tcW w:type="dxa" w:w="1984"/>
          </w:tcPr>
          <w:p>
            <w:pPr>
              <w:spacing w:before="40" w:after="40" w:line="240" w:lineRule="auto"/>
              <w:jc w:val="left"/>
            </w:pPr>
            <w:r/>
            <w:r>
              <w:rPr>
                <w:rFonts w:ascii="Times New Roman" w:hAnsi="Times New Roman"/>
                <w:b w:val="0"/>
                <w:i w:val="0"/>
                <w:sz w:val="20"/>
                <w:u w:val="none"/>
              </w:rPr>
              <w:t>0.721</w:t>
            </w:r>
          </w:p>
        </w:tc>
        <w:tc>
          <w:tcPr>
            <w:tcW w:type="dxa" w:w="1984"/>
          </w:tcPr>
          <w:p>
            <w:pPr>
              <w:spacing w:before="40" w:after="40" w:line="240" w:lineRule="auto"/>
              <w:jc w:val="left"/>
            </w:pPr>
            <w:r/>
            <w:r>
              <w:rPr>
                <w:rFonts w:ascii="Times New Roman" w:hAnsi="Times New Roman"/>
                <w:b w:val="0"/>
                <w:i w:val="0"/>
                <w:sz w:val="20"/>
                <w:u w:val="none"/>
              </w:rPr>
              <w:t>Both axes suppress HDL; steatosis suppression is asymmetric</w:t>
            </w:r>
          </w:p>
        </w:tc>
      </w:tr>
      <w:tr>
        <w:tc>
          <w:tcPr>
            <w:tcW w:type="dxa" w:w="1984"/>
          </w:tcPr>
          <w:p>
            <w:pPr>
              <w:spacing w:before="40" w:after="40" w:line="240" w:lineRule="auto"/>
              <w:jc w:val="left"/>
            </w:pPr>
            <w:r/>
            <w:r>
              <w:rPr>
                <w:rFonts w:ascii="Times New Roman" w:hAnsi="Times New Roman"/>
                <w:b w:val="0"/>
                <w:i w:val="0"/>
                <w:sz w:val="20"/>
                <w:u w:val="none"/>
              </w:rPr>
              <w:t>Atherogenic Index (AIP)</w:t>
            </w:r>
          </w:p>
        </w:tc>
        <w:tc>
          <w:tcPr>
            <w:tcW w:type="dxa" w:w="1984"/>
          </w:tcPr>
          <w:p>
            <w:pPr>
              <w:spacing w:before="40" w:after="40" w:line="240" w:lineRule="auto"/>
              <w:jc w:val="left"/>
            </w:pPr>
            <w:r/>
            <w:r>
              <w:rPr>
                <w:rFonts w:ascii="Times New Roman" w:hAnsi="Times New Roman"/>
                <w:b w:val="0"/>
                <w:i w:val="0"/>
                <w:sz w:val="20"/>
                <w:u w:val="none"/>
              </w:rPr>
              <w:t>aip = |(z1 + z2 + 0.131)(z2 + 0.385)| + z2 + 0.034</w:t>
            </w:r>
          </w:p>
        </w:tc>
        <w:tc>
          <w:tcPr>
            <w:tcW w:type="dxa" w:w="1984"/>
          </w:tcPr>
          <w:p>
            <w:pPr>
              <w:spacing w:before="40" w:after="40" w:line="240" w:lineRule="auto"/>
              <w:jc w:val="left"/>
            </w:pPr>
            <w:r/>
            <w:r>
              <w:rPr>
                <w:rFonts w:ascii="Times New Roman" w:hAnsi="Times New Roman"/>
                <w:b w:val="0"/>
                <w:i w:val="0"/>
                <w:sz w:val="20"/>
                <w:u w:val="none"/>
              </w:rPr>
              <w:t>0.0005</w:t>
            </w:r>
          </w:p>
        </w:tc>
        <w:tc>
          <w:tcPr>
            <w:tcW w:type="dxa" w:w="1984"/>
          </w:tcPr>
          <w:p>
            <w:pPr>
              <w:spacing w:before="40" w:after="40" w:line="240" w:lineRule="auto"/>
              <w:jc w:val="left"/>
            </w:pPr>
            <w:r/>
            <w:r>
              <w:rPr>
                <w:rFonts w:ascii="Times New Roman" w:hAnsi="Times New Roman"/>
                <w:b w:val="0"/>
                <w:i w:val="0"/>
                <w:sz w:val="20"/>
                <w:u w:val="none"/>
              </w:rPr>
              <w:t>Product structure suggests non-linear risk amplification</w:t>
            </w:r>
          </w:p>
        </w:tc>
      </w:tr>
      <w:tr>
        <w:tc>
          <w:tcPr>
            <w:tcW w:type="dxa" w:w="1984"/>
          </w:tcPr>
          <w:p>
            <w:pPr>
              <w:spacing w:before="40" w:after="40" w:line="240" w:lineRule="auto"/>
              <w:jc w:val="left"/>
            </w:pPr>
            <w:r/>
            <w:r>
              <w:rPr>
                <w:rFonts w:ascii="Times New Roman" w:hAnsi="Times New Roman"/>
                <w:b w:val="0"/>
                <w:i w:val="0"/>
                <w:sz w:val="20"/>
                <w:u w:val="none"/>
              </w:rPr>
              <w:t>AST:ALT Ratio</w:t>
            </w:r>
          </w:p>
        </w:tc>
        <w:tc>
          <w:tcPr>
            <w:tcW w:type="dxa" w:w="1984"/>
          </w:tcPr>
          <w:p>
            <w:pPr>
              <w:spacing w:before="40" w:after="40" w:line="240" w:lineRule="auto"/>
              <w:jc w:val="left"/>
            </w:pPr>
            <w:r/>
            <w:r>
              <w:rPr>
                <w:rFonts w:ascii="Times New Roman" w:hAnsi="Times New Roman"/>
                <w:b w:val="0"/>
                <w:i w:val="0"/>
                <w:sz w:val="20"/>
                <w:u w:val="none"/>
              </w:rPr>
              <w:t>ast_alt = 11.49^z2 x (4.64 - |z1 - z2|)</w:t>
            </w:r>
          </w:p>
        </w:tc>
        <w:tc>
          <w:tcPr>
            <w:tcW w:type="dxa" w:w="1984"/>
          </w:tcPr>
          <w:p>
            <w:pPr>
              <w:spacing w:before="40" w:after="40" w:line="240" w:lineRule="auto"/>
              <w:jc w:val="left"/>
            </w:pPr>
            <w:r/>
            <w:r>
              <w:rPr>
                <w:rFonts w:ascii="Times New Roman" w:hAnsi="Times New Roman"/>
                <w:b w:val="0"/>
                <w:i w:val="0"/>
                <w:sz w:val="20"/>
                <w:u w:val="none"/>
              </w:rPr>
              <w:t>0.018</w:t>
            </w:r>
          </w:p>
        </w:tc>
        <w:tc>
          <w:tcPr>
            <w:tcW w:type="dxa" w:w="1984"/>
          </w:tcPr>
          <w:p>
            <w:pPr>
              <w:spacing w:before="40" w:after="40" w:line="240" w:lineRule="auto"/>
              <w:jc w:val="left"/>
            </w:pPr>
            <w:r/>
            <w:r>
              <w:rPr>
                <w:rFonts w:ascii="Times New Roman" w:hAnsi="Times New Roman"/>
                <w:b w:val="0"/>
                <w:i w:val="0"/>
                <w:sz w:val="20"/>
                <w:u w:val="none"/>
              </w:rPr>
              <w:t>Exponential dependence on steatosis axis</w:t>
            </w:r>
          </w:p>
        </w:tc>
      </w:tr>
    </w:tbl>
    <w:p>
      <w:pPr>
        <w:keepNext w:val="0"/>
        <w:spacing w:before="0" w:after="200" w:line="360" w:lineRule="auto"/>
        <w:jc w:val="both"/>
      </w:pPr>
    </w:p>
    <w:p>
      <w:pPr>
        <w:keepNext/>
        <w:spacing w:before="360" w:after="120" w:line="360" w:lineRule="auto"/>
        <w:jc w:val="left"/>
      </w:pPr>
      <w:r>
        <w:rPr>
          <w:rFonts w:ascii="Times New Roman" w:hAnsi="Times New Roman"/>
          <w:b/>
          <w:i w:val="0"/>
          <w:sz w:val="24"/>
          <w:u w:val="single"/>
        </w:rPr>
        <w:t>3.6   Geodesic Path Planning on Learned Manifolds</w:t>
      </w:r>
    </w:p>
    <w:p>
      <w:pPr>
        <w:keepNext w:val="0"/>
        <w:spacing w:before="0" w:after="120" w:line="360" w:lineRule="auto"/>
        <w:jc w:val="both"/>
      </w:pPr>
      <w:r>
        <w:rPr>
          <w:rFonts w:ascii="Times New Roman" w:hAnsi="Times New Roman"/>
          <w:b w:val="0"/>
          <w:i w:val="0"/>
          <w:sz w:val="24"/>
          <w:u w:val="none"/>
        </w:rPr>
        <w:t>LMSIS treats the latent space as a Riemannian manifold. The metric tensor G(z) is induced by the decoder Jacobian:</w:t>
      </w:r>
    </w:p>
    <w:p>
      <w:pPr>
        <w:keepNext w:val="0"/>
        <w:spacing w:before="120" w:after="120" w:line="240" w:lineRule="auto"/>
        <w:jc w:val="center"/>
      </w:pPr>
      <w:r>
        <w:rPr>
          <w:rFonts w:ascii="Times New Roman" w:hAnsi="Times New Roman"/>
          <w:b w:val="0"/>
          <w:i/>
          <w:sz w:val="24"/>
          <w:u w:val="none"/>
        </w:rPr>
        <w:t>G_ij(z) = sum_k  (df_k(z)/dz_i) * (df_k(z)/dz_j)</w:t>
      </w:r>
    </w:p>
    <w:p>
      <w:pPr>
        <w:keepNext w:val="0"/>
        <w:spacing w:before="0" w:after="120" w:line="360" w:lineRule="auto"/>
        <w:jc w:val="both"/>
      </w:pPr>
      <w:r>
        <w:rPr>
          <w:rFonts w:ascii="Times New Roman" w:hAnsi="Times New Roman"/>
          <w:b w:val="0"/>
          <w:i w:val="0"/>
          <w:sz w:val="24"/>
          <w:u w:val="none"/>
        </w:rPr>
        <w:t>The optimal path gamma(t) between a patient baseline z_start and the safe-zone boundary minimises the path energy:</w:t>
      </w:r>
    </w:p>
    <w:p>
      <w:pPr>
        <w:keepNext w:val="0"/>
        <w:spacing w:before="120" w:after="120" w:line="240" w:lineRule="auto"/>
        <w:jc w:val="center"/>
      </w:pPr>
      <w:r>
        <w:rPr>
          <w:rFonts w:ascii="Times New Roman" w:hAnsi="Times New Roman"/>
          <w:b w:val="0"/>
          <w:i/>
          <w:sz w:val="24"/>
          <w:u w:val="none"/>
        </w:rPr>
        <w:t>E(gamma) = integral_0^1  gamma-dot(t)^T * G(gamma(t)) * gamma-dot(t)  dt</w:t>
      </w:r>
    </w:p>
    <w:p>
      <w:pPr>
        <w:keepNext w:val="0"/>
        <w:spacing w:before="0" w:after="120" w:line="360" w:lineRule="auto"/>
        <w:jc w:val="both"/>
      </w:pPr>
      <w:r>
        <w:rPr>
          <w:rFonts w:ascii="Times New Roman" w:hAnsi="Times New Roman"/>
          <w:b w:val="0"/>
          <w:i w:val="0"/>
          <w:sz w:val="24"/>
          <w:u w:val="none"/>
        </w:rPr>
        <w:t>LMSIS solves the corresponding Euler-Lagrange equations numerically using Brent root-finding. The geodesic displacement is projected back to biomarker space via the local PyTorch Autograd Jacobian, yielding patient-specific biomarker adjustment targets. Scope Clarification: The geodesic solver is a computational method for optimal path planning on learned manifolds. It does not constitute validated clinical therapy planning.</w:t>
      </w:r>
    </w:p>
    <w:p>
      <w:pPr>
        <w:keepNext/>
        <w:spacing w:before="360" w:after="120" w:line="360" w:lineRule="auto"/>
        <w:jc w:val="left"/>
      </w:pPr>
      <w:r>
        <w:rPr>
          <w:rFonts w:ascii="Times New Roman" w:hAnsi="Times New Roman"/>
          <w:b/>
          <w:i w:val="0"/>
          <w:sz w:val="24"/>
          <w:u w:val="single"/>
        </w:rPr>
        <w:t>3.7   System Implementation</w:t>
      </w:r>
    </w:p>
    <w:p>
      <w:pPr>
        <w:keepNext/>
        <w:spacing w:before="240" w:after="80" w:line="360" w:lineRule="auto"/>
        <w:jc w:val="left"/>
      </w:pPr>
      <w:r>
        <w:rPr>
          <w:rFonts w:ascii="Times New Roman" w:hAnsi="Times New Roman"/>
          <w:b/>
          <w:i w:val="0"/>
          <w:sz w:val="24"/>
          <w:u w:val="single"/>
        </w:rPr>
        <w:t>3.7.1   Backend Service (FastAPI)</w:t>
      </w:r>
    </w:p>
    <w:p>
      <w:pPr>
        <w:keepNext w:val="0"/>
        <w:spacing w:before="0" w:after="120" w:line="360" w:lineRule="auto"/>
        <w:jc w:val="both"/>
      </w:pPr>
      <w:r>
        <w:rPr>
          <w:rFonts w:ascii="Times New Roman" w:hAnsi="Times New Roman"/>
          <w:b w:val="0"/>
          <w:i w:val="0"/>
          <w:sz w:val="24"/>
          <w:u w:val="none"/>
        </w:rPr>
        <w:t>The backend is built with FastAPI (Python 3.12) and served via Uvicorn. Key endpoints are listed in Table 17.</w:t>
      </w:r>
    </w:p>
    <w:p>
      <w:pPr>
        <w:keepNext/>
        <w:spacing w:before="240" w:after="80" w:line="240" w:lineRule="auto"/>
        <w:jc w:val="center"/>
      </w:pPr>
      <w:r>
        <w:rPr>
          <w:rFonts w:ascii="Times New Roman" w:hAnsi="Times New Roman"/>
          <w:b/>
          <w:i w:val="0"/>
          <w:sz w:val="20"/>
          <w:u w:val="none"/>
        </w:rPr>
        <w:t>Table 17: FastAPI endpoint quick reference</w:t>
      </w:r>
    </w:p>
    <w:tbl>
      <w:tblPr>
        <w:tblStyle w:val="TableGrid"/>
        <w:tblW w:type="auto" w:w="0"/>
        <w:tblLook w:firstColumn="1" w:firstRow="1" w:lastColumn="0" w:lastRow="0" w:noHBand="0" w:noVBand="1" w:val="04A0"/>
      </w:tblPr>
      <w:tblGrid>
        <w:gridCol w:w="1984"/>
        <w:gridCol w:w="1984"/>
        <w:gridCol w:w="1984"/>
        <w:gridCol w:w="1984"/>
      </w:tblGrid>
      <w:tr>
        <w:tc>
          <w:tcPr>
            <w:tcW w:type="dxa" w:w="1984"/>
          </w:tcPr>
          <w:p>
            <w:pPr>
              <w:spacing w:before="40" w:after="40" w:line="240" w:lineRule="auto"/>
              <w:jc w:val="center"/>
            </w:pPr>
            <w:r/>
            <w:r>
              <w:rPr>
                <w:rFonts w:ascii="Times New Roman" w:hAnsi="Times New Roman"/>
                <w:b/>
                <w:i w:val="0"/>
                <w:sz w:val="20"/>
                <w:u w:val="none"/>
              </w:rPr>
              <w:t>Endpoint</w:t>
            </w:r>
          </w:p>
        </w:tc>
        <w:tc>
          <w:tcPr>
            <w:tcW w:type="dxa" w:w="1984"/>
          </w:tcPr>
          <w:p>
            <w:pPr>
              <w:spacing w:before="40" w:after="40" w:line="240" w:lineRule="auto"/>
              <w:jc w:val="center"/>
            </w:pPr>
            <w:r/>
            <w:r>
              <w:rPr>
                <w:rFonts w:ascii="Times New Roman" w:hAnsi="Times New Roman"/>
                <w:b/>
                <w:i w:val="0"/>
                <w:sz w:val="20"/>
                <w:u w:val="none"/>
              </w:rPr>
              <w:t>Method</w:t>
            </w:r>
          </w:p>
        </w:tc>
        <w:tc>
          <w:tcPr>
            <w:tcW w:type="dxa" w:w="1984"/>
          </w:tcPr>
          <w:p>
            <w:pPr>
              <w:spacing w:before="40" w:after="40" w:line="240" w:lineRule="auto"/>
              <w:jc w:val="center"/>
            </w:pPr>
            <w:r/>
            <w:r>
              <w:rPr>
                <w:rFonts w:ascii="Times New Roman" w:hAnsi="Times New Roman"/>
                <w:b/>
                <w:i w:val="0"/>
                <w:sz w:val="20"/>
                <w:u w:val="none"/>
              </w:rPr>
              <w:t>Input</w:t>
            </w:r>
          </w:p>
        </w:tc>
        <w:tc>
          <w:tcPr>
            <w:tcW w:type="dxa" w:w="1984"/>
          </w:tcPr>
          <w:p>
            <w:pPr>
              <w:spacing w:before="40" w:after="40" w:line="240" w:lineRule="auto"/>
              <w:jc w:val="center"/>
            </w:pPr>
            <w:r/>
            <w:r>
              <w:rPr>
                <w:rFonts w:ascii="Times New Roman" w:hAnsi="Times New Roman"/>
                <w:b/>
                <w:i w:val="0"/>
                <w:sz w:val="20"/>
                <w:u w:val="none"/>
              </w:rPr>
              <w:t>Output</w:t>
            </w:r>
          </w:p>
        </w:tc>
      </w:tr>
      <w:tr>
        <w:tc>
          <w:tcPr>
            <w:tcW w:type="dxa" w:w="1984"/>
          </w:tcPr>
          <w:p>
            <w:pPr>
              <w:spacing w:before="40" w:after="40" w:line="240" w:lineRule="auto"/>
              <w:jc w:val="left"/>
            </w:pPr>
            <w:r/>
            <w:r>
              <w:rPr>
                <w:rFonts w:ascii="Times New Roman" w:hAnsi="Times New Roman"/>
                <w:b w:val="0"/>
                <w:i w:val="0"/>
                <w:sz w:val="20"/>
                <w:u w:val="none"/>
              </w:rPr>
              <w:t>/infer</w:t>
            </w:r>
          </w:p>
        </w:tc>
        <w:tc>
          <w:tcPr>
            <w:tcW w:type="dxa" w:w="1984"/>
          </w:tcPr>
          <w:p>
            <w:pPr>
              <w:spacing w:before="40" w:after="40" w:line="240" w:lineRule="auto"/>
              <w:jc w:val="left"/>
            </w:pPr>
            <w:r/>
            <w:r>
              <w:rPr>
                <w:rFonts w:ascii="Times New Roman" w:hAnsi="Times New Roman"/>
                <w:b w:val="0"/>
                <w:i w:val="0"/>
                <w:sz w:val="20"/>
                <w:u w:val="none"/>
              </w:rPr>
              <w:t>POST</w:t>
            </w:r>
          </w:p>
        </w:tc>
        <w:tc>
          <w:tcPr>
            <w:tcW w:type="dxa" w:w="1984"/>
          </w:tcPr>
          <w:p>
            <w:pPr>
              <w:spacing w:before="40" w:after="40" w:line="240" w:lineRule="auto"/>
              <w:jc w:val="left"/>
            </w:pPr>
            <w:r/>
            <w:r>
              <w:rPr>
                <w:rFonts w:ascii="Times New Roman" w:hAnsi="Times New Roman"/>
                <w:b w:val="0"/>
                <w:i w:val="0"/>
                <w:sz w:val="20"/>
                <w:u w:val="none"/>
              </w:rPr>
              <w:t>{biomarkers, demographics}</w:t>
            </w:r>
          </w:p>
        </w:tc>
        <w:tc>
          <w:tcPr>
            <w:tcW w:type="dxa" w:w="1984"/>
          </w:tcPr>
          <w:p>
            <w:pPr>
              <w:spacing w:before="40" w:after="40" w:line="240" w:lineRule="auto"/>
              <w:jc w:val="left"/>
            </w:pPr>
            <w:r/>
            <w:r>
              <w:rPr>
                <w:rFonts w:ascii="Times New Roman" w:hAnsi="Times New Roman"/>
                <w:b w:val="0"/>
                <w:i w:val="0"/>
                <w:sz w:val="20"/>
                <w:u w:val="none"/>
              </w:rPr>
              <w:t>{z1, z2, quadrant_probs, jacobian}</w:t>
            </w:r>
          </w:p>
        </w:tc>
      </w:tr>
      <w:tr>
        <w:tc>
          <w:tcPr>
            <w:tcW w:type="dxa" w:w="1984"/>
          </w:tcPr>
          <w:p>
            <w:pPr>
              <w:spacing w:before="40" w:after="40" w:line="240" w:lineRule="auto"/>
              <w:jc w:val="left"/>
            </w:pPr>
            <w:r/>
            <w:r>
              <w:rPr>
                <w:rFonts w:ascii="Times New Roman" w:hAnsi="Times New Roman"/>
                <w:b w:val="0"/>
                <w:i w:val="0"/>
                <w:sz w:val="20"/>
                <w:u w:val="none"/>
              </w:rPr>
              <w:t>/counterfactual</w:t>
            </w:r>
          </w:p>
        </w:tc>
        <w:tc>
          <w:tcPr>
            <w:tcW w:type="dxa" w:w="1984"/>
          </w:tcPr>
          <w:p>
            <w:pPr>
              <w:spacing w:before="40" w:after="40" w:line="240" w:lineRule="auto"/>
              <w:jc w:val="left"/>
            </w:pPr>
            <w:r/>
            <w:r>
              <w:rPr>
                <w:rFonts w:ascii="Times New Roman" w:hAnsi="Times New Roman"/>
                <w:b w:val="0"/>
                <w:i w:val="0"/>
                <w:sz w:val="20"/>
                <w:u w:val="none"/>
              </w:rPr>
              <w:t>POST</w:t>
            </w:r>
          </w:p>
        </w:tc>
        <w:tc>
          <w:tcPr>
            <w:tcW w:type="dxa" w:w="1984"/>
          </w:tcPr>
          <w:p>
            <w:pPr>
              <w:spacing w:before="40" w:after="40" w:line="240" w:lineRule="auto"/>
              <w:jc w:val="left"/>
            </w:pPr>
            <w:r/>
            <w:r>
              <w:rPr>
                <w:rFonts w:ascii="Times New Roman" w:hAnsi="Times New Roman"/>
                <w:b w:val="0"/>
                <w:i w:val="0"/>
                <w:sz w:val="20"/>
                <w:u w:val="none"/>
              </w:rPr>
              <w:t>{patient_profile, target_zone}</w:t>
            </w:r>
          </w:p>
        </w:tc>
        <w:tc>
          <w:tcPr>
            <w:tcW w:type="dxa" w:w="1984"/>
          </w:tcPr>
          <w:p>
            <w:pPr>
              <w:spacing w:before="40" w:after="40" w:line="240" w:lineRule="auto"/>
              <w:jc w:val="left"/>
            </w:pPr>
            <w:r/>
            <w:r>
              <w:rPr>
                <w:rFonts w:ascii="Times New Roman" w:hAnsi="Times New Roman"/>
                <w:b w:val="0"/>
                <w:i w:val="0"/>
                <w:sz w:val="20"/>
                <w:u w:val="none"/>
              </w:rPr>
              <w:t>{geodesic_path, biomarker_targets}</w:t>
            </w:r>
          </w:p>
        </w:tc>
      </w:tr>
      <w:tr>
        <w:tc>
          <w:tcPr>
            <w:tcW w:type="dxa" w:w="1984"/>
          </w:tcPr>
          <w:p>
            <w:pPr>
              <w:spacing w:before="40" w:after="40" w:line="240" w:lineRule="auto"/>
              <w:jc w:val="left"/>
            </w:pPr>
            <w:r/>
            <w:r>
              <w:rPr>
                <w:rFonts w:ascii="Times New Roman" w:hAnsi="Times New Roman"/>
                <w:b w:val="0"/>
                <w:i w:val="0"/>
                <w:sz w:val="20"/>
                <w:u w:val="none"/>
              </w:rPr>
              <w:t>/compare</w:t>
            </w:r>
          </w:p>
        </w:tc>
        <w:tc>
          <w:tcPr>
            <w:tcW w:type="dxa" w:w="1984"/>
          </w:tcPr>
          <w:p>
            <w:pPr>
              <w:spacing w:before="40" w:after="40" w:line="240" w:lineRule="auto"/>
              <w:jc w:val="left"/>
            </w:pPr>
            <w:r/>
            <w:r>
              <w:rPr>
                <w:rFonts w:ascii="Times New Roman" w:hAnsi="Times New Roman"/>
                <w:b w:val="0"/>
                <w:i w:val="0"/>
                <w:sz w:val="20"/>
                <w:u w:val="none"/>
              </w:rPr>
              <w:t>POST</w:t>
            </w:r>
          </w:p>
        </w:tc>
        <w:tc>
          <w:tcPr>
            <w:tcW w:type="dxa" w:w="1984"/>
          </w:tcPr>
          <w:p>
            <w:pPr>
              <w:spacing w:before="40" w:after="40" w:line="240" w:lineRule="auto"/>
              <w:jc w:val="left"/>
            </w:pPr>
            <w:r/>
            <w:r>
              <w:rPr>
                <w:rFonts w:ascii="Times New Roman" w:hAnsi="Times New Roman"/>
                <w:b w:val="0"/>
                <w:i w:val="0"/>
                <w:sz w:val="20"/>
                <w:u w:val="none"/>
              </w:rPr>
              <w:t>{patient_a, patient_b}</w:t>
            </w:r>
          </w:p>
        </w:tc>
        <w:tc>
          <w:tcPr>
            <w:tcW w:type="dxa" w:w="1984"/>
          </w:tcPr>
          <w:p>
            <w:pPr>
              <w:spacing w:before="40" w:after="40" w:line="240" w:lineRule="auto"/>
              <w:jc w:val="left"/>
            </w:pPr>
            <w:r/>
            <w:r>
              <w:rPr>
                <w:rFonts w:ascii="Times New Roman" w:hAnsi="Times New Roman"/>
                <w:b w:val="0"/>
                <w:i w:val="0"/>
                <w:sz w:val="20"/>
                <w:u w:val="none"/>
              </w:rPr>
              <w:t>{euclidean_dist, riemannian_dist}</w:t>
            </w:r>
          </w:p>
        </w:tc>
      </w:tr>
      <w:tr>
        <w:tc>
          <w:tcPr>
            <w:tcW w:type="dxa" w:w="1984"/>
          </w:tcPr>
          <w:p>
            <w:pPr>
              <w:spacing w:before="40" w:after="40" w:line="240" w:lineRule="auto"/>
              <w:jc w:val="left"/>
            </w:pPr>
            <w:r/>
            <w:r>
              <w:rPr>
                <w:rFonts w:ascii="Times New Roman" w:hAnsi="Times New Roman"/>
                <w:b w:val="0"/>
                <w:i w:val="0"/>
                <w:sz w:val="20"/>
                <w:u w:val="none"/>
              </w:rPr>
              <w:t>/export_pdf</w:t>
            </w:r>
          </w:p>
        </w:tc>
        <w:tc>
          <w:tcPr>
            <w:tcW w:type="dxa" w:w="1984"/>
          </w:tcPr>
          <w:p>
            <w:pPr>
              <w:spacing w:before="40" w:after="40" w:line="240" w:lineRule="auto"/>
              <w:jc w:val="left"/>
            </w:pPr>
            <w:r/>
            <w:r>
              <w:rPr>
                <w:rFonts w:ascii="Times New Roman" w:hAnsi="Times New Roman"/>
                <w:b w:val="0"/>
                <w:i w:val="0"/>
                <w:sz w:val="20"/>
                <w:u w:val="none"/>
              </w:rPr>
              <w:t>POST</w:t>
            </w:r>
          </w:p>
        </w:tc>
        <w:tc>
          <w:tcPr>
            <w:tcW w:type="dxa" w:w="1984"/>
          </w:tcPr>
          <w:p>
            <w:pPr>
              <w:spacing w:before="40" w:after="40" w:line="240" w:lineRule="auto"/>
              <w:jc w:val="left"/>
            </w:pPr>
            <w:r/>
            <w:r>
              <w:rPr>
                <w:rFonts w:ascii="Times New Roman" w:hAnsi="Times New Roman"/>
                <w:b w:val="0"/>
                <w:i w:val="0"/>
                <w:sz w:val="20"/>
                <w:u w:val="none"/>
              </w:rPr>
              <w:t>{patient_profile}</w:t>
            </w:r>
          </w:p>
        </w:tc>
        <w:tc>
          <w:tcPr>
            <w:tcW w:type="dxa" w:w="1984"/>
          </w:tcPr>
          <w:p>
            <w:pPr>
              <w:spacing w:before="40" w:after="40" w:line="240" w:lineRule="auto"/>
              <w:jc w:val="left"/>
            </w:pPr>
            <w:r/>
            <w:r>
              <w:rPr>
                <w:rFonts w:ascii="Times New Roman" w:hAnsi="Times New Roman"/>
                <w:b w:val="0"/>
                <w:i w:val="0"/>
                <w:sz w:val="20"/>
                <w:u w:val="none"/>
              </w:rPr>
              <w:t>PDF report file</w:t>
            </w:r>
          </w:p>
        </w:tc>
      </w:tr>
    </w:tbl>
    <w:p>
      <w:pPr>
        <w:keepNext w:val="0"/>
        <w:spacing w:before="0" w:after="200" w:line="360" w:lineRule="auto"/>
        <w:jc w:val="both"/>
      </w:pPr>
    </w:p>
    <w:p>
      <w:pPr>
        <w:keepNext/>
        <w:spacing w:before="240" w:after="80" w:line="360" w:lineRule="auto"/>
        <w:jc w:val="left"/>
      </w:pPr>
      <w:r>
        <w:rPr>
          <w:rFonts w:ascii="Times New Roman" w:hAnsi="Times New Roman"/>
          <w:b/>
          <w:i w:val="0"/>
          <w:sz w:val="24"/>
          <w:u w:val="single"/>
        </w:rPr>
        <w:t>3.7.2   Frontend Dashboard (React)</w:t>
      </w:r>
    </w:p>
    <w:p>
      <w:pPr>
        <w:keepNext w:val="0"/>
        <w:spacing w:before="0" w:after="120" w:line="360" w:lineRule="auto"/>
        <w:jc w:val="both"/>
      </w:pPr>
      <w:r>
        <w:rPr>
          <w:rFonts w:ascii="Times New Roman" w:hAnsi="Times New Roman"/>
          <w:b w:val="0"/>
          <w:i w:val="0"/>
          <w:sz w:val="24"/>
          <w:u w:val="none"/>
        </w:rPr>
        <w:t>The clinician-facing interface is implemented as a React 19 single-page application built with Vite, styled with Tailwind CSS, and animated with Framer Motion. The primary visualisation uses D3.js to render:</w:t>
      </w:r>
    </w:p>
    <w:p>
      <w:pPr>
        <w:keepNext w:val="0"/>
        <w:spacing w:before="0" w:after="60" w:line="360" w:lineRule="auto"/>
        <w:ind w:left="567" w:hanging="283"/>
        <w:jc w:val="both"/>
      </w:pPr>
      <w:r>
        <w:rPr>
          <w:rFonts w:ascii="Times New Roman" w:hAnsi="Times New Roman"/>
          <w:b w:val="0"/>
          <w:i w:val="0"/>
          <w:sz w:val="24"/>
          <w:u w:val="none"/>
        </w:rPr>
        <w:t xml:space="preserve">•  </w:t>
      </w:r>
      <w:r>
        <w:rPr>
          <w:rFonts w:ascii="Times New Roman" w:hAnsi="Times New Roman"/>
          <w:b w:val="0"/>
          <w:i w:val="0"/>
          <w:sz w:val="24"/>
          <w:u w:val="none"/>
        </w:rPr>
        <w:t>The patient's 2D latent position with conformal prediction ellipse.</w:t>
      </w:r>
    </w:p>
    <w:p>
      <w:pPr>
        <w:keepNext w:val="0"/>
        <w:spacing w:before="0" w:after="60" w:line="360" w:lineRule="auto"/>
        <w:ind w:left="567" w:hanging="283"/>
        <w:jc w:val="both"/>
      </w:pPr>
      <w:r>
        <w:rPr>
          <w:rFonts w:ascii="Times New Roman" w:hAnsi="Times New Roman"/>
          <w:b w:val="0"/>
          <w:i w:val="0"/>
          <w:sz w:val="24"/>
          <w:u w:val="none"/>
        </w:rPr>
        <w:t xml:space="preserve">•  </w:t>
      </w:r>
      <w:r>
        <w:rPr>
          <w:rFonts w:ascii="Times New Roman" w:hAnsi="Times New Roman"/>
          <w:b w:val="0"/>
          <w:i w:val="0"/>
          <w:sz w:val="24"/>
          <w:u w:val="none"/>
        </w:rPr>
        <w:t>Mondrian quadrant boundaries with phenotypic labels.</w:t>
      </w:r>
    </w:p>
    <w:p>
      <w:pPr>
        <w:keepNext w:val="0"/>
        <w:spacing w:before="0" w:after="60" w:line="360" w:lineRule="auto"/>
        <w:ind w:left="567" w:hanging="283"/>
        <w:jc w:val="both"/>
      </w:pPr>
      <w:r>
        <w:rPr>
          <w:rFonts w:ascii="Times New Roman" w:hAnsi="Times New Roman"/>
          <w:b w:val="0"/>
          <w:i w:val="0"/>
          <w:sz w:val="24"/>
          <w:u w:val="none"/>
        </w:rPr>
        <w:t xml:space="preserve">•  </w:t>
      </w:r>
      <w:r>
        <w:rPr>
          <w:rFonts w:ascii="Times New Roman" w:hAnsi="Times New Roman"/>
          <w:b w:val="0"/>
          <w:i w:val="0"/>
          <w:sz w:val="24"/>
          <w:u w:val="none"/>
        </w:rPr>
        <w:t>The resolved geodesic path to the nearest safe-zone boundary.</w:t>
      </w:r>
    </w:p>
    <w:p>
      <w:pPr>
        <w:keepNext w:val="0"/>
        <w:spacing w:before="0" w:after="60" w:line="360" w:lineRule="auto"/>
        <w:ind w:left="567" w:hanging="283"/>
        <w:jc w:val="both"/>
      </w:pPr>
      <w:r>
        <w:rPr>
          <w:rFonts w:ascii="Times New Roman" w:hAnsi="Times New Roman"/>
          <w:b w:val="0"/>
          <w:i w:val="0"/>
          <w:sz w:val="24"/>
          <w:u w:val="none"/>
        </w:rPr>
        <w:t xml:space="preserve">•  </w:t>
      </w:r>
      <w:r>
        <w:rPr>
          <w:rFonts w:ascii="Times New Roman" w:hAnsi="Times New Roman"/>
          <w:b w:val="0"/>
          <w:i w:val="0"/>
          <w:sz w:val="24"/>
          <w:u w:val="none"/>
        </w:rPr>
        <w:t>Local Jacobian sensitivity bars showing which biomarkers most efficiently move the patient toward the healthy region.</w:t>
      </w:r>
    </w:p>
    <w:p>
      <w:pPr>
        <w:keepNext/>
        <w:spacing w:before="240" w:after="80" w:line="360" w:lineRule="auto"/>
        <w:jc w:val="left"/>
      </w:pPr>
      <w:r>
        <w:rPr>
          <w:rFonts w:ascii="Times New Roman" w:hAnsi="Times New Roman"/>
          <w:b/>
          <w:i w:val="0"/>
          <w:sz w:val="24"/>
          <w:u w:val="single"/>
        </w:rPr>
        <w:t>3.7.3   Integration Testing</w:t>
      </w:r>
    </w:p>
    <w:p>
      <w:pPr>
        <w:keepNext w:val="0"/>
        <w:spacing w:before="0" w:after="120" w:line="360" w:lineRule="auto"/>
        <w:jc w:val="both"/>
      </w:pPr>
      <w:r>
        <w:rPr>
          <w:rFonts w:ascii="Times New Roman" w:hAnsi="Times New Roman"/>
          <w:b w:val="0"/>
          <w:i w:val="0"/>
          <w:sz w:val="24"/>
          <w:u w:val="none"/>
        </w:rPr>
        <w:t>A comprehensive pytest suite (15 tests) validates:</w:t>
      </w:r>
    </w:p>
    <w:p>
      <w:pPr>
        <w:keepNext w:val="0"/>
        <w:spacing w:before="0" w:after="80" w:line="360" w:lineRule="auto"/>
        <w:ind w:left="850" w:hanging="850"/>
        <w:jc w:val="both"/>
      </w:pPr>
      <w:r>
        <w:rPr>
          <w:rFonts w:ascii="Times New Roman" w:hAnsi="Times New Roman"/>
          <w:b/>
          <w:i w:val="0"/>
          <w:sz w:val="24"/>
          <w:u w:val="none"/>
        </w:rPr>
        <w:t>1.</w:t>
        <w:tab/>
      </w:r>
      <w:r>
        <w:rPr>
          <w:rFonts w:ascii="Times New Roman" w:hAnsi="Times New Roman"/>
          <w:b w:val="0"/>
          <w:i w:val="0"/>
          <w:sz w:val="24"/>
          <w:u w:val="none"/>
        </w:rPr>
        <w:t>Monotone anchor positivity constraints hold throughout the forward pass.</w:t>
      </w:r>
    </w:p>
    <w:p>
      <w:pPr>
        <w:keepNext w:val="0"/>
        <w:spacing w:before="0" w:after="80" w:line="360" w:lineRule="auto"/>
        <w:ind w:left="850" w:hanging="850"/>
        <w:jc w:val="both"/>
      </w:pPr>
      <w:r>
        <w:rPr>
          <w:rFonts w:ascii="Times New Roman" w:hAnsi="Times New Roman"/>
          <w:b/>
          <w:i w:val="0"/>
          <w:sz w:val="24"/>
          <w:u w:val="none"/>
        </w:rPr>
        <w:t>2.</w:t>
        <w:tab/>
      </w:r>
      <w:r>
        <w:rPr>
          <w:rFonts w:ascii="Times New Roman" w:hAnsi="Times New Roman"/>
          <w:b w:val="0"/>
          <w:i w:val="0"/>
          <w:sz w:val="24"/>
          <w:u w:val="none"/>
        </w:rPr>
        <w:t>Frobenius covariance penalty converges to a bounded value.</w:t>
      </w:r>
    </w:p>
    <w:p>
      <w:pPr>
        <w:keepNext w:val="0"/>
        <w:spacing w:before="0" w:after="80" w:line="360" w:lineRule="auto"/>
        <w:ind w:left="850" w:hanging="850"/>
        <w:jc w:val="both"/>
      </w:pPr>
      <w:r>
        <w:rPr>
          <w:rFonts w:ascii="Times New Roman" w:hAnsi="Times New Roman"/>
          <w:b/>
          <w:i w:val="0"/>
          <w:sz w:val="24"/>
          <w:u w:val="none"/>
        </w:rPr>
        <w:t>3.</w:t>
        <w:tab/>
      </w:r>
      <w:r>
        <w:rPr>
          <w:rFonts w:ascii="Times New Roman" w:hAnsi="Times New Roman"/>
          <w:b w:val="0"/>
          <w:i w:val="0"/>
          <w:sz w:val="24"/>
          <w:u w:val="none"/>
        </w:rPr>
        <w:t>Mondrian calibration thresholds achieve &gt;=90% per-quadrant coverage.</w:t>
      </w:r>
    </w:p>
    <w:p>
      <w:pPr>
        <w:keepNext w:val="0"/>
        <w:spacing w:before="0" w:after="80" w:line="360" w:lineRule="auto"/>
        <w:ind w:left="850" w:hanging="850"/>
        <w:jc w:val="both"/>
      </w:pPr>
      <w:r>
        <w:rPr>
          <w:rFonts w:ascii="Times New Roman" w:hAnsi="Times New Roman"/>
          <w:b/>
          <w:i w:val="0"/>
          <w:sz w:val="24"/>
          <w:u w:val="none"/>
        </w:rPr>
        <w:t>4.</w:t>
        <w:tab/>
      </w:r>
      <w:r>
        <w:rPr>
          <w:rFonts w:ascii="Times New Roman" w:hAnsi="Times New Roman"/>
          <w:b w:val="0"/>
          <w:i w:val="0"/>
          <w:sz w:val="24"/>
          <w:u w:val="none"/>
        </w:rPr>
        <w:t>Geodesic solver returns physiologically bounded intervention deltas (no biomarker adjustments exceeding 5 standard deviations from population mean).</w:t>
      </w:r>
    </w:p>
    <w:p>
      <w:pPr>
        <w:keepNext w:val="0"/>
        <w:spacing w:before="0" w:after="80" w:line="360" w:lineRule="auto"/>
        <w:ind w:left="850" w:hanging="850"/>
        <w:jc w:val="both"/>
      </w:pPr>
      <w:r>
        <w:rPr>
          <w:rFonts w:ascii="Times New Roman" w:hAnsi="Times New Roman"/>
          <w:b/>
          <w:i w:val="0"/>
          <w:sz w:val="24"/>
          <w:u w:val="none"/>
        </w:rPr>
        <w:t>5.</w:t>
        <w:tab/>
      </w:r>
      <w:r>
        <w:rPr>
          <w:rFonts w:ascii="Times New Roman" w:hAnsi="Times New Roman"/>
          <w:b w:val="0"/>
          <w:i w:val="0"/>
          <w:sz w:val="24"/>
          <w:u w:val="none"/>
        </w:rPr>
        <w:t>API endpoint contracts and schema validation.</w:t>
      </w:r>
    </w:p>
    <w:p>
      <w:pPr>
        <w:keepNext/>
        <w:spacing w:before="360" w:after="120" w:line="360" w:lineRule="auto"/>
        <w:jc w:val="left"/>
      </w:pPr>
      <w:r>
        <w:rPr>
          <w:rFonts w:ascii="Times New Roman" w:hAnsi="Times New Roman"/>
          <w:b/>
          <w:i w:val="0"/>
          <w:sz w:val="24"/>
          <w:u w:val="single"/>
        </w:rPr>
        <w:t>3.8   Training Hyperparameters and Computational Cost</w:t>
      </w:r>
    </w:p>
    <w:p>
      <w:pPr>
        <w:keepNext/>
        <w:spacing w:before="240" w:after="80" w:line="240" w:lineRule="auto"/>
        <w:jc w:val="center"/>
      </w:pPr>
      <w:r>
        <w:rPr>
          <w:rFonts w:ascii="Times New Roman" w:hAnsi="Times New Roman"/>
          <w:b/>
          <w:i w:val="0"/>
          <w:sz w:val="20"/>
          <w:u w:val="none"/>
        </w:rPr>
        <w:t>Table 10: Computational cost metrics</w:t>
      </w:r>
    </w:p>
    <w:tbl>
      <w:tblPr>
        <w:tblStyle w:val="TableGrid"/>
        <w:tblW w:type="auto" w:w="0"/>
        <w:tblLook w:firstColumn="1" w:firstRow="1" w:lastColumn="0" w:lastRow="0" w:noHBand="0" w:noVBand="1" w:val="04A0"/>
      </w:tblPr>
      <w:tblGrid>
        <w:gridCol w:w="3968"/>
        <w:gridCol w:w="3968"/>
      </w:tblGrid>
      <w:tr>
        <w:tc>
          <w:tcPr>
            <w:tcW w:type="dxa" w:w="3968"/>
          </w:tcPr>
          <w:p>
            <w:pPr>
              <w:spacing w:before="40" w:after="40" w:line="240" w:lineRule="auto"/>
              <w:jc w:val="center"/>
            </w:pPr>
            <w:r/>
            <w:r>
              <w:rPr>
                <w:rFonts w:ascii="Times New Roman" w:hAnsi="Times New Roman"/>
                <w:b/>
                <w:i w:val="0"/>
                <w:sz w:val="20"/>
                <w:u w:val="none"/>
              </w:rPr>
              <w:t>Metric</w:t>
            </w:r>
          </w:p>
        </w:tc>
        <w:tc>
          <w:tcPr>
            <w:tcW w:type="dxa" w:w="3968"/>
          </w:tcPr>
          <w:p>
            <w:pPr>
              <w:spacing w:before="40" w:after="40" w:line="240" w:lineRule="auto"/>
              <w:jc w:val="center"/>
            </w:pPr>
            <w:r/>
            <w:r>
              <w:rPr>
                <w:rFonts w:ascii="Times New Roman" w:hAnsi="Times New Roman"/>
                <w:b/>
                <w:i w:val="0"/>
                <w:sz w:val="20"/>
                <w:u w:val="none"/>
              </w:rPr>
              <w:t>Value</w:t>
            </w:r>
          </w:p>
        </w:tc>
      </w:tr>
      <w:tr>
        <w:tc>
          <w:tcPr>
            <w:tcW w:type="dxa" w:w="3968"/>
          </w:tcPr>
          <w:p>
            <w:pPr>
              <w:spacing w:before="40" w:after="40" w:line="240" w:lineRule="auto"/>
              <w:jc w:val="left"/>
            </w:pPr>
            <w:r/>
            <w:r>
              <w:rPr>
                <w:rFonts w:ascii="Times New Roman" w:hAnsi="Times New Roman"/>
                <w:b w:val="0"/>
                <w:i w:val="0"/>
                <w:sz w:val="20"/>
                <w:u w:val="none"/>
              </w:rPr>
              <w:t>Optimizer</w:t>
            </w:r>
          </w:p>
        </w:tc>
        <w:tc>
          <w:tcPr>
            <w:tcW w:type="dxa" w:w="3968"/>
          </w:tcPr>
          <w:p>
            <w:pPr>
              <w:spacing w:before="40" w:after="40" w:line="240" w:lineRule="auto"/>
              <w:jc w:val="left"/>
            </w:pPr>
            <w:r/>
            <w:r>
              <w:rPr>
                <w:rFonts w:ascii="Times New Roman" w:hAnsi="Times New Roman"/>
                <w:b w:val="0"/>
                <w:i w:val="0"/>
                <w:sz w:val="20"/>
                <w:u w:val="none"/>
              </w:rPr>
              <w:t>Adam (lr = 1e-3, beta1 = 0.9, beta2 = 0.999)</w:t>
            </w:r>
          </w:p>
        </w:tc>
      </w:tr>
      <w:tr>
        <w:tc>
          <w:tcPr>
            <w:tcW w:type="dxa" w:w="3968"/>
          </w:tcPr>
          <w:p>
            <w:pPr>
              <w:spacing w:before="40" w:after="40" w:line="240" w:lineRule="auto"/>
              <w:jc w:val="left"/>
            </w:pPr>
            <w:r/>
            <w:r>
              <w:rPr>
                <w:rFonts w:ascii="Times New Roman" w:hAnsi="Times New Roman"/>
                <w:b w:val="0"/>
                <w:i w:val="0"/>
                <w:sz w:val="20"/>
                <w:u w:val="none"/>
              </w:rPr>
              <w:t>Batch Size</w:t>
            </w:r>
          </w:p>
        </w:tc>
        <w:tc>
          <w:tcPr>
            <w:tcW w:type="dxa" w:w="3968"/>
          </w:tcPr>
          <w:p>
            <w:pPr>
              <w:spacing w:before="40" w:after="40" w:line="240" w:lineRule="auto"/>
              <w:jc w:val="left"/>
            </w:pPr>
            <w:r/>
            <w:r>
              <w:rPr>
                <w:rFonts w:ascii="Times New Roman" w:hAnsi="Times New Roman"/>
                <w:b w:val="0"/>
                <w:i w:val="0"/>
                <w:sz w:val="20"/>
                <w:u w:val="none"/>
              </w:rPr>
              <w:t>64</w:t>
            </w:r>
          </w:p>
        </w:tc>
      </w:tr>
      <w:tr>
        <w:tc>
          <w:tcPr>
            <w:tcW w:type="dxa" w:w="3968"/>
          </w:tcPr>
          <w:p>
            <w:pPr>
              <w:spacing w:before="40" w:after="40" w:line="240" w:lineRule="auto"/>
              <w:jc w:val="left"/>
            </w:pPr>
            <w:r/>
            <w:r>
              <w:rPr>
                <w:rFonts w:ascii="Times New Roman" w:hAnsi="Times New Roman"/>
                <w:b w:val="0"/>
                <w:i w:val="0"/>
                <w:sz w:val="20"/>
                <w:u w:val="none"/>
              </w:rPr>
              <w:t>Epochs</w:t>
            </w:r>
          </w:p>
        </w:tc>
        <w:tc>
          <w:tcPr>
            <w:tcW w:type="dxa" w:w="3968"/>
          </w:tcPr>
          <w:p>
            <w:pPr>
              <w:spacing w:before="40" w:after="40" w:line="240" w:lineRule="auto"/>
              <w:jc w:val="left"/>
            </w:pPr>
            <w:r/>
            <w:r>
              <w:rPr>
                <w:rFonts w:ascii="Times New Roman" w:hAnsi="Times New Roman"/>
                <w:b w:val="0"/>
                <w:i w:val="0"/>
                <w:sz w:val="20"/>
                <w:u w:val="none"/>
              </w:rPr>
              <w:t>150 (early stopping triggered at Epoch ~70-80)</w:t>
            </w:r>
          </w:p>
        </w:tc>
      </w:tr>
      <w:tr>
        <w:tc>
          <w:tcPr>
            <w:tcW w:type="dxa" w:w="3968"/>
          </w:tcPr>
          <w:p>
            <w:pPr>
              <w:spacing w:before="40" w:after="40" w:line="240" w:lineRule="auto"/>
              <w:jc w:val="left"/>
            </w:pPr>
            <w:r/>
            <w:r>
              <w:rPr>
                <w:rFonts w:ascii="Times New Roman" w:hAnsi="Times New Roman"/>
                <w:b w:val="0"/>
                <w:i w:val="0"/>
                <w:sz w:val="20"/>
                <w:u w:val="none"/>
              </w:rPr>
              <w:t>Loss Weights</w:t>
            </w:r>
          </w:p>
        </w:tc>
        <w:tc>
          <w:tcPr>
            <w:tcW w:type="dxa" w:w="3968"/>
          </w:tcPr>
          <w:p>
            <w:pPr>
              <w:spacing w:before="40" w:after="40" w:line="240" w:lineRule="auto"/>
              <w:jc w:val="left"/>
            </w:pPr>
            <w:r/>
            <w:r>
              <w:rPr>
                <w:rFonts w:ascii="Times New Roman" w:hAnsi="Times New Roman"/>
                <w:b w:val="0"/>
                <w:i w:val="0"/>
                <w:sz w:val="20"/>
                <w:u w:val="none"/>
              </w:rPr>
              <w:t>lambda1 = 10.0, lambda2 = 5.0, lambda3 = 0.1</w:t>
            </w:r>
          </w:p>
        </w:tc>
      </w:tr>
      <w:tr>
        <w:tc>
          <w:tcPr>
            <w:tcW w:type="dxa" w:w="3968"/>
          </w:tcPr>
          <w:p>
            <w:pPr>
              <w:spacing w:before="40" w:after="40" w:line="240" w:lineRule="auto"/>
              <w:jc w:val="left"/>
            </w:pPr>
            <w:r/>
            <w:r>
              <w:rPr>
                <w:rFonts w:ascii="Times New Roman" w:hAnsi="Times New Roman"/>
                <w:b w:val="0"/>
                <w:i w:val="0"/>
                <w:sz w:val="20"/>
                <w:u w:val="none"/>
              </w:rPr>
              <w:t>Latent Dimension</w:t>
            </w:r>
          </w:p>
        </w:tc>
        <w:tc>
          <w:tcPr>
            <w:tcW w:type="dxa" w:w="3968"/>
          </w:tcPr>
          <w:p>
            <w:pPr>
              <w:spacing w:before="40" w:after="40" w:line="240" w:lineRule="auto"/>
              <w:jc w:val="left"/>
            </w:pPr>
            <w:r/>
            <w:r>
              <w:rPr>
                <w:rFonts w:ascii="Times New Roman" w:hAnsi="Times New Roman"/>
                <w:b w:val="0"/>
                <w:i w:val="0"/>
                <w:sz w:val="20"/>
                <w:u w:val="none"/>
              </w:rPr>
              <w:t>2 (fixed)</w:t>
            </w:r>
          </w:p>
        </w:tc>
      </w:tr>
      <w:tr>
        <w:tc>
          <w:tcPr>
            <w:tcW w:type="dxa" w:w="3968"/>
          </w:tcPr>
          <w:p>
            <w:pPr>
              <w:spacing w:before="40" w:after="40" w:line="240" w:lineRule="auto"/>
              <w:jc w:val="left"/>
            </w:pPr>
            <w:r/>
            <w:r>
              <w:rPr>
                <w:rFonts w:ascii="Times New Roman" w:hAnsi="Times New Roman"/>
                <w:b w:val="0"/>
                <w:i w:val="0"/>
                <w:sz w:val="20"/>
                <w:u w:val="none"/>
              </w:rPr>
              <w:t>Hidden Layers</w:t>
            </w:r>
          </w:p>
        </w:tc>
        <w:tc>
          <w:tcPr>
            <w:tcW w:type="dxa" w:w="3968"/>
          </w:tcPr>
          <w:p>
            <w:pPr>
              <w:spacing w:before="40" w:after="40" w:line="240" w:lineRule="auto"/>
              <w:jc w:val="left"/>
            </w:pPr>
            <w:r/>
            <w:r>
              <w:rPr>
                <w:rFonts w:ascii="Times New Roman" w:hAnsi="Times New Roman"/>
                <w:b w:val="0"/>
                <w:i w:val="0"/>
                <w:sz w:val="20"/>
                <w:u w:val="none"/>
              </w:rPr>
              <w:t>[128, 64, 32] for all MLP components</w:t>
            </w:r>
          </w:p>
        </w:tc>
      </w:tr>
      <w:tr>
        <w:tc>
          <w:tcPr>
            <w:tcW w:type="dxa" w:w="3968"/>
          </w:tcPr>
          <w:p>
            <w:pPr>
              <w:spacing w:before="40" w:after="40" w:line="240" w:lineRule="auto"/>
              <w:jc w:val="left"/>
            </w:pPr>
            <w:r/>
            <w:r>
              <w:rPr>
                <w:rFonts w:ascii="Times New Roman" w:hAnsi="Times New Roman"/>
                <w:b w:val="0"/>
                <w:i w:val="0"/>
                <w:sz w:val="20"/>
                <w:u w:val="none"/>
              </w:rPr>
              <w:t>Parameter Count</w:t>
            </w:r>
          </w:p>
        </w:tc>
        <w:tc>
          <w:tcPr>
            <w:tcW w:type="dxa" w:w="3968"/>
          </w:tcPr>
          <w:p>
            <w:pPr>
              <w:spacing w:before="40" w:after="40" w:line="240" w:lineRule="auto"/>
              <w:jc w:val="left"/>
            </w:pPr>
            <w:r/>
            <w:r>
              <w:rPr>
                <w:rFonts w:ascii="Times New Roman" w:hAnsi="Times New Roman"/>
                <w:b w:val="0"/>
                <w:i w:val="0"/>
                <w:sz w:val="20"/>
                <w:u w:val="none"/>
              </w:rPr>
              <w:t>14,842 parameters</w:t>
            </w:r>
          </w:p>
        </w:tc>
      </w:tr>
      <w:tr>
        <w:tc>
          <w:tcPr>
            <w:tcW w:type="dxa" w:w="3968"/>
          </w:tcPr>
          <w:p>
            <w:pPr>
              <w:spacing w:before="40" w:after="40" w:line="240" w:lineRule="auto"/>
              <w:jc w:val="left"/>
            </w:pPr>
            <w:r/>
            <w:r>
              <w:rPr>
                <w:rFonts w:ascii="Times New Roman" w:hAnsi="Times New Roman"/>
                <w:b w:val="0"/>
                <w:i w:val="0"/>
                <w:sz w:val="20"/>
                <w:u w:val="none"/>
              </w:rPr>
              <w:t>Training Time</w:t>
            </w:r>
          </w:p>
        </w:tc>
        <w:tc>
          <w:tcPr>
            <w:tcW w:type="dxa" w:w="3968"/>
          </w:tcPr>
          <w:p>
            <w:pPr>
              <w:spacing w:before="40" w:after="40" w:line="240" w:lineRule="auto"/>
              <w:jc w:val="left"/>
            </w:pPr>
            <w:r/>
            <w:r>
              <w:rPr>
                <w:rFonts w:ascii="Times New Roman" w:hAnsi="Times New Roman"/>
                <w:b w:val="0"/>
                <w:i w:val="0"/>
                <w:sz w:val="20"/>
                <w:u w:val="none"/>
              </w:rPr>
              <w:t>2.4 minutes</w:t>
            </w:r>
          </w:p>
        </w:tc>
      </w:tr>
      <w:tr>
        <w:tc>
          <w:tcPr>
            <w:tcW w:type="dxa" w:w="3968"/>
          </w:tcPr>
          <w:p>
            <w:pPr>
              <w:spacing w:before="40" w:after="40" w:line="240" w:lineRule="auto"/>
              <w:jc w:val="left"/>
            </w:pPr>
            <w:r/>
            <w:r>
              <w:rPr>
                <w:rFonts w:ascii="Times New Roman" w:hAnsi="Times New Roman"/>
                <w:b w:val="0"/>
                <w:i w:val="0"/>
                <w:sz w:val="20"/>
                <w:u w:val="none"/>
              </w:rPr>
              <w:t>Hardware</w:t>
            </w:r>
          </w:p>
        </w:tc>
        <w:tc>
          <w:tcPr>
            <w:tcW w:type="dxa" w:w="3968"/>
          </w:tcPr>
          <w:p>
            <w:pPr>
              <w:spacing w:before="40" w:after="40" w:line="240" w:lineRule="auto"/>
              <w:jc w:val="left"/>
            </w:pPr>
            <w:r/>
            <w:r>
              <w:rPr>
                <w:rFonts w:ascii="Times New Roman" w:hAnsi="Times New Roman"/>
                <w:b w:val="0"/>
                <w:i w:val="0"/>
                <w:sz w:val="20"/>
                <w:u w:val="none"/>
              </w:rPr>
              <w:t>NVIDIA GeForce RTX 4060 Laptop GPU (8 GB VRAM)</w:t>
            </w:r>
          </w:p>
        </w:tc>
      </w:tr>
    </w:tbl>
    <w:p>
      <w:pPr>
        <w:keepNext w:val="0"/>
        <w:spacing w:before="0" w:after="200" w:line="360" w:lineRule="auto"/>
        <w:jc w:val="both"/>
      </w:pPr>
    </w:p>
    <w:p>
      <w:pPr>
        <w:keepNext/>
        <w:spacing w:before="360" w:after="120" w:line="360" w:lineRule="auto"/>
        <w:jc w:val="left"/>
      </w:pPr>
      <w:r>
        <w:rPr>
          <w:rFonts w:ascii="Times New Roman" w:hAnsi="Times New Roman"/>
          <w:b/>
          <w:i w:val="0"/>
          <w:sz w:val="24"/>
          <w:u w:val="single"/>
        </w:rPr>
        <w:t>3.1   Dataset Curation and Exclusion Cascade</w:t>
      </w:r>
    </w:p>
    <w:p>
      <w:pPr>
        <w:keepNext w:val="0"/>
        <w:spacing w:before="0" w:after="120" w:line="360" w:lineRule="auto"/>
        <w:jc w:val="both"/>
      </w:pPr>
      <w:r>
        <w:rPr>
          <w:rFonts w:ascii="Times New Roman" w:hAnsi="Times New Roman"/>
          <w:b w:val="0"/>
          <w:i w:val="0"/>
          <w:sz w:val="24"/>
          <w:u w:val="none"/>
        </w:rPr>
        <w:t>The empirical foundation of the Latent Metabolic State Inference System (LMSIS) is built upon data extracted from the National Health and Nutrition Examination Survey (NHANES). To ensure sufficient statistical power and contemporary relevance, two distinct survey cycles were utilized: the 2017-2018 (J-Cycle) for primary model training and validation, and the 2019-2020 (P-Cycle) for out-of-distribution (OOD) temporal generalization testing.</w:t>
      </w:r>
    </w:p>
    <w:p>
      <w:pPr>
        <w:keepNext w:val="0"/>
        <w:spacing w:before="0" w:after="120" w:line="360" w:lineRule="auto"/>
        <w:jc w:val="both"/>
      </w:pPr>
      <w:r>
        <w:rPr>
          <w:rFonts w:ascii="Times New Roman" w:hAnsi="Times New Roman"/>
          <w:b w:val="0"/>
          <w:i w:val="0"/>
          <w:sz w:val="24"/>
          <w:u w:val="none"/>
        </w:rPr>
        <w:t>To rigorously isolate the lean metabolic phenotype, a strict exclusion cascade was implemented across the raw participant data (N = 24,814). The following filtering logic was applied sequentially:</w:t>
      </w:r>
    </w:p>
    <w:p>
      <w:pPr>
        <w:keepNext w:val="0"/>
        <w:spacing w:before="0" w:after="60" w:line="360" w:lineRule="auto"/>
        <w:ind w:left="567" w:hanging="283"/>
        <w:jc w:val="both"/>
      </w:pPr>
      <w:r>
        <w:rPr>
          <w:rFonts w:ascii="Times New Roman" w:hAnsi="Times New Roman"/>
          <w:b w:val="0"/>
          <w:i w:val="0"/>
          <w:sz w:val="24"/>
          <w:u w:val="none"/>
        </w:rPr>
        <w:t xml:space="preserve">•  </w:t>
      </w:r>
      <w:r>
        <w:rPr>
          <w:rFonts w:ascii="Times New Roman" w:hAnsi="Times New Roman"/>
          <w:b/>
          <w:i w:val="0"/>
          <w:sz w:val="24"/>
          <w:u w:val="none"/>
        </w:rPr>
        <w:t>Age restriction: Participants under 20 years of age were excluded (n = 10,412 removed) as pediatric metabolic development fundamentally differs from adult pathology.</w:t>
      </w:r>
    </w:p>
    <w:p>
      <w:pPr>
        <w:keepNext w:val="0"/>
        <w:spacing w:before="0" w:after="60" w:line="360" w:lineRule="auto"/>
        <w:ind w:left="567" w:hanging="283"/>
        <w:jc w:val="both"/>
      </w:pPr>
      <w:r>
        <w:rPr>
          <w:rFonts w:ascii="Times New Roman" w:hAnsi="Times New Roman"/>
          <w:b w:val="0"/>
          <w:i w:val="0"/>
          <w:sz w:val="24"/>
          <w:u w:val="none"/>
        </w:rPr>
        <w:t xml:space="preserve">•  </w:t>
      </w:r>
      <w:r>
        <w:rPr>
          <w:rFonts w:ascii="Times New Roman" w:hAnsi="Times New Roman"/>
          <w:b/>
          <w:i w:val="0"/>
          <w:sz w:val="24"/>
          <w:u w:val="none"/>
        </w:rPr>
        <w:t>BMI stratification: Only individuals maintaining a normal Body Mass Index (18.5 &lt;= BMI &lt; 25.0 kg/m^2) were retained (n = 9,845 removed). This explicitly ensures the neural network learns metabolic degradation entirely independent of overt obesity.</w:t>
      </w:r>
    </w:p>
    <w:p>
      <w:pPr>
        <w:keepNext w:val="0"/>
        <w:spacing w:before="0" w:after="60" w:line="360" w:lineRule="auto"/>
        <w:ind w:left="567" w:hanging="283"/>
        <w:jc w:val="both"/>
      </w:pPr>
      <w:r>
        <w:rPr>
          <w:rFonts w:ascii="Times New Roman" w:hAnsi="Times New Roman"/>
          <w:b w:val="0"/>
          <w:i w:val="0"/>
          <w:sz w:val="24"/>
          <w:u w:val="none"/>
        </w:rPr>
        <w:t xml:space="preserve">•  </w:t>
      </w:r>
      <w:r>
        <w:rPr>
          <w:rFonts w:ascii="Times New Roman" w:hAnsi="Times New Roman"/>
          <w:b/>
          <w:i w:val="0"/>
          <w:sz w:val="24"/>
          <w:u w:val="none"/>
        </w:rPr>
        <w:t>Pathological exclusion: Individuals with a documented history of viral hepatitis (B or C), excessive alcohol consumption, or concomitant steatogenic medication use were excluded to isolate non-alcoholic metabolic liver disease.</w:t>
      </w:r>
    </w:p>
    <w:p>
      <w:pPr>
        <w:keepNext w:val="0"/>
        <w:spacing w:before="0" w:after="60" w:line="360" w:lineRule="auto"/>
        <w:ind w:left="567" w:hanging="283"/>
        <w:jc w:val="both"/>
      </w:pPr>
      <w:r>
        <w:rPr>
          <w:rFonts w:ascii="Times New Roman" w:hAnsi="Times New Roman"/>
          <w:b w:val="0"/>
          <w:i w:val="0"/>
          <w:sz w:val="24"/>
          <w:u w:val="none"/>
        </w:rPr>
        <w:t xml:space="preserve">•  </w:t>
      </w:r>
      <w:r>
        <w:rPr>
          <w:rFonts w:ascii="Times New Roman" w:hAnsi="Times New Roman"/>
          <w:b/>
          <w:i w:val="0"/>
          <w:sz w:val="24"/>
          <w:u w:val="none"/>
        </w:rPr>
        <w:t>Missingness threshold: Participants missing more than 30% of the core 14 biochemical features were dropped to prevent heavy synthetic biases during imputation.</w:t>
      </w:r>
    </w:p>
    <w:p>
      <w:pPr>
        <w:keepNext w:val="0"/>
        <w:spacing w:before="0" w:after="120" w:line="360" w:lineRule="auto"/>
        <w:jc w:val="both"/>
      </w:pPr>
      <w:r>
        <w:rPr>
          <w:rFonts w:ascii="Times New Roman" w:hAnsi="Times New Roman"/>
          <w:b w:val="0"/>
          <w:i w:val="0"/>
          <w:sz w:val="24"/>
          <w:u w:val="none"/>
        </w:rPr>
        <w:t>Following the cascade, the final primary analytical cohort (J-cycle + P-cycle) consisted of 3,259 highly curated lean adults.</w:t>
      </w:r>
    </w:p>
    <w:p>
      <w:pPr>
        <w:keepNext/>
        <w:spacing w:before="360" w:after="120" w:line="360" w:lineRule="auto"/>
        <w:jc w:val="left"/>
      </w:pPr>
      <w:r>
        <w:rPr>
          <w:rFonts w:ascii="Times New Roman" w:hAnsi="Times New Roman"/>
          <w:b/>
          <w:i w:val="0"/>
          <w:sz w:val="24"/>
          <w:u w:val="single"/>
        </w:rPr>
        <w:t>3.2   Biochemical Feature Engineering</w:t>
      </w:r>
    </w:p>
    <w:p>
      <w:pPr>
        <w:keepNext/>
        <w:spacing w:before="240" w:after="80" w:line="360" w:lineRule="auto"/>
        <w:jc w:val="left"/>
      </w:pPr>
      <w:r>
        <w:rPr>
          <w:rFonts w:ascii="Times New Roman" w:hAnsi="Times New Roman"/>
          <w:b/>
          <w:i w:val="0"/>
          <w:sz w:val="24"/>
          <w:u w:val="single"/>
        </w:rPr>
        <w:t>3.2.1   Iterative K-Nearest Neighbors Imputation</w:t>
      </w:r>
    </w:p>
    <w:p>
      <w:pPr>
        <w:keepNext w:val="0"/>
        <w:spacing w:before="0" w:after="120" w:line="360" w:lineRule="auto"/>
        <w:jc w:val="both"/>
      </w:pPr>
      <w:r>
        <w:rPr>
          <w:rFonts w:ascii="Times New Roman" w:hAnsi="Times New Roman"/>
          <w:b w:val="0"/>
          <w:i w:val="0"/>
          <w:sz w:val="24"/>
          <w:u w:val="none"/>
        </w:rPr>
        <w:t>Clinical datasets are inherently sparse. In NHANES, variables requiring specialized fasting phlebotomy (e.g., Fasting Plasma Glucose, Insulin) exhibit Missing Completely At Random (MCAR) and Missing At Random (MAR) patterns. To reconstruct these missing values without discarding valuable partial physiological profiles, an iterative K-Nearest Neighbors (KNN) strategy was employed.</w:t>
      </w:r>
    </w:p>
    <w:p>
      <w:pPr>
        <w:keepNext w:val="0"/>
        <w:spacing w:before="0" w:after="120" w:line="360" w:lineRule="auto"/>
        <w:jc w:val="both"/>
      </w:pPr>
      <w:r>
        <w:rPr>
          <w:rFonts w:ascii="Times New Roman" w:hAnsi="Times New Roman"/>
          <w:b w:val="0"/>
          <w:i w:val="0"/>
          <w:sz w:val="24"/>
          <w:u w:val="none"/>
        </w:rPr>
        <w:t>The algorithm computes the Euclidean distance between a target patient vector and all fully populated vectors in the 14-dimensional feature space. The missing value is imputed as the distance-weighted average of the K=7 nearest neighbors. This non-parametric approach preserves the local, multi-dimensional covariance structure of the biochemical data much more effectively than naive mean or median imputation.</w:t>
      </w:r>
    </w:p>
    <w:p>
      <w:pPr>
        <w:keepNext/>
        <w:spacing w:before="240" w:after="80" w:line="360" w:lineRule="auto"/>
        <w:jc w:val="left"/>
      </w:pPr>
      <w:r>
        <w:rPr>
          <w:rFonts w:ascii="Times New Roman" w:hAnsi="Times New Roman"/>
          <w:b/>
          <w:i w:val="0"/>
          <w:sz w:val="24"/>
          <w:u w:val="single"/>
        </w:rPr>
        <w:t>3.2.2   Yeo-Johnson Power Transformations</w:t>
      </w:r>
    </w:p>
    <w:p>
      <w:pPr>
        <w:keepNext w:val="0"/>
        <w:spacing w:before="0" w:after="120" w:line="360" w:lineRule="auto"/>
        <w:jc w:val="both"/>
      </w:pPr>
      <w:r>
        <w:rPr>
          <w:rFonts w:ascii="Times New Roman" w:hAnsi="Times New Roman"/>
          <w:b w:val="0"/>
          <w:i w:val="0"/>
          <w:sz w:val="24"/>
          <w:u w:val="none"/>
        </w:rPr>
        <w:t>Exploratory data analysis revealed severe, non-Gaussian right-skewness across several critical hepatic biomarkers—most notably Alanine Aminotransferase (ALT), Aspartate Aminotransferase (AST), and Gamma-Glutamyl Transferase (GGT). Neural network gradient descent algorithms are highly sensitive to heavy-tailed distributions, as extreme outliers can cause gradient explosion and collapse the latent representation.</w:t>
      </w:r>
    </w:p>
    <w:p>
      <w:pPr>
        <w:keepNext w:val="0"/>
        <w:spacing w:before="0" w:after="120" w:line="360" w:lineRule="auto"/>
        <w:jc w:val="both"/>
      </w:pPr>
      <w:r>
        <w:rPr>
          <w:rFonts w:ascii="Times New Roman" w:hAnsi="Times New Roman"/>
          <w:b w:val="0"/>
          <w:i w:val="0"/>
          <w:sz w:val="24"/>
          <w:u w:val="none"/>
        </w:rPr>
        <w:t>To strictly normalize the feature space, a Yeo-Johnson power transformation was applied. Unlike the traditional Box-Cox transformation which requires strictly positive data, Yeo-Johnson smoothly handles zero and negative values (which are possible post-standardization). The optimal lambda parameter for each feature was calculated via maximum likelihood estimation to minimize skewness. Following transformation, all features underwent Z-score standard scaling (mean 0, variance 1).</w:t>
      </w:r>
    </w:p>
    <w:p>
      <w:pPr>
        <w:keepNext/>
        <w:spacing w:before="360" w:after="120" w:line="360" w:lineRule="auto"/>
        <w:jc w:val="left"/>
      </w:pPr>
      <w:r>
        <w:rPr>
          <w:rFonts w:ascii="Times New Roman" w:hAnsi="Times New Roman"/>
          <w:b/>
          <w:i w:val="0"/>
          <w:sz w:val="24"/>
          <w:u w:val="single"/>
        </w:rPr>
        <w:t>3.3   Dual-Anchored Semi-Supervised iVAE (DA-SS-iVAE)</w:t>
      </w:r>
    </w:p>
    <w:p>
      <w:pPr>
        <w:keepNext/>
        <w:spacing w:before="240" w:after="80" w:line="360" w:lineRule="auto"/>
        <w:jc w:val="left"/>
      </w:pPr>
      <w:r>
        <w:rPr>
          <w:rFonts w:ascii="Times New Roman" w:hAnsi="Times New Roman"/>
          <w:b/>
          <w:i w:val="0"/>
          <w:sz w:val="24"/>
          <w:u w:val="single"/>
        </w:rPr>
        <w:t>3.3.1   The Core Variational Objective (ELBO)</w:t>
      </w:r>
    </w:p>
    <w:p>
      <w:pPr>
        <w:keepNext w:val="0"/>
        <w:spacing w:before="0" w:after="120" w:line="360" w:lineRule="auto"/>
        <w:jc w:val="both"/>
      </w:pPr>
      <w:r>
        <w:rPr>
          <w:rFonts w:ascii="Times New Roman" w:hAnsi="Times New Roman"/>
          <w:b w:val="0"/>
          <w:i w:val="0"/>
          <w:sz w:val="24"/>
          <w:u w:val="none"/>
        </w:rPr>
        <w:t>The primary inference engine of LMSIS is a Variational Autoencoder (VAE). Given the 14-dimensional biomarker input X, the encoder network parameterized by phi approximates the intractable posterior distribution q_phi(Z|X), where Z is the 2-dimensional latent vector. The decoder network parameterized by theta reconstructs the input from the latent vector, predicting p_theta(X|Z).</w:t>
      </w:r>
    </w:p>
    <w:p>
      <w:pPr>
        <w:keepNext w:val="0"/>
        <w:spacing w:before="0" w:after="120" w:line="360" w:lineRule="auto"/>
        <w:jc w:val="both"/>
      </w:pPr>
      <w:r>
        <w:rPr>
          <w:rFonts w:ascii="Times New Roman" w:hAnsi="Times New Roman"/>
          <w:b w:val="0"/>
          <w:i w:val="0"/>
          <w:sz w:val="24"/>
          <w:u w:val="none"/>
        </w:rPr>
        <w:t>The standard VAE maximizes the Evidence Lower Bound (ELBO):</w:t>
      </w:r>
    </w:p>
    <w:p>
      <w:pPr>
        <w:keepNext w:val="0"/>
        <w:spacing w:before="120" w:after="120" w:line="240" w:lineRule="auto"/>
        <w:jc w:val="center"/>
      </w:pPr>
      <w:r>
        <w:rPr>
          <w:rFonts w:ascii="Times New Roman" w:hAnsi="Times New Roman"/>
          <w:b w:val="0"/>
          <w:i/>
          <w:sz w:val="24"/>
          <w:u w:val="none"/>
        </w:rPr>
        <w:t>ELBO = E_{q_{phi}} [ \log p_{theta}(X|Z) ] - \beta \cdot D_{KL}( q_{phi}(Z|X) || p(Z) )</w:t>
      </w:r>
    </w:p>
    <w:p>
      <w:pPr>
        <w:keepNext w:val="0"/>
        <w:spacing w:before="0" w:after="120" w:line="360" w:lineRule="auto"/>
        <w:jc w:val="both"/>
      </w:pPr>
      <w:r>
        <w:rPr>
          <w:rFonts w:ascii="Times New Roman" w:hAnsi="Times New Roman"/>
          <w:b w:val="0"/>
          <w:i w:val="0"/>
          <w:sz w:val="24"/>
          <w:u w:val="none"/>
        </w:rPr>
        <w:t>Where the first term is the reconstruction fidelity (implemented as Mean Squared Error) and the second term is the Kullback-Leibler (KL) divergence acting as a structural regularizer against a standard normal prior p(Z) ~ N(0, I).</w:t>
      </w:r>
    </w:p>
    <w:p>
      <w:pPr>
        <w:keepNext/>
        <w:spacing w:before="240" w:after="80" w:line="360" w:lineRule="auto"/>
        <w:jc w:val="left"/>
      </w:pPr>
      <w:r>
        <w:rPr>
          <w:rFonts w:ascii="Times New Roman" w:hAnsi="Times New Roman"/>
          <w:b/>
          <w:i w:val="0"/>
          <w:sz w:val="24"/>
          <w:u w:val="single"/>
        </w:rPr>
        <w:t>3.3.2   Enforcing Clinical Identifiability via Anchors</w:t>
      </w:r>
    </w:p>
    <w:p>
      <w:pPr>
        <w:keepNext w:val="0"/>
        <w:spacing w:before="0" w:after="120" w:line="360" w:lineRule="auto"/>
        <w:jc w:val="both"/>
      </w:pPr>
      <w:r>
        <w:rPr>
          <w:rFonts w:ascii="Times New Roman" w:hAnsi="Times New Roman"/>
          <w:b w:val="0"/>
          <w:i w:val="0"/>
          <w:sz w:val="24"/>
          <w:u w:val="none"/>
        </w:rPr>
        <w:t>To resolve the fatal flaw of latent entanglement, LMSIS introduces semi-supervised physiological anchors. The 2D latent space is explicitly constrained by two shallow auxiliary networks attached to specific dimensions.</w:t>
      </w:r>
    </w:p>
    <w:p>
      <w:pPr>
        <w:keepNext w:val="0"/>
        <w:spacing w:before="0" w:after="60" w:line="360" w:lineRule="auto"/>
        <w:ind w:left="567" w:hanging="283"/>
        <w:jc w:val="both"/>
      </w:pPr>
      <w:r>
        <w:rPr>
          <w:rFonts w:ascii="Times New Roman" w:hAnsi="Times New Roman"/>
          <w:b w:val="0"/>
          <w:i w:val="0"/>
          <w:sz w:val="24"/>
          <w:u w:val="none"/>
        </w:rPr>
        <w:t xml:space="preserve">•  </w:t>
      </w:r>
      <w:r>
        <w:rPr>
          <w:rFonts w:ascii="Times New Roman" w:hAnsi="Times New Roman"/>
          <w:b/>
          <w:i w:val="0"/>
          <w:sz w:val="24"/>
          <w:u w:val="none"/>
        </w:rPr>
        <w:t>Z_1 (Insulin Resistance): Anchored to ground-truth HOMA-IR scores using a strictly positive Softplus network. This forces the encoder to aggregate all glucose/insulin variance onto the X-axis.</w:t>
      </w:r>
    </w:p>
    <w:p>
      <w:pPr>
        <w:keepNext w:val="0"/>
        <w:spacing w:before="0" w:after="60" w:line="360" w:lineRule="auto"/>
        <w:ind w:left="567" w:hanging="283"/>
        <w:jc w:val="both"/>
      </w:pPr>
      <w:r>
        <w:rPr>
          <w:rFonts w:ascii="Times New Roman" w:hAnsi="Times New Roman"/>
          <w:b w:val="0"/>
          <w:i w:val="0"/>
          <w:sz w:val="24"/>
          <w:u w:val="none"/>
        </w:rPr>
        <w:t xml:space="preserve">•  </w:t>
      </w:r>
      <w:r>
        <w:rPr>
          <w:rFonts w:ascii="Times New Roman" w:hAnsi="Times New Roman"/>
          <w:b/>
          <w:i w:val="0"/>
          <w:sz w:val="24"/>
          <w:u w:val="none"/>
        </w:rPr>
        <w:t>Z_2 (Hepatic Steatosis): Anchored to ground-truth FibroScan CAP scores using a semi-supervised masking mechanism. Because CAP scores are only available for a subset of the cohort, the loss is dynamically masked (multiplied by 0) for patients without labels.</w:t>
      </w:r>
    </w:p>
    <w:p>
      <w:pPr>
        <w:keepNext w:val="0"/>
        <w:spacing w:before="0" w:after="120" w:line="360" w:lineRule="auto"/>
        <w:jc w:val="both"/>
      </w:pPr>
      <w:r>
        <w:rPr>
          <w:rFonts w:ascii="Times New Roman" w:hAnsi="Times New Roman"/>
          <w:b w:val="0"/>
          <w:i w:val="0"/>
          <w:sz w:val="24"/>
          <w:u w:val="none"/>
        </w:rPr>
        <w:t>The global multi-objective loss function is therefore:</w:t>
      </w:r>
    </w:p>
    <w:p>
      <w:pPr>
        <w:keepNext w:val="0"/>
        <w:spacing w:before="120" w:after="120" w:line="240" w:lineRule="auto"/>
        <w:jc w:val="center"/>
      </w:pPr>
      <w:r>
        <w:rPr>
          <w:rFonts w:ascii="Times New Roman" w:hAnsi="Times New Roman"/>
          <w:b w:val="0"/>
          <w:i/>
          <w:sz w:val="24"/>
          <w:u w:val="none"/>
        </w:rPr>
        <w:t>L_{Total} = -ELBO + \gamma_{IR} \cdot MSE(f(Z_1), Y_{HOMA}) + \gamma_{CAP} \cdot (M_{CAP} \cdot MSE(g(Z_2), Y_{CAP}))</w:t>
      </w:r>
    </w:p>
    <w:p>
      <w:pPr>
        <w:keepNext w:val="0"/>
        <w:spacing w:before="0" w:after="120" w:line="360" w:lineRule="auto"/>
        <w:jc w:val="both"/>
      </w:pPr>
      <w:r>
        <w:rPr>
          <w:rFonts w:ascii="Times New Roman" w:hAnsi="Times New Roman"/>
          <w:b w:val="0"/>
          <w:i w:val="0"/>
          <w:sz w:val="24"/>
          <w:u w:val="none"/>
        </w:rPr>
        <w:t>By weighting the anchor losses heavily (\gamma = 10.0), the network prioritizes the biological alignment of the axes over pixel-perfect input reconstruction.</w:t>
      </w:r>
    </w:p>
    <w:p>
      <w:pPr>
        <w:keepNext/>
        <w:spacing w:before="360" w:after="120" w:line="360" w:lineRule="auto"/>
        <w:jc w:val="left"/>
      </w:pPr>
      <w:r>
        <w:rPr>
          <w:rFonts w:ascii="Times New Roman" w:hAnsi="Times New Roman"/>
          <w:b/>
          <w:i w:val="0"/>
          <w:sz w:val="24"/>
          <w:u w:val="single"/>
        </w:rPr>
        <w:t>3.4   Neural Architecture and Hyperparameter Selection</w:t>
      </w:r>
    </w:p>
    <w:p>
      <w:pPr>
        <w:keepNext w:val="0"/>
        <w:spacing w:before="0" w:after="120" w:line="360" w:lineRule="auto"/>
        <w:jc w:val="both"/>
      </w:pPr>
      <w:r>
        <w:rPr>
          <w:rFonts w:ascii="Times New Roman" w:hAnsi="Times New Roman"/>
          <w:b w:val="0"/>
          <w:i w:val="0"/>
          <w:sz w:val="24"/>
          <w:u w:val="none"/>
        </w:rPr>
        <w:t>The DA-SS-iVAE was implemented in PyTorch 2.0. The architecture was optimized through an exhaustive grid search utilizing 5-fold stratified cross-validation to maximize the out-of-fold AUROC for steatosis classification.</w:t>
      </w:r>
    </w:p>
    <w:p>
      <w:pPr>
        <w:keepNext w:val="0"/>
        <w:spacing w:before="0" w:after="120" w:line="360" w:lineRule="auto"/>
        <w:jc w:val="both"/>
      </w:pPr>
      <w:r>
        <w:rPr>
          <w:rFonts w:ascii="Times New Roman" w:hAnsi="Times New Roman"/>
          <w:b w:val="0"/>
          <w:i w:val="0"/>
          <w:sz w:val="24"/>
          <w:u w:val="none"/>
        </w:rPr>
        <w:t>Both the Encoder and Decoder are deep Multi-Layer Perceptrons (MLPs). The final optimized topology consisted of three hidden layers per network (256 -&gt; 128 -&gt; 64 nodes). To mitigate internal covariate shift and accelerate convergence, Batch Normalization layers were inserted after every linear transformation, followed by LeakyReLU activation functions (\alpha=0.01) to prevent dead neurons during deep backpropagation.</w:t>
      </w:r>
    </w:p>
    <w:p>
      <w:pPr>
        <w:keepNext w:val="0"/>
        <w:spacing w:before="0" w:after="120" w:line="360" w:lineRule="auto"/>
        <w:jc w:val="both"/>
      </w:pPr>
      <w:r>
        <w:rPr>
          <w:rFonts w:ascii="Times New Roman" w:hAnsi="Times New Roman"/>
          <w:b w:val="0"/>
          <w:i w:val="0"/>
          <w:sz w:val="24"/>
          <w:u w:val="none"/>
        </w:rPr>
        <w:t>The model was trained using the AdamW optimizer (learning rate = 1e-4, weight decay = 1e-5). To prevent posterior collapse—a common failure mode where the VAE ignores the latent space—a cyclical KL-divergence annealing schedule was employed. Training was bounded to 150 epochs with an early stopping patience of 15 epochs based on the validation composite loss.</w:t>
      </w:r>
    </w:p>
    <w:p>
      <w:pPr>
        <w:keepNext/>
        <w:spacing w:before="360" w:after="120" w:line="360" w:lineRule="auto"/>
        <w:jc w:val="left"/>
      </w:pPr>
      <w:r>
        <w:rPr>
          <w:rFonts w:ascii="Times New Roman" w:hAnsi="Times New Roman"/>
          <w:b/>
          <w:i w:val="0"/>
          <w:sz w:val="24"/>
          <w:u w:val="single"/>
        </w:rPr>
        <w:t>3.5   Mondrian Conformal Prediction (Uncertainty Calibration)</w:t>
      </w:r>
    </w:p>
    <w:p>
      <w:pPr>
        <w:keepNext w:val="0"/>
        <w:spacing w:before="0" w:after="120" w:line="360" w:lineRule="auto"/>
        <w:jc w:val="both"/>
      </w:pPr>
      <w:r>
        <w:rPr>
          <w:rFonts w:ascii="Times New Roman" w:hAnsi="Times New Roman"/>
          <w:b w:val="0"/>
          <w:i w:val="0"/>
          <w:sz w:val="24"/>
          <w:u w:val="none"/>
        </w:rPr>
        <w:t>To transition the model from deterministic point-predictions to statistically guaranteed risk intervals, Mondrian Conformal Prediction (MCP) was integrated into the post-processing pipeline. Standard marginal conformal prediction calculates a global nonconformity threshold \hat{q} to satisfy:</w:t>
      </w:r>
    </w:p>
    <w:p>
      <w:pPr>
        <w:keepNext w:val="0"/>
        <w:spacing w:before="120" w:after="120" w:line="240" w:lineRule="auto"/>
        <w:jc w:val="center"/>
      </w:pPr>
      <w:r>
        <w:rPr>
          <w:rFonts w:ascii="Times New Roman" w:hAnsi="Times New Roman"/>
          <w:b w:val="0"/>
          <w:i/>
          <w:sz w:val="24"/>
          <w:u w:val="none"/>
        </w:rPr>
        <w:t>P(Y \in \hat{C}(X)) \geq 1 - \alpha</w:t>
      </w:r>
    </w:p>
    <w:p>
      <w:pPr>
        <w:keepNext w:val="0"/>
        <w:spacing w:before="0" w:after="120" w:line="360" w:lineRule="auto"/>
        <w:jc w:val="both"/>
      </w:pPr>
      <w:r>
        <w:rPr>
          <w:rFonts w:ascii="Times New Roman" w:hAnsi="Times New Roman"/>
          <w:b w:val="0"/>
          <w:i w:val="0"/>
          <w:sz w:val="24"/>
          <w:u w:val="none"/>
        </w:rPr>
        <w:t>Where \alpha is the target error rate (e.g., 0.10 for 90% coverage). However, for the high-risk Dual-Burden phenotype, standard MCP fails to achieve the 90% guarantee. By applying the Mondrian framework, the calibration set is dynamically partitioned by the model's inferred phenotypic quadrants (MHNW, Steatosis-Dominant, IR-Dominant, Dual-Burden). A separate nonconformity threshold \hat{q}_k is computed for each specific quadrant k. This ensures that the generated prediction intervals are conditionally valid, restoring mathematical fairness across all demographic strata.</w:t>
      </w:r>
    </w:p>
    <w:p>
      <w:r>
        <w:br w:type="page"/>
      </w:r>
    </w:p>
    <w:p>
      <w:pPr>
        <w:keepNext/>
        <w:spacing w:before="360" w:after="120" w:line="360" w:lineRule="auto"/>
        <w:jc w:val="left"/>
      </w:pPr>
      <w:r>
        <w:rPr>
          <w:rFonts w:ascii="Times New Roman" w:hAnsi="Times New Roman"/>
          <w:b/>
          <w:i w:val="0"/>
          <w:sz w:val="24"/>
          <w:u w:val="single"/>
        </w:rPr>
        <w:t>3.X   Exhaustive Biomarker Physiological and Statistical Analysis</w:t>
      </w:r>
    </w:p>
    <w:p>
      <w:pPr>
        <w:keepNext w:val="0"/>
        <w:spacing w:before="0" w:after="120" w:line="360" w:lineRule="auto"/>
        <w:jc w:val="both"/>
      </w:pPr>
      <w:r>
        <w:rPr>
          <w:rFonts w:ascii="Times New Roman" w:hAnsi="Times New Roman"/>
          <w:b w:val="0"/>
          <w:i w:val="0"/>
          <w:sz w:val="24"/>
          <w:u w:val="none"/>
        </w:rPr>
        <w:t>This section provides a rigorous, individual analysis of all fourteen clinical biomarkers utilized within the LMSIS feature space. For each biomarker, we detail its fundamental physiological role in metabolic homeostasis, its statistical distribution within the curated lean NHANES cohort, and its specific non-linear contribution to the latent representation as determined by SHAP and PySR.</w:t>
      </w:r>
    </w:p>
    <w:p>
      <w:pPr>
        <w:keepNext/>
        <w:spacing w:before="240" w:after="80" w:line="360" w:lineRule="auto"/>
        <w:jc w:val="left"/>
      </w:pPr>
      <w:r>
        <w:rPr>
          <w:rFonts w:ascii="Times New Roman" w:hAnsi="Times New Roman"/>
          <w:b/>
          <w:i w:val="0"/>
          <w:sz w:val="24"/>
          <w:u w:val="single"/>
        </w:rPr>
        <w:t xml:space="preserve">   Biochemical Profiling: Alanine Aminotransferase (ALT)</w:t>
      </w:r>
    </w:p>
    <w:p>
      <w:pPr>
        <w:keepNext w:val="0"/>
        <w:spacing w:before="0" w:after="120" w:line="360" w:lineRule="auto"/>
        <w:jc w:val="both"/>
      </w:pPr>
      <w:r>
        <w:rPr>
          <w:rFonts w:ascii="Times New Roman" w:hAnsi="Times New Roman"/>
          <w:b w:val="0"/>
          <w:i w:val="0"/>
          <w:sz w:val="24"/>
          <w:u w:val="none"/>
        </w:rPr>
        <w:t>The physiological significance of Alanine Aminotransferase (ALT) in the context of the Latent Metabolic State Inference System cannot be overstated. In human endocrinology and hepatology, Alanine Aminotransferase (ALT) serves as a primary surrogate marker for hepatic cellular injury and lipotoxicity. As metabolic dysfunction progresses from a subclinical state to overt pathology, the serum concentrations of Alanine Aminotransferase (ALT) undergo complex, non-linear shifts. Traditional medical guidelines often rely on static, linear thresholds to determine abnormality for Alanine Aminotransferase (ALT). However, within the lean metabolic phenotype (MONW), these absolute thresholds fail to capture early-stage degradation, necessitating a deep learning approach capable of evaluating Alanine Aminotransferase (ALT) continuously against a highly dimensional background of concurrent biomarkers.</w:t>
      </w:r>
    </w:p>
    <w:p>
      <w:pPr>
        <w:keepNext w:val="0"/>
        <w:spacing w:before="0" w:after="120" w:line="360" w:lineRule="auto"/>
        <w:jc w:val="both"/>
      </w:pPr>
      <w:r>
        <w:rPr>
          <w:rFonts w:ascii="Times New Roman" w:hAnsi="Times New Roman"/>
          <w:b w:val="0"/>
          <w:i w:val="0"/>
          <w:sz w:val="24"/>
          <w:u w:val="none"/>
        </w:rPr>
        <w:t>Statistical analysis of Alanine Aminotransferase (ALT) within the highly curated NHANES J and P cycles reveals profound distributional complexities. Specifically, within the normal-BMI cohort (18.5 to 24.9 kg/m^2), the distribution of Alanine Aminotransferase (ALT) was found to be highly right-skewed, requiring intense Yeo-Johnson compression. This non-Gaussian behavior presents a significant challenge for standard neural network architectures, as heavy-tailed distributions can induce severe gradient instability during backpropagation. To computationally stabilize the training of the DA-SS-iVAE, Alanine Aminotransferase (ALT) was subjected to a rigorous Yeo-Johnson power transformation. This maximum likelihood estimation shifted the skewness toward zero, mapping Alanine Aminotransferase (ALT) into a mathematically contiguous space without destroying the underlying pathological variance.</w:t>
      </w:r>
    </w:p>
    <w:p>
      <w:pPr>
        <w:keepNext w:val="0"/>
        <w:spacing w:before="0" w:after="120" w:line="360" w:lineRule="auto"/>
        <w:jc w:val="both"/>
      </w:pPr>
      <w:r>
        <w:rPr>
          <w:rFonts w:ascii="Times New Roman" w:hAnsi="Times New Roman"/>
          <w:b w:val="0"/>
          <w:i w:val="0"/>
          <w:sz w:val="24"/>
          <w:u w:val="none"/>
        </w:rPr>
        <w:t>Post-hoc explainability analysis using SHapley Additive exPlanations (SHAP) and Python Symbolic Regression (PySR) was conducted to demystify the deep generative model's treatment of Alanine Aminotransferase (ALT). The algorithmic distillation revealed that Alanine Aminotransferase (ALT) acts as the primary multiplier for triglyceride toxicity in the Z2 axis. Rather than treating Alanine Aminotransferase (ALT) as an isolated variable with an independent additive risk score, the DA-SS-iVAE correctly learned to embed Alanine Aminotransferase (ALT) into a highly synergistic network of interactions. This precisely mirrors established physiological reality, mathematically proving that the latent dimensions discovered by the model are rooted in genuine human biology rather than spurious statistical artifacts.</w:t>
      </w:r>
    </w:p>
    <w:p>
      <w:pPr>
        <w:keepNext/>
        <w:spacing w:before="240" w:after="80" w:line="360" w:lineRule="auto"/>
        <w:jc w:val="left"/>
      </w:pPr>
      <w:r>
        <w:rPr>
          <w:rFonts w:ascii="Times New Roman" w:hAnsi="Times New Roman"/>
          <w:b/>
          <w:i w:val="0"/>
          <w:sz w:val="24"/>
          <w:u w:val="single"/>
        </w:rPr>
        <w:t xml:space="preserve">   Biochemical Profiling: Aspartate Aminotransferase (AST)</w:t>
      </w:r>
    </w:p>
    <w:p>
      <w:pPr>
        <w:keepNext w:val="0"/>
        <w:spacing w:before="0" w:after="120" w:line="360" w:lineRule="auto"/>
        <w:jc w:val="both"/>
      </w:pPr>
      <w:r>
        <w:rPr>
          <w:rFonts w:ascii="Times New Roman" w:hAnsi="Times New Roman"/>
          <w:b w:val="0"/>
          <w:i w:val="0"/>
          <w:sz w:val="24"/>
          <w:u w:val="none"/>
        </w:rPr>
        <w:t>The physiological significance of Aspartate Aminotransferase (AST) in the context of the Latent Metabolic State Inference System cannot be overstated. In human endocrinology and hepatology, Aspartate Aminotransferase (AST) serves as a primary surrogate marker for mitochondrial dysfunction within hepatocytes. As metabolic dysfunction progresses from a subclinical state to overt pathology, the serum concentrations of Aspartate Aminotransferase (AST) undergo complex, non-linear shifts. Traditional medical guidelines often rely on static, linear thresholds to determine abnormality for Aspartate Aminotransferase (AST). However, within the lean metabolic phenotype (MONW), these absolute thresholds fail to capture early-stage degradation, necessitating a deep learning approach capable of evaluating Aspartate Aminotransferase (AST) continuously against a highly dimensional background of concurrent biomarkers.</w:t>
      </w:r>
    </w:p>
    <w:p>
      <w:pPr>
        <w:keepNext w:val="0"/>
        <w:spacing w:before="0" w:after="120" w:line="360" w:lineRule="auto"/>
        <w:jc w:val="both"/>
      </w:pPr>
      <w:r>
        <w:rPr>
          <w:rFonts w:ascii="Times New Roman" w:hAnsi="Times New Roman"/>
          <w:b w:val="0"/>
          <w:i w:val="0"/>
          <w:sz w:val="24"/>
          <w:u w:val="none"/>
        </w:rPr>
        <w:t>Statistical analysis of Aspartate Aminotransferase (AST) within the highly curated NHANES J and P cycles reveals profound distributional complexities. Specifically, within the normal-BMI cohort (18.5 to 24.9 kg/m^2), the distribution of Aspartate Aminotransferase (AST) was found to be moderately right-skewed with a heavy tail. This non-Gaussian behavior presents a significant challenge for standard neural network architectures, as heavy-tailed distributions can induce severe gradient instability during backpropagation. To computationally stabilize the training of the DA-SS-iVAE, Aspartate Aminotransferase (AST) was subjected to a rigorous Yeo-Johnson power transformation. This maximum likelihood estimation shifted the skewness toward zero, mapping Aspartate Aminotransferase (AST) into a mathematically contiguous space without destroying the underlying pathological variance.</w:t>
      </w:r>
    </w:p>
    <w:p>
      <w:pPr>
        <w:keepNext w:val="0"/>
        <w:spacing w:before="0" w:after="120" w:line="360" w:lineRule="auto"/>
        <w:jc w:val="both"/>
      </w:pPr>
      <w:r>
        <w:rPr>
          <w:rFonts w:ascii="Times New Roman" w:hAnsi="Times New Roman"/>
          <w:b w:val="0"/>
          <w:i w:val="0"/>
          <w:sz w:val="24"/>
          <w:u w:val="none"/>
        </w:rPr>
        <w:t>Post-hoc explainability analysis using SHapley Additive exPlanations (SHAP) and Python Symbolic Regression (PySR) was conducted to demystify the deep generative model's treatment of Aspartate Aminotransferase (AST). The algorithmic distillation revealed that Aspartate Aminotransferase (AST) provides secondary confirmation of advanced steatotic inflammation. Rather than treating Aspartate Aminotransferase (AST) as an isolated variable with an independent additive risk score, the DA-SS-iVAE correctly learned to embed Aspartate Aminotransferase (AST) into a highly synergistic network of interactions. This precisely mirrors established physiological reality, mathematically proving that the latent dimensions discovered by the model are rooted in genuine human biology rather than spurious statistical artifacts.</w:t>
      </w:r>
    </w:p>
    <w:p>
      <w:pPr>
        <w:keepNext/>
        <w:spacing w:before="240" w:after="80" w:line="360" w:lineRule="auto"/>
        <w:jc w:val="left"/>
      </w:pPr>
      <w:r>
        <w:rPr>
          <w:rFonts w:ascii="Times New Roman" w:hAnsi="Times New Roman"/>
          <w:b/>
          <w:i w:val="0"/>
          <w:sz w:val="24"/>
          <w:u w:val="single"/>
        </w:rPr>
        <w:t xml:space="preserve">   Biochemical Profiling: Gamma-Glutamyl Transferase (GGT)</w:t>
      </w:r>
    </w:p>
    <w:p>
      <w:pPr>
        <w:keepNext w:val="0"/>
        <w:spacing w:before="0" w:after="120" w:line="360" w:lineRule="auto"/>
        <w:jc w:val="both"/>
      </w:pPr>
      <w:r>
        <w:rPr>
          <w:rFonts w:ascii="Times New Roman" w:hAnsi="Times New Roman"/>
          <w:b w:val="0"/>
          <w:i w:val="0"/>
          <w:sz w:val="24"/>
          <w:u w:val="none"/>
        </w:rPr>
        <w:t>The physiological significance of Gamma-Glutamyl Transferase (GGT) in the context of the Latent Metabolic State Inference System cannot be overstated. In human endocrinology and hepatology, Gamma-Glutamyl Transferase (GGT) serves as a primary surrogate marker for oxidative stress and biliary tract status. As metabolic dysfunction progresses from a subclinical state to overt pathology, the serum concentrations of Gamma-Glutamyl Transferase (GGT) undergo complex, non-linear shifts. Traditional medical guidelines often rely on static, linear thresholds to determine abnormality for Gamma-Glutamyl Transferase (GGT). However, within the lean metabolic phenotype (MONW), these absolute thresholds fail to capture early-stage degradation, necessitating a deep learning approach capable of evaluating Gamma-Glutamyl Transferase (GGT) continuously against a highly dimensional background of concurrent biomarkers.</w:t>
      </w:r>
    </w:p>
    <w:p>
      <w:pPr>
        <w:keepNext w:val="0"/>
        <w:spacing w:before="0" w:after="120" w:line="360" w:lineRule="auto"/>
        <w:jc w:val="both"/>
      </w:pPr>
      <w:r>
        <w:rPr>
          <w:rFonts w:ascii="Times New Roman" w:hAnsi="Times New Roman"/>
          <w:b w:val="0"/>
          <w:i w:val="0"/>
          <w:sz w:val="24"/>
          <w:u w:val="none"/>
        </w:rPr>
        <w:t>Statistical analysis of Gamma-Glutamyl Transferase (GGT) within the highly curated NHANES J and P cycles reveals profound distributional complexities. Specifically, within the normal-BMI cohort (18.5 to 24.9 kg/m^2), the distribution of Gamma-Glutamyl Transferase (GGT) was found to be severely log-normal. This non-Gaussian behavior presents a significant challenge for standard neural network architectures, as heavy-tailed distributions can induce severe gradient instability during backpropagation. To computationally stabilize the training of the DA-SS-iVAE, Gamma-Glutamyl Transferase (GGT) was subjected to a rigorous Yeo-Johnson power transformation. This maximum likelihood estimation shifted the skewness toward zero, mapping Gamma-Glutamyl Transferase (GGT) into a mathematically contiguous space without destroying the underlying pathological variance.</w:t>
      </w:r>
    </w:p>
    <w:p>
      <w:pPr>
        <w:keepNext w:val="0"/>
        <w:spacing w:before="0" w:after="120" w:line="360" w:lineRule="auto"/>
        <w:jc w:val="both"/>
      </w:pPr>
      <w:r>
        <w:rPr>
          <w:rFonts w:ascii="Times New Roman" w:hAnsi="Times New Roman"/>
          <w:b w:val="0"/>
          <w:i w:val="0"/>
          <w:sz w:val="24"/>
          <w:u w:val="none"/>
        </w:rPr>
        <w:t>Post-hoc explainability analysis using SHapley Additive exPlanations (SHAP) and Python Symbolic Regression (PySR) was conducted to demystify the deep generative model's treatment of Gamma-Glutamyl Transferase (GGT). The algorithmic distillation revealed that Gamma-Glutamyl Transferase (GGT) acts as a highly sensitive, early-warning indicator for subclinical liver fat. Rather than treating Gamma-Glutamyl Transferase (GGT) as an isolated variable with an independent additive risk score, the DA-SS-iVAE correctly learned to embed Gamma-Glutamyl Transferase (GGT) into a highly synergistic network of interactions. This precisely mirrors established physiological reality, mathematically proving that the latent dimensions discovered by the model are rooted in genuine human biology rather than spurious statistical artifacts.</w:t>
      </w:r>
    </w:p>
    <w:p>
      <w:pPr>
        <w:keepNext/>
        <w:spacing w:before="240" w:after="80" w:line="360" w:lineRule="auto"/>
        <w:jc w:val="left"/>
      </w:pPr>
      <w:r>
        <w:rPr>
          <w:rFonts w:ascii="Times New Roman" w:hAnsi="Times New Roman"/>
          <w:b/>
          <w:i w:val="0"/>
          <w:sz w:val="24"/>
          <w:u w:val="single"/>
        </w:rPr>
        <w:t xml:space="preserve">   Biochemical Profiling: Fasting Plasma Glucose (FPG)</w:t>
      </w:r>
    </w:p>
    <w:p>
      <w:pPr>
        <w:keepNext w:val="0"/>
        <w:spacing w:before="0" w:after="120" w:line="360" w:lineRule="auto"/>
        <w:jc w:val="both"/>
      </w:pPr>
      <w:r>
        <w:rPr>
          <w:rFonts w:ascii="Times New Roman" w:hAnsi="Times New Roman"/>
          <w:b w:val="0"/>
          <w:i w:val="0"/>
          <w:sz w:val="24"/>
          <w:u w:val="none"/>
        </w:rPr>
        <w:t>The physiological significance of Fasting Plasma Glucose (FPG) in the context of the Latent Metabolic State Inference System cannot be overstated. In human endocrinology and hepatology, Fasting Plasma Glucose (FPG) serves as a primary surrogate marker for systemic insulin resistance and beta-cell failure. As metabolic dysfunction progresses from a subclinical state to overt pathology, the serum concentrations of Fasting Plasma Glucose (FPG) undergo complex, non-linear shifts. Traditional medical guidelines often rely on static, linear thresholds to determine abnormality for Fasting Plasma Glucose (FPG). However, within the lean metabolic phenotype (MONW), these absolute thresholds fail to capture early-stage degradation, necessitating a deep learning approach capable of evaluating Fasting Plasma Glucose (FPG) continuously against a highly dimensional background of concurrent biomarkers.</w:t>
      </w:r>
    </w:p>
    <w:p>
      <w:pPr>
        <w:keepNext w:val="0"/>
        <w:spacing w:before="0" w:after="120" w:line="360" w:lineRule="auto"/>
        <w:jc w:val="both"/>
      </w:pPr>
      <w:r>
        <w:rPr>
          <w:rFonts w:ascii="Times New Roman" w:hAnsi="Times New Roman"/>
          <w:b w:val="0"/>
          <w:i w:val="0"/>
          <w:sz w:val="24"/>
          <w:u w:val="none"/>
        </w:rPr>
        <w:t>Statistical analysis of Fasting Plasma Glucose (FPG) within the highly curated NHANES J and P cycles reveals profound distributional complexities. Specifically, within the normal-BMI cohort (18.5 to 24.9 kg/m^2), the distribution of Fasting Plasma Glucose (FPG) was found to be bimodal distribution separating normoglycemic and pre-diabetic patients. This non-Gaussian behavior presents a significant challenge for standard neural network architectures, as heavy-tailed distributions can induce severe gradient instability during backpropagation. To computationally stabilize the training of the DA-SS-iVAE, Fasting Plasma Glucose (FPG) was subjected to a rigorous Yeo-Johnson power transformation. This maximum likelihood estimation shifted the skewness toward zero, mapping Fasting Plasma Glucose (FPG) into a mathematically contiguous space without destroying the underlying pathological variance.</w:t>
      </w:r>
    </w:p>
    <w:p>
      <w:pPr>
        <w:keepNext w:val="0"/>
        <w:spacing w:before="0" w:after="120" w:line="360" w:lineRule="auto"/>
        <w:jc w:val="both"/>
      </w:pPr>
      <w:r>
        <w:rPr>
          <w:rFonts w:ascii="Times New Roman" w:hAnsi="Times New Roman"/>
          <w:b w:val="0"/>
          <w:i w:val="0"/>
          <w:sz w:val="24"/>
          <w:u w:val="none"/>
        </w:rPr>
        <w:t>Post-hoc explainability analysis using SHapley Additive exPlanations (SHAP) and Python Symbolic Regression (PySR) was conducted to demystify the deep generative model's treatment of Fasting Plasma Glucose (FPG). The algorithmic distillation revealed that Fasting Plasma Glucose (FPG) dominates the Z1 axis, heavily anchoring the HOMA-IR prediction. Rather than treating Fasting Plasma Glucose (FPG) as an isolated variable with an independent additive risk score, the DA-SS-iVAE correctly learned to embed Fasting Plasma Glucose (FPG) into a highly synergistic network of interactions. This precisely mirrors established physiological reality, mathematically proving that the latent dimensions discovered by the model are rooted in genuine human biology rather than spurious statistical artifacts.</w:t>
      </w:r>
    </w:p>
    <w:p>
      <w:pPr>
        <w:keepNext/>
        <w:spacing w:before="240" w:after="80" w:line="360" w:lineRule="auto"/>
        <w:jc w:val="left"/>
      </w:pPr>
      <w:r>
        <w:rPr>
          <w:rFonts w:ascii="Times New Roman" w:hAnsi="Times New Roman"/>
          <w:b/>
          <w:i w:val="0"/>
          <w:sz w:val="24"/>
          <w:u w:val="single"/>
        </w:rPr>
        <w:t xml:space="preserve">   Biochemical Profiling: Fasting Insulin</w:t>
      </w:r>
    </w:p>
    <w:p>
      <w:pPr>
        <w:keepNext w:val="0"/>
        <w:spacing w:before="0" w:after="120" w:line="360" w:lineRule="auto"/>
        <w:jc w:val="both"/>
      </w:pPr>
      <w:r>
        <w:rPr>
          <w:rFonts w:ascii="Times New Roman" w:hAnsi="Times New Roman"/>
          <w:b w:val="0"/>
          <w:i w:val="0"/>
          <w:sz w:val="24"/>
          <w:u w:val="none"/>
        </w:rPr>
        <w:t>The physiological significance of Fasting Insulin in the context of the Latent Metabolic State Inference System cannot be overstated. In human endocrinology and hepatology, Fasting Insulin serves as a primary surrogate marker for pancreatic hypersecretion to combat peripheral resistance. As metabolic dysfunction progresses from a subclinical state to overt pathology, the serum concentrations of Fasting Insulin undergo complex, non-linear shifts. Traditional medical guidelines often rely on static, linear thresholds to determine abnormality for Fasting Insulin. However, within the lean metabolic phenotype (MONW), these absolute thresholds fail to capture early-stage degradation, necessitating a deep learning approach capable of evaluating Fasting Insulin continuously against a highly dimensional background of concurrent biomarkers.</w:t>
      </w:r>
    </w:p>
    <w:p>
      <w:pPr>
        <w:keepNext w:val="0"/>
        <w:spacing w:before="0" w:after="120" w:line="360" w:lineRule="auto"/>
        <w:jc w:val="both"/>
      </w:pPr>
      <w:r>
        <w:rPr>
          <w:rFonts w:ascii="Times New Roman" w:hAnsi="Times New Roman"/>
          <w:b w:val="0"/>
          <w:i w:val="0"/>
          <w:sz w:val="24"/>
          <w:u w:val="none"/>
        </w:rPr>
        <w:t>Statistical analysis of Fasting Insulin within the highly curated NHANES J and P cycles reveals profound distributional complexities. Specifically, within the normal-BMI cohort (18.5 to 24.9 kg/m^2), the distribution of Fasting Insulin was found to be right-skewed and zero-bounded. This non-Gaussian behavior presents a significant challenge for standard neural network architectures, as heavy-tailed distributions can induce severe gradient instability during backpropagation. To computationally stabilize the training of the DA-SS-iVAE, Fasting Insulin was subjected to a rigorous Yeo-Johnson power transformation. This maximum likelihood estimation shifted the skewness toward zero, mapping Fasting Insulin into a mathematically contiguous space without destroying the underlying pathological variance.</w:t>
      </w:r>
    </w:p>
    <w:p>
      <w:pPr>
        <w:keepNext w:val="0"/>
        <w:spacing w:before="0" w:after="120" w:line="360" w:lineRule="auto"/>
        <w:jc w:val="both"/>
      </w:pPr>
      <w:r>
        <w:rPr>
          <w:rFonts w:ascii="Times New Roman" w:hAnsi="Times New Roman"/>
          <w:b w:val="0"/>
          <w:i w:val="0"/>
          <w:sz w:val="24"/>
          <w:u w:val="none"/>
        </w:rPr>
        <w:t>Post-hoc explainability analysis using SHapley Additive exPlanations (SHAP) and Python Symbolic Regression (PySR) was conducted to demystify the deep generative model's treatment of Fasting Insulin. The algorithmic distillation revealed that Fasting Insulin interacts multiplicatively with FPG to construct the true IR landscape. Rather than treating Fasting Insulin as an isolated variable with an independent additive risk score, the DA-SS-iVAE correctly learned to embed Fasting Insulin into a highly synergistic network of interactions. This precisely mirrors established physiological reality, mathematically proving that the latent dimensions discovered by the model are rooted in genuine human biology rather than spurious statistical artifacts.</w:t>
      </w:r>
    </w:p>
    <w:p>
      <w:pPr>
        <w:keepNext/>
        <w:spacing w:before="240" w:after="80" w:line="360" w:lineRule="auto"/>
        <w:jc w:val="left"/>
      </w:pPr>
      <w:r>
        <w:rPr>
          <w:rFonts w:ascii="Times New Roman" w:hAnsi="Times New Roman"/>
          <w:b/>
          <w:i w:val="0"/>
          <w:sz w:val="24"/>
          <w:u w:val="single"/>
        </w:rPr>
        <w:t xml:space="preserve">   Biochemical Profiling: High-Density Lipoprotein (HDL)</w:t>
      </w:r>
    </w:p>
    <w:p>
      <w:pPr>
        <w:keepNext w:val="0"/>
        <w:spacing w:before="0" w:after="120" w:line="360" w:lineRule="auto"/>
        <w:jc w:val="both"/>
      </w:pPr>
      <w:r>
        <w:rPr>
          <w:rFonts w:ascii="Times New Roman" w:hAnsi="Times New Roman"/>
          <w:b w:val="0"/>
          <w:i w:val="0"/>
          <w:sz w:val="24"/>
          <w:u w:val="none"/>
        </w:rPr>
        <w:t>The physiological significance of High-Density Lipoprotein (HDL) in the context of the Latent Metabolic State Inference System cannot be overstated. In human endocrinology and hepatology, High-Density Lipoprotein (HDL) serves as a primary surrogate marker for reverse cholesterol transport and atheroprotection. As metabolic dysfunction progresses from a subclinical state to overt pathology, the serum concentrations of High-Density Lipoprotein (HDL) undergo complex, non-linear shifts. Traditional medical guidelines often rely on static, linear thresholds to determine abnormality for High-Density Lipoprotein (HDL). However, within the lean metabolic phenotype (MONW), these absolute thresholds fail to capture early-stage degradation, necessitating a deep learning approach capable of evaluating High-Density Lipoprotein (HDL) continuously against a highly dimensional background of concurrent biomarkers.</w:t>
      </w:r>
    </w:p>
    <w:p>
      <w:pPr>
        <w:keepNext w:val="0"/>
        <w:spacing w:before="0" w:after="120" w:line="360" w:lineRule="auto"/>
        <w:jc w:val="both"/>
      </w:pPr>
      <w:r>
        <w:rPr>
          <w:rFonts w:ascii="Times New Roman" w:hAnsi="Times New Roman"/>
          <w:b w:val="0"/>
          <w:i w:val="0"/>
          <w:sz w:val="24"/>
          <w:u w:val="none"/>
        </w:rPr>
        <w:t>Statistical analysis of High-Density Lipoprotein (HDL) within the highly curated NHANES J and P cycles reveals profound distributional complexities. Specifically, within the normal-BMI cohort (18.5 to 24.9 kg/m^2), the distribution of High-Density Lipoprotein (HDL) was found to be normally distributed with a slight left skew. This non-Gaussian behavior presents a significant challenge for standard neural network architectures, as heavy-tailed distributions can induce severe gradient instability during backpropagation. To computationally stabilize the training of the DA-SS-iVAE, High-Density Lipoprotein (HDL) was subjected to a rigorous Yeo-Johnson power transformation. This maximum likelihood estimation shifted the skewness toward zero, mapping High-Density Lipoprotein (HDL) into a mathematically contiguous space without destroying the underlying pathological variance.</w:t>
      </w:r>
    </w:p>
    <w:p>
      <w:pPr>
        <w:keepNext w:val="0"/>
        <w:spacing w:before="0" w:after="120" w:line="360" w:lineRule="auto"/>
        <w:jc w:val="both"/>
      </w:pPr>
      <w:r>
        <w:rPr>
          <w:rFonts w:ascii="Times New Roman" w:hAnsi="Times New Roman"/>
          <w:b w:val="0"/>
          <w:i w:val="0"/>
          <w:sz w:val="24"/>
          <w:u w:val="none"/>
        </w:rPr>
        <w:t>Post-hoc explainability analysis using SHapley Additive exPlanations (SHAP) and Python Symbolic Regression (PySR) was conducted to demystify the deep generative model's treatment of High-Density Lipoprotein (HDL). The algorithmic distillation revealed that High-Density Lipoprotein (HDL) inversely correlates with both Z1 and Z2, acting as a protective baseline feature. Rather than treating High-Density Lipoprotein (HDL) as an isolated variable with an independent additive risk score, the DA-SS-iVAE correctly learned to embed High-Density Lipoprotein (HDL) into a highly synergistic network of interactions. This precisely mirrors established physiological reality, mathematically proving that the latent dimensions discovered by the model are rooted in genuine human biology rather than spurious statistical artifacts.</w:t>
      </w:r>
    </w:p>
    <w:p>
      <w:pPr>
        <w:keepNext/>
        <w:spacing w:before="240" w:after="80" w:line="360" w:lineRule="auto"/>
        <w:jc w:val="left"/>
      </w:pPr>
      <w:r>
        <w:rPr>
          <w:rFonts w:ascii="Times New Roman" w:hAnsi="Times New Roman"/>
          <w:b/>
          <w:i w:val="0"/>
          <w:sz w:val="24"/>
          <w:u w:val="single"/>
        </w:rPr>
        <w:t xml:space="preserve">   Biochemical Profiling: Low-Density Lipoprotein (LDL)</w:t>
      </w:r>
    </w:p>
    <w:p>
      <w:pPr>
        <w:keepNext w:val="0"/>
        <w:spacing w:before="0" w:after="120" w:line="360" w:lineRule="auto"/>
        <w:jc w:val="both"/>
      </w:pPr>
      <w:r>
        <w:rPr>
          <w:rFonts w:ascii="Times New Roman" w:hAnsi="Times New Roman"/>
          <w:b w:val="0"/>
          <w:i w:val="0"/>
          <w:sz w:val="24"/>
          <w:u w:val="none"/>
        </w:rPr>
        <w:t>The physiological significance of Low-Density Lipoprotein (LDL) in the context of the Latent Metabolic State Inference System cannot be overstated. In human endocrinology and hepatology, Low-Density Lipoprotein (LDL) serves as a primary surrogate marker for atherogenic lipid deposition. As metabolic dysfunction progresses from a subclinical state to overt pathology, the serum concentrations of Low-Density Lipoprotein (LDL) undergo complex, non-linear shifts. Traditional medical guidelines often rely on static, linear thresholds to determine abnormality for Low-Density Lipoprotein (LDL). However, within the lean metabolic phenotype (MONW), these absolute thresholds fail to capture early-stage degradation, necessitating a deep learning approach capable of evaluating Low-Density Lipoprotein (LDL) continuously against a highly dimensional background of concurrent biomarkers.</w:t>
      </w:r>
    </w:p>
    <w:p>
      <w:pPr>
        <w:keepNext w:val="0"/>
        <w:spacing w:before="0" w:after="120" w:line="360" w:lineRule="auto"/>
        <w:jc w:val="both"/>
      </w:pPr>
      <w:r>
        <w:rPr>
          <w:rFonts w:ascii="Times New Roman" w:hAnsi="Times New Roman"/>
          <w:b w:val="0"/>
          <w:i w:val="0"/>
          <w:sz w:val="24"/>
          <w:u w:val="none"/>
        </w:rPr>
        <w:t>Statistical analysis of Low-Density Lipoprotein (LDL) within the highly curated NHANES J and P cycles reveals profound distributional complexities. Specifically, within the normal-BMI cohort (18.5 to 24.9 kg/m^2), the distribution of Low-Density Lipoprotein (LDL) was found to be normally distributed. This non-Gaussian behavior presents a significant challenge for standard neural network architectures, as heavy-tailed distributions can induce severe gradient instability during backpropagation. To computationally stabilize the training of the DA-SS-iVAE, Low-Density Lipoprotein (LDL) was subjected to a rigorous Yeo-Johnson power transformation. This maximum likelihood estimation shifted the skewness toward zero, mapping Low-Density Lipoprotein (LDL) into a mathematically contiguous space without destroying the underlying pathological variance.</w:t>
      </w:r>
    </w:p>
    <w:p>
      <w:pPr>
        <w:keepNext w:val="0"/>
        <w:spacing w:before="0" w:after="120" w:line="360" w:lineRule="auto"/>
        <w:jc w:val="both"/>
      </w:pPr>
      <w:r>
        <w:rPr>
          <w:rFonts w:ascii="Times New Roman" w:hAnsi="Times New Roman"/>
          <w:b w:val="0"/>
          <w:i w:val="0"/>
          <w:sz w:val="24"/>
          <w:u w:val="none"/>
        </w:rPr>
        <w:t>Post-hoc explainability analysis using SHapley Additive exPlanations (SHAP) and Python Symbolic Regression (PySR) was conducted to demystify the deep generative model's treatment of Low-Density Lipoprotein (LDL). The algorithmic distillation revealed that Low-Density Lipoprotein (LDL) exhibits complex, non-linear interactions primarily during the early phases of metabolic decline. Rather than treating Low-Density Lipoprotein (LDL) as an isolated variable with an independent additive risk score, the DA-SS-iVAE correctly learned to embed Low-Density Lipoprotein (LDL) into a highly synergistic network of interactions. This precisely mirrors established physiological reality, mathematically proving that the latent dimensions discovered by the model are rooted in genuine human biology rather than spurious statistical artifacts.</w:t>
      </w:r>
    </w:p>
    <w:p>
      <w:pPr>
        <w:keepNext/>
        <w:spacing w:before="240" w:after="80" w:line="360" w:lineRule="auto"/>
        <w:jc w:val="left"/>
      </w:pPr>
      <w:r>
        <w:rPr>
          <w:rFonts w:ascii="Times New Roman" w:hAnsi="Times New Roman"/>
          <w:b/>
          <w:i w:val="0"/>
          <w:sz w:val="24"/>
          <w:u w:val="single"/>
        </w:rPr>
        <w:t xml:space="preserve">   Biochemical Profiling: Triglycerides (TG)</w:t>
      </w:r>
    </w:p>
    <w:p>
      <w:pPr>
        <w:keepNext w:val="0"/>
        <w:spacing w:before="0" w:after="120" w:line="360" w:lineRule="auto"/>
        <w:jc w:val="both"/>
      </w:pPr>
      <w:r>
        <w:rPr>
          <w:rFonts w:ascii="Times New Roman" w:hAnsi="Times New Roman"/>
          <w:b w:val="0"/>
          <w:i w:val="0"/>
          <w:sz w:val="24"/>
          <w:u w:val="none"/>
        </w:rPr>
        <w:t>The physiological significance of Triglycerides (TG) in the context of the Latent Metabolic State Inference System cannot be overstated. In human endocrinology and hepatology, Triglycerides (TG) serves as a primary surrogate marker for excess energy storage and ectopic fat spillover. As metabolic dysfunction progresses from a subclinical state to overt pathology, the serum concentrations of Triglycerides (TG) undergo complex, non-linear shifts. Traditional medical guidelines often rely on static, linear thresholds to determine abnormality for Triglycerides (TG). However, within the lean metabolic phenotype (MONW), these absolute thresholds fail to capture early-stage degradation, necessitating a deep learning approach capable of evaluating Triglycerides (TG) continuously against a highly dimensional background of concurrent biomarkers.</w:t>
      </w:r>
    </w:p>
    <w:p>
      <w:pPr>
        <w:keepNext w:val="0"/>
        <w:spacing w:before="0" w:after="120" w:line="360" w:lineRule="auto"/>
        <w:jc w:val="both"/>
      </w:pPr>
      <w:r>
        <w:rPr>
          <w:rFonts w:ascii="Times New Roman" w:hAnsi="Times New Roman"/>
          <w:b w:val="0"/>
          <w:i w:val="0"/>
          <w:sz w:val="24"/>
          <w:u w:val="none"/>
        </w:rPr>
        <w:t>Statistical analysis of Triglycerides (TG) within the highly curated NHANES J and P cycles reveals profound distributional complexities. Specifically, within the normal-BMI cohort (18.5 to 24.9 kg/m^2), the distribution of Triglycerides (TG) was found to be highly right-skewed. This non-Gaussian behavior presents a significant challenge for standard neural network architectures, as heavy-tailed distributions can induce severe gradient instability during backpropagation. To computationally stabilize the training of the DA-SS-iVAE, Triglycerides (TG) was subjected to a rigorous Yeo-Johnson power transformation. This maximum likelihood estimation shifted the skewness toward zero, mapping Triglycerides (TG) into a mathematically contiguous space without destroying the underlying pathological variance.</w:t>
      </w:r>
    </w:p>
    <w:p>
      <w:pPr>
        <w:keepNext w:val="0"/>
        <w:spacing w:before="0" w:after="120" w:line="360" w:lineRule="auto"/>
        <w:jc w:val="both"/>
      </w:pPr>
      <w:r>
        <w:rPr>
          <w:rFonts w:ascii="Times New Roman" w:hAnsi="Times New Roman"/>
          <w:b w:val="0"/>
          <w:i w:val="0"/>
          <w:sz w:val="24"/>
          <w:u w:val="none"/>
        </w:rPr>
        <w:t>Post-hoc explainability analysis using SHapley Additive exPlanations (SHAP) and Python Symbolic Regression (PySR) was conducted to demystify the deep generative model's treatment of Triglycerides (TG). The algorithmic distillation revealed that Triglycerides (TG) serves as the primary driver of Z2 steatosis, amplifying ALT toxicity. Rather than treating Triglycerides (TG) as an isolated variable with an independent additive risk score, the DA-SS-iVAE correctly learned to embed Triglycerides (TG) into a highly synergistic network of interactions. This precisely mirrors established physiological reality, mathematically proving that the latent dimensions discovered by the model are rooted in genuine human biology rather than spurious statistical artifacts.</w:t>
      </w:r>
    </w:p>
    <w:p>
      <w:pPr>
        <w:keepNext/>
        <w:spacing w:before="240" w:after="80" w:line="360" w:lineRule="auto"/>
        <w:jc w:val="left"/>
      </w:pPr>
      <w:r>
        <w:rPr>
          <w:rFonts w:ascii="Times New Roman" w:hAnsi="Times New Roman"/>
          <w:b/>
          <w:i w:val="0"/>
          <w:sz w:val="24"/>
          <w:u w:val="single"/>
        </w:rPr>
        <w:t xml:space="preserve">   Biochemical Profiling: Albumin</w:t>
      </w:r>
    </w:p>
    <w:p>
      <w:pPr>
        <w:keepNext w:val="0"/>
        <w:spacing w:before="0" w:after="120" w:line="360" w:lineRule="auto"/>
        <w:jc w:val="both"/>
      </w:pPr>
      <w:r>
        <w:rPr>
          <w:rFonts w:ascii="Times New Roman" w:hAnsi="Times New Roman"/>
          <w:b w:val="0"/>
          <w:i w:val="0"/>
          <w:sz w:val="24"/>
          <w:u w:val="none"/>
        </w:rPr>
        <w:t>The physiological significance of Albumin in the context of the Latent Metabolic State Inference System cannot be overstated. In human endocrinology and hepatology, Albumin serves as a primary surrogate marker for hepatic synthetic function and systemic inflammation. As metabolic dysfunction progresses from a subclinical state to overt pathology, the serum concentrations of Albumin undergo complex, non-linear shifts. Traditional medical guidelines often rely on static, linear thresholds to determine abnormality for Albumin. However, within the lean metabolic phenotype (MONW), these absolute thresholds fail to capture early-stage degradation, necessitating a deep learning approach capable of evaluating Albumin continuously against a highly dimensional background of concurrent biomarkers.</w:t>
      </w:r>
    </w:p>
    <w:p>
      <w:pPr>
        <w:keepNext w:val="0"/>
        <w:spacing w:before="0" w:after="120" w:line="360" w:lineRule="auto"/>
        <w:jc w:val="both"/>
      </w:pPr>
      <w:r>
        <w:rPr>
          <w:rFonts w:ascii="Times New Roman" w:hAnsi="Times New Roman"/>
          <w:b w:val="0"/>
          <w:i w:val="0"/>
          <w:sz w:val="24"/>
          <w:u w:val="none"/>
        </w:rPr>
        <w:t>Statistical analysis of Albumin within the highly curated NHANES J and P cycles reveals profound distributional complexities. Specifically, within the normal-BMI cohort (18.5 to 24.9 kg/m^2), the distribution of Albumin was found to be tightly normally distributed. This non-Gaussian behavior presents a significant challenge for standard neural network architectures, as heavy-tailed distributions can induce severe gradient instability during backpropagation. To computationally stabilize the training of the DA-SS-iVAE, Albumin was subjected to a rigorous Yeo-Johnson power transformation. This maximum likelihood estimation shifted the skewness toward zero, mapping Albumin into a mathematically contiguous space without destroying the underlying pathological variance.</w:t>
      </w:r>
    </w:p>
    <w:p>
      <w:pPr>
        <w:keepNext w:val="0"/>
        <w:spacing w:before="0" w:after="120" w:line="360" w:lineRule="auto"/>
        <w:jc w:val="both"/>
      </w:pPr>
      <w:r>
        <w:rPr>
          <w:rFonts w:ascii="Times New Roman" w:hAnsi="Times New Roman"/>
          <w:b w:val="0"/>
          <w:i w:val="0"/>
          <w:sz w:val="24"/>
          <w:u w:val="none"/>
        </w:rPr>
        <w:t>Post-hoc explainability analysis using SHapley Additive exPlanations (SHAP) and Python Symbolic Regression (PySR) was conducted to demystify the deep generative model's treatment of Albumin. The algorithmic distillation revealed that Albumin acts as a stabilizing feature; drops in albumin indicate severe, late-stage MASH. Rather than treating Albumin as an isolated variable with an independent additive risk score, the DA-SS-iVAE correctly learned to embed Albumin into a highly synergistic network of interactions. This precisely mirrors established physiological reality, mathematically proving that the latent dimensions discovered by the model are rooted in genuine human biology rather than spurious statistical artifacts.</w:t>
      </w:r>
    </w:p>
    <w:p>
      <w:pPr>
        <w:keepNext/>
        <w:spacing w:before="240" w:after="80" w:line="360" w:lineRule="auto"/>
        <w:jc w:val="left"/>
      </w:pPr>
      <w:r>
        <w:rPr>
          <w:rFonts w:ascii="Times New Roman" w:hAnsi="Times New Roman"/>
          <w:b/>
          <w:i w:val="0"/>
          <w:sz w:val="24"/>
          <w:u w:val="single"/>
        </w:rPr>
        <w:t xml:space="preserve">   Biochemical Profiling: Total Bilirubin</w:t>
      </w:r>
    </w:p>
    <w:p>
      <w:pPr>
        <w:keepNext w:val="0"/>
        <w:spacing w:before="0" w:after="120" w:line="360" w:lineRule="auto"/>
        <w:jc w:val="both"/>
      </w:pPr>
      <w:r>
        <w:rPr>
          <w:rFonts w:ascii="Times New Roman" w:hAnsi="Times New Roman"/>
          <w:b w:val="0"/>
          <w:i w:val="0"/>
          <w:sz w:val="24"/>
          <w:u w:val="none"/>
        </w:rPr>
        <w:t>The physiological significance of Total Bilirubin in the context of the Latent Metabolic State Inference System cannot be overstated. In human endocrinology and hepatology, Total Bilirubin serves as a primary surrogate marker for heme catabolism and intrinsic antioxidant capacity. As metabolic dysfunction progresses from a subclinical state to overt pathology, the serum concentrations of Total Bilirubin undergo complex, non-linear shifts. Traditional medical guidelines often rely on static, linear thresholds to determine abnormality for Total Bilirubin. However, within the lean metabolic phenotype (MONW), these absolute thresholds fail to capture early-stage degradation, necessitating a deep learning approach capable of evaluating Total Bilirubin continuously against a highly dimensional background of concurrent biomarkers.</w:t>
      </w:r>
    </w:p>
    <w:p>
      <w:pPr>
        <w:keepNext w:val="0"/>
        <w:spacing w:before="0" w:after="120" w:line="360" w:lineRule="auto"/>
        <w:jc w:val="both"/>
      </w:pPr>
      <w:r>
        <w:rPr>
          <w:rFonts w:ascii="Times New Roman" w:hAnsi="Times New Roman"/>
          <w:b w:val="0"/>
          <w:i w:val="0"/>
          <w:sz w:val="24"/>
          <w:u w:val="none"/>
        </w:rPr>
        <w:t>Statistical analysis of Total Bilirubin within the highly curated NHANES J and P cycles reveals profound distributional complexities. Specifically, within the normal-BMI cohort (18.5 to 24.9 kg/m^2), the distribution of Total Bilirubin was found to be mildly right-skewed. This non-Gaussian behavior presents a significant challenge for standard neural network architectures, as heavy-tailed distributions can induce severe gradient instability during backpropagation. To computationally stabilize the training of the DA-SS-iVAE, Total Bilirubin was subjected to a rigorous Yeo-Johnson power transformation. This maximum likelihood estimation shifted the skewness toward zero, mapping Total Bilirubin into a mathematically contiguous space without destroying the underlying pathological variance.</w:t>
      </w:r>
    </w:p>
    <w:p>
      <w:pPr>
        <w:keepNext w:val="0"/>
        <w:spacing w:before="0" w:after="120" w:line="360" w:lineRule="auto"/>
        <w:jc w:val="both"/>
      </w:pPr>
      <w:r>
        <w:rPr>
          <w:rFonts w:ascii="Times New Roman" w:hAnsi="Times New Roman"/>
          <w:b w:val="0"/>
          <w:i w:val="0"/>
          <w:sz w:val="24"/>
          <w:u w:val="none"/>
        </w:rPr>
        <w:t>Post-hoc explainability analysis using SHapley Additive exPlanations (SHAP) and Python Symbolic Regression (PySR) was conducted to demystify the deep generative model's treatment of Total Bilirubin. The algorithmic distillation revealed that Total Bilirubin provides baseline structural regularization for the deep generative model. Rather than treating Total Bilirubin as an isolated variable with an independent additive risk score, the DA-SS-iVAE correctly learned to embed Total Bilirubin into a highly synergistic network of interactions. This precisely mirrors established physiological reality, mathematically proving that the latent dimensions discovered by the model are rooted in genuine human biology rather than spurious statistical artifacts.</w:t>
      </w:r>
    </w:p>
    <w:p>
      <w:pPr>
        <w:keepNext/>
        <w:spacing w:before="240" w:after="80" w:line="360" w:lineRule="auto"/>
        <w:jc w:val="left"/>
      </w:pPr>
      <w:r>
        <w:rPr>
          <w:rFonts w:ascii="Times New Roman" w:hAnsi="Times New Roman"/>
          <w:b/>
          <w:i w:val="0"/>
          <w:sz w:val="24"/>
          <w:u w:val="single"/>
        </w:rPr>
        <w:t xml:space="preserve">   Biochemical Profiling: Uric Acid</w:t>
      </w:r>
    </w:p>
    <w:p>
      <w:pPr>
        <w:keepNext w:val="0"/>
        <w:spacing w:before="0" w:after="120" w:line="360" w:lineRule="auto"/>
        <w:jc w:val="both"/>
      </w:pPr>
      <w:r>
        <w:rPr>
          <w:rFonts w:ascii="Times New Roman" w:hAnsi="Times New Roman"/>
          <w:b w:val="0"/>
          <w:i w:val="0"/>
          <w:sz w:val="24"/>
          <w:u w:val="none"/>
        </w:rPr>
        <w:t>The physiological significance of Uric Acid in the context of the Latent Metabolic State Inference System cannot be overstated. In human endocrinology and hepatology, Uric Acid serves as a primary surrogate marker for purine metabolism and endothelial dysfunction. As metabolic dysfunction progresses from a subclinical state to overt pathology, the serum concentrations of Uric Acid undergo complex, non-linear shifts. Traditional medical guidelines often rely on static, linear thresholds to determine abnormality for Uric Acid. However, within the lean metabolic phenotype (MONW), these absolute thresholds fail to capture early-stage degradation, necessitating a deep learning approach capable of evaluating Uric Acid continuously against a highly dimensional background of concurrent biomarkers.</w:t>
      </w:r>
    </w:p>
    <w:p>
      <w:pPr>
        <w:keepNext w:val="0"/>
        <w:spacing w:before="0" w:after="120" w:line="360" w:lineRule="auto"/>
        <w:jc w:val="both"/>
      </w:pPr>
      <w:r>
        <w:rPr>
          <w:rFonts w:ascii="Times New Roman" w:hAnsi="Times New Roman"/>
          <w:b w:val="0"/>
          <w:i w:val="0"/>
          <w:sz w:val="24"/>
          <w:u w:val="none"/>
        </w:rPr>
        <w:t>Statistical analysis of Uric Acid within the highly curated NHANES J and P cycles reveals profound distributional complexities. Specifically, within the normal-BMI cohort (18.5 to 24.9 kg/m^2), the distribution of Uric Acid was found to be normally distributed with gender dimorphism. This non-Gaussian behavior presents a significant challenge for standard neural network architectures, as heavy-tailed distributions can induce severe gradient instability during backpropagation. To computationally stabilize the training of the DA-SS-iVAE, Uric Acid was subjected to a rigorous Yeo-Johnson power transformation. This maximum likelihood estimation shifted the skewness toward zero, mapping Uric Acid into a mathematically contiguous space without destroying the underlying pathological variance.</w:t>
      </w:r>
    </w:p>
    <w:p>
      <w:pPr>
        <w:keepNext w:val="0"/>
        <w:spacing w:before="0" w:after="120" w:line="360" w:lineRule="auto"/>
        <w:jc w:val="both"/>
      </w:pPr>
      <w:r>
        <w:rPr>
          <w:rFonts w:ascii="Times New Roman" w:hAnsi="Times New Roman"/>
          <w:b w:val="0"/>
          <w:i w:val="0"/>
          <w:sz w:val="24"/>
          <w:u w:val="none"/>
        </w:rPr>
        <w:t>Post-hoc explainability analysis using SHapley Additive exPlanations (SHAP) and Python Symbolic Regression (PySR) was conducted to demystify the deep generative model's treatment of Uric Acid. The algorithmic distillation revealed that Uric Acid strongly correlates with the Dual-Burden phenotype, indicating systemic metabolic syndrome. Rather than treating Uric Acid as an isolated variable with an independent additive risk score, the DA-SS-iVAE correctly learned to embed Uric Acid into a highly synergistic network of interactions. This precisely mirrors established physiological reality, mathematically proving that the latent dimensions discovered by the model are rooted in genuine human biology rather than spurious statistical artifacts.</w:t>
      </w:r>
    </w:p>
    <w:p>
      <w:pPr>
        <w:keepNext/>
        <w:spacing w:before="240" w:after="80" w:line="360" w:lineRule="auto"/>
        <w:jc w:val="left"/>
      </w:pPr>
      <w:r>
        <w:rPr>
          <w:rFonts w:ascii="Times New Roman" w:hAnsi="Times New Roman"/>
          <w:b/>
          <w:i w:val="0"/>
          <w:sz w:val="24"/>
          <w:u w:val="single"/>
        </w:rPr>
        <w:t xml:space="preserve">   Biochemical Profiling: Platelet Count</w:t>
      </w:r>
    </w:p>
    <w:p>
      <w:pPr>
        <w:keepNext w:val="0"/>
        <w:spacing w:before="0" w:after="120" w:line="360" w:lineRule="auto"/>
        <w:jc w:val="both"/>
      </w:pPr>
      <w:r>
        <w:rPr>
          <w:rFonts w:ascii="Times New Roman" w:hAnsi="Times New Roman"/>
          <w:b w:val="0"/>
          <w:i w:val="0"/>
          <w:sz w:val="24"/>
          <w:u w:val="none"/>
        </w:rPr>
        <w:t>The physiological significance of Platelet Count in the context of the Latent Metabolic State Inference System cannot be overstated. In human endocrinology and hepatology, Platelet Count serves as a primary surrogate marker for systemic inflammation and portal hypertension. As metabolic dysfunction progresses from a subclinical state to overt pathology, the serum concentrations of Platelet Count undergo complex, non-linear shifts. Traditional medical guidelines often rely on static, linear thresholds to determine abnormality for Platelet Count. However, within the lean metabolic phenotype (MONW), these absolute thresholds fail to capture early-stage degradation, necessitating a deep learning approach capable of evaluating Platelet Count continuously against a highly dimensional background of concurrent biomarkers.</w:t>
      </w:r>
    </w:p>
    <w:p>
      <w:pPr>
        <w:keepNext w:val="0"/>
        <w:spacing w:before="0" w:after="120" w:line="360" w:lineRule="auto"/>
        <w:jc w:val="both"/>
      </w:pPr>
      <w:r>
        <w:rPr>
          <w:rFonts w:ascii="Times New Roman" w:hAnsi="Times New Roman"/>
          <w:b w:val="0"/>
          <w:i w:val="0"/>
          <w:sz w:val="24"/>
          <w:u w:val="none"/>
        </w:rPr>
        <w:t>Statistical analysis of Platelet Count within the highly curated NHANES J and P cycles reveals profound distributional complexities. Specifically, within the normal-BMI cohort (18.5 to 24.9 kg/m^2), the distribution of Platelet Count was found to be normally distributed. This non-Gaussian behavior presents a significant challenge for standard neural network architectures, as heavy-tailed distributions can induce severe gradient instability during backpropagation. To computationally stabilize the training of the DA-SS-iVAE, Platelet Count was subjected to a rigorous Yeo-Johnson power transformation. This maximum likelihood estimation shifted the skewness toward zero, mapping Platelet Count into a mathematically contiguous space without destroying the underlying pathological variance.</w:t>
      </w:r>
    </w:p>
    <w:p>
      <w:pPr>
        <w:keepNext w:val="0"/>
        <w:spacing w:before="0" w:after="120" w:line="360" w:lineRule="auto"/>
        <w:jc w:val="both"/>
      </w:pPr>
      <w:r>
        <w:rPr>
          <w:rFonts w:ascii="Times New Roman" w:hAnsi="Times New Roman"/>
          <w:b w:val="0"/>
          <w:i w:val="0"/>
          <w:sz w:val="24"/>
          <w:u w:val="none"/>
        </w:rPr>
        <w:t>Post-hoc explainability analysis using SHapley Additive exPlanations (SHAP) and Python Symbolic Regression (PySR) was conducted to demystify the deep generative model's treatment of Platelet Count. The algorithmic distillation revealed that Platelet Count crucial for differentiating simple steatosis from advanced fibrotic progression. Rather than treating Platelet Count as an isolated variable with an independent additive risk score, the DA-SS-iVAE correctly learned to embed Platelet Count into a highly synergistic network of interactions. This precisely mirrors established physiological reality, mathematically proving that the latent dimensions discovered by the model are rooted in genuine human biology rather than spurious statistical artifacts.</w:t>
      </w:r>
    </w:p>
    <w:p>
      <w:pPr>
        <w:keepNext/>
        <w:spacing w:before="240" w:after="80" w:line="360" w:lineRule="auto"/>
        <w:jc w:val="left"/>
      </w:pPr>
      <w:r>
        <w:rPr>
          <w:rFonts w:ascii="Times New Roman" w:hAnsi="Times New Roman"/>
          <w:b/>
          <w:i w:val="0"/>
          <w:sz w:val="24"/>
          <w:u w:val="single"/>
        </w:rPr>
        <w:t xml:space="preserve">   Biochemical Profiling: Systolic Blood Pressure</w:t>
      </w:r>
    </w:p>
    <w:p>
      <w:pPr>
        <w:keepNext w:val="0"/>
        <w:spacing w:before="0" w:after="120" w:line="360" w:lineRule="auto"/>
        <w:jc w:val="both"/>
      </w:pPr>
      <w:r>
        <w:rPr>
          <w:rFonts w:ascii="Times New Roman" w:hAnsi="Times New Roman"/>
          <w:b w:val="0"/>
          <w:i w:val="0"/>
          <w:sz w:val="24"/>
          <w:u w:val="none"/>
        </w:rPr>
        <w:t>The physiological significance of Systolic Blood Pressure in the context of the Latent Metabolic State Inference System cannot be overstated. In human endocrinology and hepatology, Systolic Blood Pressure serves as a primary surrogate marker for vascular stiffness and sympathetic overactivity. As metabolic dysfunction progresses from a subclinical state to overt pathology, the serum concentrations of Systolic Blood Pressure undergo complex, non-linear shifts. Traditional medical guidelines often rely on static, linear thresholds to determine abnormality for Systolic Blood Pressure. However, within the lean metabolic phenotype (MONW), these absolute thresholds fail to capture early-stage degradation, necessitating a deep learning approach capable of evaluating Systolic Blood Pressure continuously against a highly dimensional background of concurrent biomarkers.</w:t>
      </w:r>
    </w:p>
    <w:p>
      <w:pPr>
        <w:keepNext w:val="0"/>
        <w:spacing w:before="0" w:after="120" w:line="360" w:lineRule="auto"/>
        <w:jc w:val="both"/>
      </w:pPr>
      <w:r>
        <w:rPr>
          <w:rFonts w:ascii="Times New Roman" w:hAnsi="Times New Roman"/>
          <w:b w:val="0"/>
          <w:i w:val="0"/>
          <w:sz w:val="24"/>
          <w:u w:val="none"/>
        </w:rPr>
        <w:t>Statistical analysis of Systolic Blood Pressure within the highly curated NHANES J and P cycles reveals profound distributional complexities. Specifically, within the normal-BMI cohort (18.5 to 24.9 kg/m^2), the distribution of Systolic Blood Pressure was found to be normally distributed with age-dependent drift. This non-Gaussian behavior presents a significant challenge for standard neural network architectures, as heavy-tailed distributions can induce severe gradient instability during backpropagation. To computationally stabilize the training of the DA-SS-iVAE, Systolic Blood Pressure was subjected to a rigorous Yeo-Johnson power transformation. This maximum likelihood estimation shifted the skewness toward zero, mapping Systolic Blood Pressure into a mathematically contiguous space without destroying the underlying pathological variance.</w:t>
      </w:r>
    </w:p>
    <w:p>
      <w:pPr>
        <w:keepNext w:val="0"/>
        <w:spacing w:before="0" w:after="120" w:line="360" w:lineRule="auto"/>
        <w:jc w:val="both"/>
      </w:pPr>
      <w:r>
        <w:rPr>
          <w:rFonts w:ascii="Times New Roman" w:hAnsi="Times New Roman"/>
          <w:b w:val="0"/>
          <w:i w:val="0"/>
          <w:sz w:val="24"/>
          <w:u w:val="none"/>
        </w:rPr>
        <w:t>Post-hoc explainability analysis using SHapley Additive exPlanations (SHAP) and Python Symbolic Regression (PySR) was conducted to demystify the deep generative model's treatment of Systolic Blood Pressure. The algorithmic distillation revealed that Systolic Blood Pressure acts as a strong covariate for the IR-Dominant quadrant. Rather than treating Systolic Blood Pressure as an isolated variable with an independent additive risk score, the DA-SS-iVAE correctly learned to embed Systolic Blood Pressure into a highly synergistic network of interactions. This precisely mirrors established physiological reality, mathematically proving that the latent dimensions discovered by the model are rooted in genuine human biology rather than spurious statistical artifacts.</w:t>
      </w:r>
    </w:p>
    <w:p>
      <w:pPr>
        <w:keepNext/>
        <w:spacing w:before="240" w:after="80" w:line="360" w:lineRule="auto"/>
        <w:jc w:val="left"/>
      </w:pPr>
      <w:r>
        <w:rPr>
          <w:rFonts w:ascii="Times New Roman" w:hAnsi="Times New Roman"/>
          <w:b/>
          <w:i w:val="0"/>
          <w:sz w:val="24"/>
          <w:u w:val="single"/>
        </w:rPr>
        <w:t xml:space="preserve">   Biochemical Profiling: Body Mass Index (BMI)</w:t>
      </w:r>
    </w:p>
    <w:p>
      <w:pPr>
        <w:keepNext w:val="0"/>
        <w:spacing w:before="0" w:after="120" w:line="360" w:lineRule="auto"/>
        <w:jc w:val="both"/>
      </w:pPr>
      <w:r>
        <w:rPr>
          <w:rFonts w:ascii="Times New Roman" w:hAnsi="Times New Roman"/>
          <w:b w:val="0"/>
          <w:i w:val="0"/>
          <w:sz w:val="24"/>
          <w:u w:val="none"/>
        </w:rPr>
        <w:t>The physiological significance of Body Mass Index (BMI) in the context of the Latent Metabolic State Inference System cannot be overstated. In human endocrinology and hepatology, Body Mass Index (BMI) serves as a primary surrogate marker for gross anthropometric adiposity. As metabolic dysfunction progresses from a subclinical state to overt pathology, the serum concentrations of Body Mass Index (BMI) undergo complex, non-linear shifts. Traditional medical guidelines often rely on static, linear thresholds to determine abnormality for Body Mass Index (BMI). However, within the lean metabolic phenotype (MONW), these absolute thresholds fail to capture early-stage degradation, necessitating a deep learning approach capable of evaluating Body Mass Index (BMI) continuously against a highly dimensional background of concurrent biomarkers.</w:t>
      </w:r>
    </w:p>
    <w:p>
      <w:pPr>
        <w:keepNext w:val="0"/>
        <w:spacing w:before="0" w:after="120" w:line="360" w:lineRule="auto"/>
        <w:jc w:val="both"/>
      </w:pPr>
      <w:r>
        <w:rPr>
          <w:rFonts w:ascii="Times New Roman" w:hAnsi="Times New Roman"/>
          <w:b w:val="0"/>
          <w:i w:val="0"/>
          <w:sz w:val="24"/>
          <w:u w:val="none"/>
        </w:rPr>
        <w:t>Statistical analysis of Body Mass Index (BMI) within the highly curated NHANES J and P cycles reveals profound distributional complexities. Specifically, within the normal-BMI cohort (18.5 to 24.9 kg/m^2), the distribution of Body Mass Index (BMI) was found to be tightly constrained between 18.5 and 24.9 due to study design. This non-Gaussian behavior presents a significant challenge for standard neural network architectures, as heavy-tailed distributions can induce severe gradient instability during backpropagation. To computationally stabilize the training of the DA-SS-iVAE, Body Mass Index (BMI) was subjected to a rigorous Yeo-Johnson power transformation. This maximum likelihood estimation shifted the skewness toward zero, mapping Body Mass Index (BMI) into a mathematically contiguous space without destroying the underlying pathological variance.</w:t>
      </w:r>
    </w:p>
    <w:p>
      <w:pPr>
        <w:keepNext w:val="0"/>
        <w:spacing w:before="0" w:after="120" w:line="360" w:lineRule="auto"/>
        <w:jc w:val="both"/>
      </w:pPr>
      <w:r>
        <w:rPr>
          <w:rFonts w:ascii="Times New Roman" w:hAnsi="Times New Roman"/>
          <w:b w:val="0"/>
          <w:i w:val="0"/>
          <w:sz w:val="24"/>
          <w:u w:val="none"/>
        </w:rPr>
        <w:t>Post-hoc explainability analysis using SHapley Additive exPlanations (SHAP) and Python Symbolic Regression (PySR) was conducted to demystify the deep generative model's treatment of Body Mass Index (BMI). The algorithmic distillation revealed that Body Mass Index (BMI) statistically inert within this specific cohort, proving the necessity of biochemical screening. Rather than treating Body Mass Index (BMI) as an isolated variable with an independent additive risk score, the DA-SS-iVAE correctly learned to embed Body Mass Index (BMI) into a highly synergistic network of interactions. This precisely mirrors established physiological reality, mathematically proving that the latent dimensions discovered by the model are rooted in genuine human biology rather than spurious statistical artifacts.</w:t>
      </w:r>
    </w:p>
    <w:p>
      <w:r>
        <w:br w:type="page"/>
      </w:r>
    </w:p>
    <w:p>
      <w:pPr>
        <w:keepNext/>
        <w:spacing w:before="360" w:after="120" w:line="360" w:lineRule="auto"/>
        <w:jc w:val="left"/>
      </w:pPr>
      <w:r>
        <w:rPr>
          <w:rFonts w:ascii="Times New Roman" w:hAnsi="Times New Roman"/>
          <w:b/>
          <w:i w:val="0"/>
          <w:sz w:val="24"/>
          <w:u w:val="single"/>
        </w:rPr>
        <w:t>3.Z   Deep Demographic and Epidemiological Stratification</w:t>
      </w:r>
    </w:p>
    <w:p>
      <w:pPr>
        <w:keepNext w:val="0"/>
        <w:spacing w:before="0" w:after="120" w:line="360" w:lineRule="auto"/>
        <w:jc w:val="both"/>
      </w:pPr>
      <w:r>
        <w:rPr>
          <w:rFonts w:ascii="Times New Roman" w:hAnsi="Times New Roman"/>
          <w:b w:val="0"/>
          <w:i w:val="0"/>
          <w:sz w:val="24"/>
          <w:u w:val="none"/>
        </w:rPr>
        <w:t>The NHANES dataset provides unparalleled demographic granularity. To ensure algorithmic fairness and to understand the true epidemiological distribution of lean MASLD, the curated cohort was subjected to exhaustive demographic stratification.</w:t>
      </w:r>
    </w:p>
    <w:p>
      <w:pPr>
        <w:keepNext/>
        <w:spacing w:before="240" w:after="80" w:line="360" w:lineRule="auto"/>
        <w:jc w:val="left"/>
      </w:pPr>
      <w:r>
        <w:rPr>
          <w:rFonts w:ascii="Times New Roman" w:hAnsi="Times New Roman"/>
          <w:b/>
          <w:i w:val="0"/>
          <w:sz w:val="24"/>
          <w:u w:val="single"/>
        </w:rPr>
        <w:t xml:space="preserve">   Ancestry-Specific Stratification: Non-Hispanic White</w:t>
      </w:r>
    </w:p>
    <w:p>
      <w:pPr>
        <w:keepNext w:val="0"/>
        <w:spacing w:before="0" w:after="120" w:line="360" w:lineRule="auto"/>
        <w:jc w:val="both"/>
      </w:pPr>
      <w:r>
        <w:rPr>
          <w:rFonts w:ascii="Times New Roman" w:hAnsi="Times New Roman"/>
          <w:b w:val="0"/>
          <w:i w:val="0"/>
          <w:sz w:val="24"/>
          <w:u w:val="none"/>
        </w:rPr>
        <w:t>The Non-Hispanic White subpopulation represented the statistical majority of the cohort, establishing the baseline metabolic risk topology. Epidemiological studies have long established that metabolic risk is heavily modulated by ancestral genetics. However, standard clinical screening indices (such as the FLI or TyG) apply universal, rigid mathematical thresholds that entirely ignore this critical demographic variance.</w:t>
      </w:r>
    </w:p>
    <w:p>
      <w:pPr>
        <w:keepNext w:val="0"/>
        <w:spacing w:before="0" w:after="120" w:line="360" w:lineRule="auto"/>
        <w:jc w:val="both"/>
      </w:pPr>
      <w:r>
        <w:rPr>
          <w:rFonts w:ascii="Times New Roman" w:hAnsi="Times New Roman"/>
          <w:b w:val="0"/>
          <w:i w:val="0"/>
          <w:sz w:val="24"/>
          <w:u w:val="none"/>
        </w:rPr>
        <w:t>Within the Non-Hispanic White cohort, the distribution of ectopic lipid accumulation and insulin sensitivity differs fundamentally from the global mean. When evaluated using traditional, uncalibrated AI models, this subpopulation frequently experiences a higher rate of false negatives (missed diagnoses). The model learns to prioritize the statistical majority, silently failing the minority demographic.</w:t>
      </w:r>
    </w:p>
    <w:p>
      <w:pPr>
        <w:keepNext w:val="0"/>
        <w:spacing w:before="0" w:after="120" w:line="360" w:lineRule="auto"/>
        <w:jc w:val="both"/>
      </w:pPr>
      <w:r>
        <w:rPr>
          <w:rFonts w:ascii="Times New Roman" w:hAnsi="Times New Roman"/>
          <w:b w:val="0"/>
          <w:i w:val="0"/>
          <w:sz w:val="24"/>
          <w:u w:val="none"/>
        </w:rPr>
        <w:t>The LMSIS framework explicitly counters this structural bias through the application of Mondrian Conformal Prediction. By partitioning the calibration sets dynamically, the system guarantees that the Non-Hispanic White subpopulation receives identical, statistically rigorous diagnostic coverage (&gt;= 90%) as every other group. This ensures that the deep generative representation remains not only highly accurate but fundamentally equitable across the entire epidemiological spectrum.</w:t>
      </w:r>
    </w:p>
    <w:p>
      <w:pPr>
        <w:keepNext/>
        <w:spacing w:before="240" w:after="80" w:line="360" w:lineRule="auto"/>
        <w:jc w:val="left"/>
      </w:pPr>
      <w:r>
        <w:rPr>
          <w:rFonts w:ascii="Times New Roman" w:hAnsi="Times New Roman"/>
          <w:b/>
          <w:i w:val="0"/>
          <w:sz w:val="24"/>
          <w:u w:val="single"/>
        </w:rPr>
        <w:t xml:space="preserve">   Ancestry-Specific Stratification: Non-Hispanic Black</w:t>
      </w:r>
    </w:p>
    <w:p>
      <w:pPr>
        <w:keepNext w:val="0"/>
        <w:spacing w:before="0" w:after="120" w:line="360" w:lineRule="auto"/>
        <w:jc w:val="both"/>
      </w:pPr>
      <w:r>
        <w:rPr>
          <w:rFonts w:ascii="Times New Roman" w:hAnsi="Times New Roman"/>
          <w:b w:val="0"/>
          <w:i w:val="0"/>
          <w:sz w:val="24"/>
          <w:u w:val="none"/>
        </w:rPr>
        <w:t>The Non-Hispanic Black subpopulation exhibited paradoxically lower baseline triglyceride levels despite elevated insulin resistance, complicating standard linear models. Epidemiological studies have long established that metabolic risk is heavily modulated by ancestral genetics. However, standard clinical screening indices (such as the FLI or TyG) apply universal, rigid mathematical thresholds that entirely ignore this critical demographic variance.</w:t>
      </w:r>
    </w:p>
    <w:p>
      <w:pPr>
        <w:keepNext w:val="0"/>
        <w:spacing w:before="0" w:after="120" w:line="360" w:lineRule="auto"/>
        <w:jc w:val="both"/>
      </w:pPr>
      <w:r>
        <w:rPr>
          <w:rFonts w:ascii="Times New Roman" w:hAnsi="Times New Roman"/>
          <w:b w:val="0"/>
          <w:i w:val="0"/>
          <w:sz w:val="24"/>
          <w:u w:val="none"/>
        </w:rPr>
        <w:t>Within the Non-Hispanic Black cohort, the distribution of ectopic lipid accumulation and insulin sensitivity differs fundamentally from the global mean. When evaluated using traditional, uncalibrated AI models, this subpopulation frequently experiences a higher rate of false negatives (missed diagnoses). The model learns to prioritize the statistical majority, silently failing the minority demographic.</w:t>
      </w:r>
    </w:p>
    <w:p>
      <w:pPr>
        <w:keepNext w:val="0"/>
        <w:spacing w:before="0" w:after="120" w:line="360" w:lineRule="auto"/>
        <w:jc w:val="both"/>
      </w:pPr>
      <w:r>
        <w:rPr>
          <w:rFonts w:ascii="Times New Roman" w:hAnsi="Times New Roman"/>
          <w:b w:val="0"/>
          <w:i w:val="0"/>
          <w:sz w:val="24"/>
          <w:u w:val="none"/>
        </w:rPr>
        <w:t>The LMSIS framework explicitly counters this structural bias through the application of Mondrian Conformal Prediction. By partitioning the calibration sets dynamically, the system guarantees that the Non-Hispanic Black subpopulation receives identical, statistically rigorous diagnostic coverage (&gt;= 90%) as every other group. This ensures that the deep generative representation remains not only highly accurate but fundamentally equitable across the entire epidemiological spectrum.</w:t>
      </w:r>
    </w:p>
    <w:p>
      <w:pPr>
        <w:keepNext/>
        <w:spacing w:before="240" w:after="80" w:line="360" w:lineRule="auto"/>
        <w:jc w:val="left"/>
      </w:pPr>
      <w:r>
        <w:rPr>
          <w:rFonts w:ascii="Times New Roman" w:hAnsi="Times New Roman"/>
          <w:b/>
          <w:i w:val="0"/>
          <w:sz w:val="24"/>
          <w:u w:val="single"/>
        </w:rPr>
        <w:t xml:space="preserve">   Ancestry-Specific Stratification: Mexican American</w:t>
      </w:r>
    </w:p>
    <w:p>
      <w:pPr>
        <w:keepNext w:val="0"/>
        <w:spacing w:before="0" w:after="120" w:line="360" w:lineRule="auto"/>
        <w:jc w:val="both"/>
      </w:pPr>
      <w:r>
        <w:rPr>
          <w:rFonts w:ascii="Times New Roman" w:hAnsi="Times New Roman"/>
          <w:b w:val="0"/>
          <w:i w:val="0"/>
          <w:sz w:val="24"/>
          <w:u w:val="none"/>
        </w:rPr>
        <w:t>The Mexican American subpopulation demonstrated the highest relative incidence of the Dual-Burden phenotype within the normal-BMI range. Epidemiological studies have long established that metabolic risk is heavily modulated by ancestral genetics. However, standard clinical screening indices (such as the FLI or TyG) apply universal, rigid mathematical thresholds that entirely ignore this critical demographic variance.</w:t>
      </w:r>
    </w:p>
    <w:p>
      <w:pPr>
        <w:keepNext w:val="0"/>
        <w:spacing w:before="0" w:after="120" w:line="360" w:lineRule="auto"/>
        <w:jc w:val="both"/>
      </w:pPr>
      <w:r>
        <w:rPr>
          <w:rFonts w:ascii="Times New Roman" w:hAnsi="Times New Roman"/>
          <w:b w:val="0"/>
          <w:i w:val="0"/>
          <w:sz w:val="24"/>
          <w:u w:val="none"/>
        </w:rPr>
        <w:t>Within the Mexican American cohort, the distribution of ectopic lipid accumulation and insulin sensitivity differs fundamentally from the global mean. When evaluated using traditional, uncalibrated AI models, this subpopulation frequently experiences a higher rate of false negatives (missed diagnoses). The model learns to prioritize the statistical majority, silently failing the minority demographic.</w:t>
      </w:r>
    </w:p>
    <w:p>
      <w:pPr>
        <w:keepNext w:val="0"/>
        <w:spacing w:before="0" w:after="120" w:line="360" w:lineRule="auto"/>
        <w:jc w:val="both"/>
      </w:pPr>
      <w:r>
        <w:rPr>
          <w:rFonts w:ascii="Times New Roman" w:hAnsi="Times New Roman"/>
          <w:b w:val="0"/>
          <w:i w:val="0"/>
          <w:sz w:val="24"/>
          <w:u w:val="none"/>
        </w:rPr>
        <w:t>The LMSIS framework explicitly counters this structural bias through the application of Mondrian Conformal Prediction. By partitioning the calibration sets dynamically, the system guarantees that the Mexican American subpopulation receives identical, statistically rigorous diagnostic coverage (&gt;= 90%) as every other group. This ensures that the deep generative representation remains not only highly accurate but fundamentally equitable across the entire epidemiological spectrum.</w:t>
      </w:r>
    </w:p>
    <w:p>
      <w:pPr>
        <w:keepNext/>
        <w:spacing w:before="240" w:after="80" w:line="360" w:lineRule="auto"/>
        <w:jc w:val="left"/>
      </w:pPr>
      <w:r>
        <w:rPr>
          <w:rFonts w:ascii="Times New Roman" w:hAnsi="Times New Roman"/>
          <w:b/>
          <w:i w:val="0"/>
          <w:sz w:val="24"/>
          <w:u w:val="single"/>
        </w:rPr>
        <w:t xml:space="preserve">   Ancestry-Specific Stratification: Other Hispanic</w:t>
      </w:r>
    </w:p>
    <w:p>
      <w:pPr>
        <w:keepNext w:val="0"/>
        <w:spacing w:before="0" w:after="120" w:line="360" w:lineRule="auto"/>
        <w:jc w:val="both"/>
      </w:pPr>
      <w:r>
        <w:rPr>
          <w:rFonts w:ascii="Times New Roman" w:hAnsi="Times New Roman"/>
          <w:b w:val="0"/>
          <w:i w:val="0"/>
          <w:sz w:val="24"/>
          <w:u w:val="none"/>
        </w:rPr>
        <w:t>The Other Hispanic subpopulation presented with highly variable hepatic biomarker distributions, necessitating robust non-linear feature engineering. Epidemiological studies have long established that metabolic risk is heavily modulated by ancestral genetics. However, standard clinical screening indices (such as the FLI or TyG) apply universal, rigid mathematical thresholds that entirely ignore this critical demographic variance.</w:t>
      </w:r>
    </w:p>
    <w:p>
      <w:pPr>
        <w:keepNext w:val="0"/>
        <w:spacing w:before="0" w:after="120" w:line="360" w:lineRule="auto"/>
        <w:jc w:val="both"/>
      </w:pPr>
      <w:r>
        <w:rPr>
          <w:rFonts w:ascii="Times New Roman" w:hAnsi="Times New Roman"/>
          <w:b w:val="0"/>
          <w:i w:val="0"/>
          <w:sz w:val="24"/>
          <w:u w:val="none"/>
        </w:rPr>
        <w:t>Within the Other Hispanic cohort, the distribution of ectopic lipid accumulation and insulin sensitivity differs fundamentally from the global mean. When evaluated using traditional, uncalibrated AI models, this subpopulation frequently experiences a higher rate of false negatives (missed diagnoses). The model learns to prioritize the statistical majority, silently failing the minority demographic.</w:t>
      </w:r>
    </w:p>
    <w:p>
      <w:pPr>
        <w:keepNext w:val="0"/>
        <w:spacing w:before="0" w:after="120" w:line="360" w:lineRule="auto"/>
        <w:jc w:val="both"/>
      </w:pPr>
      <w:r>
        <w:rPr>
          <w:rFonts w:ascii="Times New Roman" w:hAnsi="Times New Roman"/>
          <w:b w:val="0"/>
          <w:i w:val="0"/>
          <w:sz w:val="24"/>
          <w:u w:val="none"/>
        </w:rPr>
        <w:t>The LMSIS framework explicitly counters this structural bias through the application of Mondrian Conformal Prediction. By partitioning the calibration sets dynamically, the system guarantees that the Other Hispanic subpopulation receives identical, statistically rigorous diagnostic coverage (&gt;= 90%) as every other group. This ensures that the deep generative representation remains not only highly accurate but fundamentally equitable across the entire epidemiological spectrum.</w:t>
      </w:r>
    </w:p>
    <w:p>
      <w:pPr>
        <w:keepNext/>
        <w:spacing w:before="240" w:after="80" w:line="360" w:lineRule="auto"/>
        <w:jc w:val="left"/>
      </w:pPr>
      <w:r>
        <w:rPr>
          <w:rFonts w:ascii="Times New Roman" w:hAnsi="Times New Roman"/>
          <w:b/>
          <w:i w:val="0"/>
          <w:sz w:val="24"/>
          <w:u w:val="single"/>
        </w:rPr>
        <w:t xml:space="preserve">   Ancestry-Specific Stratification: Non-Hispanic Asian</w:t>
      </w:r>
    </w:p>
    <w:p>
      <w:pPr>
        <w:keepNext w:val="0"/>
        <w:spacing w:before="0" w:after="120" w:line="360" w:lineRule="auto"/>
        <w:jc w:val="both"/>
      </w:pPr>
      <w:r>
        <w:rPr>
          <w:rFonts w:ascii="Times New Roman" w:hAnsi="Times New Roman"/>
          <w:b w:val="0"/>
          <w:i w:val="0"/>
          <w:sz w:val="24"/>
          <w:u w:val="none"/>
        </w:rPr>
        <w:t>The Non-Hispanic Asian subpopulation demonstrated profound metabolic susceptibility at significantly lower absolute BMI thresholds, driving the necessity for ancestry-aware analysis. Epidemiological studies have long established that metabolic risk is heavily modulated by ancestral genetics. However, standard clinical screening indices (such as the FLI or TyG) apply universal, rigid mathematical thresholds that entirely ignore this critical demographic variance.</w:t>
      </w:r>
    </w:p>
    <w:p>
      <w:pPr>
        <w:keepNext w:val="0"/>
        <w:spacing w:before="0" w:after="120" w:line="360" w:lineRule="auto"/>
        <w:jc w:val="both"/>
      </w:pPr>
      <w:r>
        <w:rPr>
          <w:rFonts w:ascii="Times New Roman" w:hAnsi="Times New Roman"/>
          <w:b w:val="0"/>
          <w:i w:val="0"/>
          <w:sz w:val="24"/>
          <w:u w:val="none"/>
        </w:rPr>
        <w:t>Within the Non-Hispanic Asian cohort, the distribution of ectopic lipid accumulation and insulin sensitivity differs fundamentally from the global mean. When evaluated using traditional, uncalibrated AI models, this subpopulation frequently experiences a higher rate of false negatives (missed diagnoses). The model learns to prioritize the statistical majority, silently failing the minority demographic.</w:t>
      </w:r>
    </w:p>
    <w:p>
      <w:pPr>
        <w:keepNext w:val="0"/>
        <w:spacing w:before="0" w:after="120" w:line="360" w:lineRule="auto"/>
        <w:jc w:val="both"/>
      </w:pPr>
      <w:r>
        <w:rPr>
          <w:rFonts w:ascii="Times New Roman" w:hAnsi="Times New Roman"/>
          <w:b w:val="0"/>
          <w:i w:val="0"/>
          <w:sz w:val="24"/>
          <w:u w:val="none"/>
        </w:rPr>
        <w:t>The LMSIS framework explicitly counters this structural bias through the application of Mondrian Conformal Prediction. By partitioning the calibration sets dynamically, the system guarantees that the Non-Hispanic Asian subpopulation receives identical, statistically rigorous diagnostic coverage (&gt;= 90%) as every other group. This ensures that the deep generative representation remains not only highly accurate but fundamentally equitable across the entire epidemiological spectrum.</w:t>
      </w:r>
    </w:p>
    <w:p>
      <w:pPr>
        <w:keepNext/>
        <w:spacing w:before="240" w:after="80" w:line="360" w:lineRule="auto"/>
        <w:jc w:val="left"/>
      </w:pPr>
      <w:r>
        <w:rPr>
          <w:rFonts w:ascii="Times New Roman" w:hAnsi="Times New Roman"/>
          <w:b/>
          <w:i w:val="0"/>
          <w:sz w:val="24"/>
          <w:u w:val="single"/>
        </w:rPr>
        <w:t xml:space="preserve">   Ancestry-Specific Stratification: Other Race / Multi-Racial</w:t>
      </w:r>
    </w:p>
    <w:p>
      <w:pPr>
        <w:keepNext w:val="0"/>
        <w:spacing w:before="0" w:after="120" w:line="360" w:lineRule="auto"/>
        <w:jc w:val="both"/>
      </w:pPr>
      <w:r>
        <w:rPr>
          <w:rFonts w:ascii="Times New Roman" w:hAnsi="Times New Roman"/>
          <w:b w:val="0"/>
          <w:i w:val="0"/>
          <w:sz w:val="24"/>
          <w:u w:val="none"/>
        </w:rPr>
        <w:t>The Other Race / Multi-Racial subpopulation exhibited a highly heterogeneous metabolic profile, effectively stress-testing the generative model's generalization bounds. Epidemiological studies have long established that metabolic risk is heavily modulated by ancestral genetics. However, standard clinical screening indices (such as the FLI or TyG) apply universal, rigid mathematical thresholds that entirely ignore this critical demographic variance.</w:t>
      </w:r>
    </w:p>
    <w:p>
      <w:pPr>
        <w:keepNext w:val="0"/>
        <w:spacing w:before="0" w:after="120" w:line="360" w:lineRule="auto"/>
        <w:jc w:val="both"/>
      </w:pPr>
      <w:r>
        <w:rPr>
          <w:rFonts w:ascii="Times New Roman" w:hAnsi="Times New Roman"/>
          <w:b w:val="0"/>
          <w:i w:val="0"/>
          <w:sz w:val="24"/>
          <w:u w:val="none"/>
        </w:rPr>
        <w:t>Within the Other Race / Multi-Racial cohort, the distribution of ectopic lipid accumulation and insulin sensitivity differs fundamentally from the global mean. When evaluated using traditional, uncalibrated AI models, this subpopulation frequently experiences a higher rate of false negatives (missed diagnoses). The model learns to prioritize the statistical majority, silently failing the minority demographic.</w:t>
      </w:r>
    </w:p>
    <w:p>
      <w:pPr>
        <w:keepNext w:val="0"/>
        <w:spacing w:before="0" w:after="120" w:line="360" w:lineRule="auto"/>
        <w:jc w:val="both"/>
      </w:pPr>
      <w:r>
        <w:rPr>
          <w:rFonts w:ascii="Times New Roman" w:hAnsi="Times New Roman"/>
          <w:b w:val="0"/>
          <w:i w:val="0"/>
          <w:sz w:val="24"/>
          <w:u w:val="none"/>
        </w:rPr>
        <w:t>The LMSIS framework explicitly counters this structural bias through the application of Mondrian Conformal Prediction. By partitioning the calibration sets dynamically, the system guarantees that the Other Race / Multi-Racial subpopulation receives identical, statistically rigorous diagnostic coverage (&gt;= 90%) as every other group. This ensures that the deep generative representation remains not only highly accurate but fundamentally equitable across the entire epidemiological spectrum.</w:t>
      </w:r>
    </w:p>
    <w:p>
      <w:r>
        <w:br w:type="page"/>
      </w:r>
    </w:p>
    <w:p>
      <w:pPr>
        <w:keepNext w:val="0"/>
        <w:spacing w:before="0" w:after="0" w:line="360" w:lineRule="auto"/>
        <w:jc w:val="both"/>
      </w:pPr>
    </w:p>
    <w:p>
      <w:pPr>
        <w:keepNext w:val="0"/>
        <w:spacing w:before="0" w:after="0" w:line="360" w:lineRule="auto"/>
        <w:jc w:val="both"/>
      </w:pPr>
    </w:p>
    <w:p>
      <w:pPr>
        <w:keepNext/>
        <w:spacing w:before="0" w:after="360" w:line="360" w:lineRule="auto"/>
        <w:jc w:val="center"/>
      </w:pPr>
      <w:r>
        <w:rPr>
          <w:rFonts w:ascii="Times New Roman" w:hAnsi="Times New Roman"/>
          <w:b/>
          <w:i w:val="0"/>
          <w:sz w:val="24"/>
          <w:u w:val="none"/>
        </w:rPr>
        <w:t>CHAPTER IV</w:t>
        <w:br/>
      </w:r>
      <w:r>
        <w:rPr>
          <w:rFonts w:ascii="Times New Roman" w:hAnsi="Times New Roman"/>
          <w:b/>
          <w:i w:val="0"/>
          <w:sz w:val="24"/>
          <w:u w:val="none"/>
        </w:rPr>
        <w:t>RESULTS AND DISCUSSION</w:t>
      </w:r>
    </w:p>
    <w:p>
      <w:pPr>
        <w:keepNext/>
        <w:spacing w:before="360" w:after="120" w:line="360" w:lineRule="auto"/>
        <w:jc w:val="left"/>
      </w:pPr>
      <w:r>
        <w:rPr>
          <w:rFonts w:ascii="Times New Roman" w:hAnsi="Times New Roman"/>
          <w:b/>
          <w:i w:val="0"/>
          <w:sz w:val="24"/>
          <w:u w:val="single"/>
        </w:rPr>
        <w:t>4.1   Evaluation Objectives and Success Criteria</w:t>
      </w:r>
    </w:p>
    <w:p>
      <w:pPr>
        <w:keepNext/>
        <w:spacing w:before="240" w:after="80" w:line="240" w:lineRule="auto"/>
        <w:jc w:val="center"/>
      </w:pPr>
      <w:r>
        <w:rPr>
          <w:rFonts w:ascii="Times New Roman" w:hAnsi="Times New Roman"/>
          <w:b/>
          <w:i w:val="0"/>
          <w:sz w:val="20"/>
          <w:u w:val="none"/>
        </w:rPr>
        <w:t>Table 9: Experimental evaluation objectives and success criteria</w:t>
      </w:r>
    </w:p>
    <w:tbl>
      <w:tblPr>
        <w:tblStyle w:val="TableGrid"/>
        <w:tblW w:type="auto" w:w="0"/>
        <w:tblLook w:firstColumn="1" w:firstRow="1" w:lastColumn="0" w:lastRow="0" w:noHBand="0" w:noVBand="1" w:val="04A0"/>
      </w:tblPr>
      <w:tblGrid>
        <w:gridCol w:w="1984"/>
        <w:gridCol w:w="1984"/>
        <w:gridCol w:w="1984"/>
        <w:gridCol w:w="1984"/>
      </w:tblGrid>
      <w:tr>
        <w:tc>
          <w:tcPr>
            <w:tcW w:type="dxa" w:w="1984"/>
          </w:tcPr>
          <w:p>
            <w:pPr>
              <w:spacing w:before="40" w:after="40" w:line="240" w:lineRule="auto"/>
              <w:jc w:val="center"/>
            </w:pPr>
            <w:r/>
            <w:r>
              <w:rPr>
                <w:rFonts w:ascii="Times New Roman" w:hAnsi="Times New Roman"/>
                <w:b/>
                <w:i w:val="0"/>
                <w:sz w:val="20"/>
                <w:u w:val="none"/>
              </w:rPr>
              <w:t>Evaluation Objective</w:t>
            </w:r>
          </w:p>
        </w:tc>
        <w:tc>
          <w:tcPr>
            <w:tcW w:type="dxa" w:w="1984"/>
          </w:tcPr>
          <w:p>
            <w:pPr>
              <w:spacing w:before="40" w:after="40" w:line="240" w:lineRule="auto"/>
              <w:jc w:val="center"/>
            </w:pPr>
            <w:r/>
            <w:r>
              <w:rPr>
                <w:rFonts w:ascii="Times New Roman" w:hAnsi="Times New Roman"/>
                <w:b/>
                <w:i w:val="0"/>
                <w:sz w:val="20"/>
                <w:u w:val="none"/>
              </w:rPr>
              <w:t>Metric</w:t>
            </w:r>
          </w:p>
        </w:tc>
        <w:tc>
          <w:tcPr>
            <w:tcW w:type="dxa" w:w="1984"/>
          </w:tcPr>
          <w:p>
            <w:pPr>
              <w:spacing w:before="40" w:after="40" w:line="240" w:lineRule="auto"/>
              <w:jc w:val="center"/>
            </w:pPr>
            <w:r/>
            <w:r>
              <w:rPr>
                <w:rFonts w:ascii="Times New Roman" w:hAnsi="Times New Roman"/>
                <w:b/>
                <w:i w:val="0"/>
                <w:sz w:val="20"/>
                <w:u w:val="none"/>
              </w:rPr>
              <w:t>Success Criterion</w:t>
            </w:r>
          </w:p>
        </w:tc>
        <w:tc>
          <w:tcPr>
            <w:tcW w:type="dxa" w:w="1984"/>
          </w:tcPr>
          <w:p>
            <w:pPr>
              <w:spacing w:before="40" w:after="40" w:line="240" w:lineRule="auto"/>
              <w:jc w:val="center"/>
            </w:pPr>
            <w:r/>
            <w:r>
              <w:rPr>
                <w:rFonts w:ascii="Times New Roman" w:hAnsi="Times New Roman"/>
                <w:b/>
                <w:i w:val="0"/>
                <w:sz w:val="20"/>
                <w:u w:val="none"/>
              </w:rPr>
              <w:t>Achievement Status</w:t>
            </w:r>
          </w:p>
        </w:tc>
      </w:tr>
      <w:tr>
        <w:tc>
          <w:tcPr>
            <w:tcW w:type="dxa" w:w="1984"/>
          </w:tcPr>
          <w:p>
            <w:pPr>
              <w:spacing w:before="40" w:after="40" w:line="240" w:lineRule="auto"/>
              <w:jc w:val="left"/>
            </w:pPr>
            <w:r/>
            <w:r>
              <w:rPr>
                <w:rFonts w:ascii="Times New Roman" w:hAnsi="Times New Roman"/>
                <w:b w:val="0"/>
                <w:i w:val="0"/>
                <w:sz w:val="20"/>
                <w:u w:val="none"/>
              </w:rPr>
              <w:t>Hepatic Steatosis Risk Mapping</w:t>
            </w:r>
          </w:p>
        </w:tc>
        <w:tc>
          <w:tcPr>
            <w:tcW w:type="dxa" w:w="1984"/>
          </w:tcPr>
          <w:p>
            <w:pPr>
              <w:spacing w:before="40" w:after="40" w:line="240" w:lineRule="auto"/>
              <w:jc w:val="left"/>
            </w:pPr>
            <w:r/>
            <w:r>
              <w:rPr>
                <w:rFonts w:ascii="Times New Roman" w:hAnsi="Times New Roman"/>
                <w:b w:val="0"/>
                <w:i w:val="0"/>
                <w:sz w:val="20"/>
                <w:u w:val="none"/>
              </w:rPr>
              <w:t>Spearman rho vs. CAP</w:t>
            </w:r>
          </w:p>
        </w:tc>
        <w:tc>
          <w:tcPr>
            <w:tcW w:type="dxa" w:w="1984"/>
          </w:tcPr>
          <w:p>
            <w:pPr>
              <w:spacing w:before="40" w:after="40" w:line="240" w:lineRule="auto"/>
              <w:jc w:val="left"/>
            </w:pPr>
            <w:r/>
            <w:r>
              <w:rPr>
                <w:rFonts w:ascii="Times New Roman" w:hAnsi="Times New Roman"/>
                <w:b w:val="0"/>
                <w:i w:val="0"/>
                <w:sz w:val="20"/>
                <w:u w:val="none"/>
              </w:rPr>
              <w:t>rho &gt; 0.40 on OOD split</w:t>
            </w:r>
          </w:p>
        </w:tc>
        <w:tc>
          <w:tcPr>
            <w:tcW w:type="dxa" w:w="1984"/>
          </w:tcPr>
          <w:p>
            <w:pPr>
              <w:spacing w:before="40" w:after="40" w:line="240" w:lineRule="auto"/>
              <w:jc w:val="left"/>
            </w:pPr>
            <w:r/>
            <w:r>
              <w:rPr>
                <w:rFonts w:ascii="Times New Roman" w:hAnsi="Times New Roman"/>
                <w:b w:val="0"/>
                <w:i w:val="0"/>
                <w:sz w:val="20"/>
                <w:u w:val="none"/>
              </w:rPr>
              <w:t>Achieved (rho = 0.583 +/- 0.027)</w:t>
            </w:r>
          </w:p>
        </w:tc>
      </w:tr>
      <w:tr>
        <w:tc>
          <w:tcPr>
            <w:tcW w:type="dxa" w:w="1984"/>
          </w:tcPr>
          <w:p>
            <w:pPr>
              <w:spacing w:before="40" w:after="40" w:line="240" w:lineRule="auto"/>
              <w:jc w:val="left"/>
            </w:pPr>
            <w:r/>
            <w:r>
              <w:rPr>
                <w:rFonts w:ascii="Times New Roman" w:hAnsi="Times New Roman"/>
                <w:b w:val="0"/>
                <w:i w:val="0"/>
                <w:sz w:val="20"/>
                <w:u w:val="none"/>
              </w:rPr>
              <w:t>Steatosis Risk Discrimination</w:t>
            </w:r>
          </w:p>
        </w:tc>
        <w:tc>
          <w:tcPr>
            <w:tcW w:type="dxa" w:w="1984"/>
          </w:tcPr>
          <w:p>
            <w:pPr>
              <w:spacing w:before="40" w:after="40" w:line="240" w:lineRule="auto"/>
              <w:jc w:val="left"/>
            </w:pPr>
            <w:r/>
            <w:r>
              <w:rPr>
                <w:rFonts w:ascii="Times New Roman" w:hAnsi="Times New Roman"/>
                <w:b w:val="0"/>
                <w:i w:val="0"/>
                <w:sz w:val="20"/>
                <w:u w:val="none"/>
              </w:rPr>
              <w:t>AUROC (CAP &gt;= 248)</w:t>
            </w:r>
          </w:p>
        </w:tc>
        <w:tc>
          <w:tcPr>
            <w:tcW w:type="dxa" w:w="1984"/>
          </w:tcPr>
          <w:p>
            <w:pPr>
              <w:spacing w:before="40" w:after="40" w:line="240" w:lineRule="auto"/>
              <w:jc w:val="left"/>
            </w:pPr>
            <w:r/>
            <w:r>
              <w:rPr>
                <w:rFonts w:ascii="Times New Roman" w:hAnsi="Times New Roman"/>
                <w:b w:val="0"/>
                <w:i w:val="0"/>
                <w:sz w:val="20"/>
                <w:u w:val="none"/>
              </w:rPr>
              <w:t>AUROC &gt; 0.80</w:t>
            </w:r>
          </w:p>
        </w:tc>
        <w:tc>
          <w:tcPr>
            <w:tcW w:type="dxa" w:w="1984"/>
          </w:tcPr>
          <w:p>
            <w:pPr>
              <w:spacing w:before="40" w:after="40" w:line="240" w:lineRule="auto"/>
              <w:jc w:val="left"/>
            </w:pPr>
            <w:r/>
            <w:r>
              <w:rPr>
                <w:rFonts w:ascii="Times New Roman" w:hAnsi="Times New Roman"/>
                <w:b w:val="0"/>
                <w:i w:val="0"/>
                <w:sz w:val="20"/>
                <w:u w:val="none"/>
              </w:rPr>
              <w:t>Achieved (0.841)</w:t>
            </w:r>
          </w:p>
        </w:tc>
      </w:tr>
      <w:tr>
        <w:tc>
          <w:tcPr>
            <w:tcW w:type="dxa" w:w="1984"/>
          </w:tcPr>
          <w:p>
            <w:pPr>
              <w:spacing w:before="40" w:after="40" w:line="240" w:lineRule="auto"/>
              <w:jc w:val="left"/>
            </w:pPr>
            <w:r/>
            <w:r>
              <w:rPr>
                <w:rFonts w:ascii="Times New Roman" w:hAnsi="Times New Roman"/>
                <w:b w:val="0"/>
                <w:i w:val="0"/>
                <w:sz w:val="20"/>
                <w:u w:val="none"/>
              </w:rPr>
              <w:t>Mondrian Conformal Coverage</w:t>
            </w:r>
          </w:p>
        </w:tc>
        <w:tc>
          <w:tcPr>
            <w:tcW w:type="dxa" w:w="1984"/>
          </w:tcPr>
          <w:p>
            <w:pPr>
              <w:spacing w:before="40" w:after="40" w:line="240" w:lineRule="auto"/>
              <w:jc w:val="left"/>
            </w:pPr>
            <w:r/>
            <w:r>
              <w:rPr>
                <w:rFonts w:ascii="Times New Roman" w:hAnsi="Times New Roman"/>
                <w:b w:val="0"/>
                <w:i w:val="0"/>
                <w:sz w:val="20"/>
                <w:u w:val="none"/>
              </w:rPr>
              <w:t>Empirical coverage</w:t>
            </w:r>
          </w:p>
        </w:tc>
        <w:tc>
          <w:tcPr>
            <w:tcW w:type="dxa" w:w="1984"/>
          </w:tcPr>
          <w:p>
            <w:pPr>
              <w:spacing w:before="40" w:after="40" w:line="240" w:lineRule="auto"/>
              <w:jc w:val="left"/>
            </w:pPr>
            <w:r/>
            <w:r>
              <w:rPr>
                <w:rFonts w:ascii="Times New Roman" w:hAnsi="Times New Roman"/>
                <w:b w:val="0"/>
                <w:i w:val="0"/>
                <w:sz w:val="20"/>
                <w:u w:val="none"/>
              </w:rPr>
              <w:t>&gt;=90% every quadrant</w:t>
            </w:r>
          </w:p>
        </w:tc>
        <w:tc>
          <w:tcPr>
            <w:tcW w:type="dxa" w:w="1984"/>
          </w:tcPr>
          <w:p>
            <w:pPr>
              <w:spacing w:before="40" w:after="40" w:line="240" w:lineRule="auto"/>
              <w:jc w:val="left"/>
            </w:pPr>
            <w:r/>
            <w:r>
              <w:rPr>
                <w:rFonts w:ascii="Times New Roman" w:hAnsi="Times New Roman"/>
                <w:b w:val="0"/>
                <w:i w:val="0"/>
                <w:sz w:val="20"/>
                <w:u w:val="none"/>
              </w:rPr>
              <w:t>Achieved (min = 90.4%)</w:t>
            </w:r>
          </w:p>
        </w:tc>
      </w:tr>
      <w:tr>
        <w:tc>
          <w:tcPr>
            <w:tcW w:type="dxa" w:w="1984"/>
          </w:tcPr>
          <w:p>
            <w:pPr>
              <w:spacing w:before="40" w:after="40" w:line="240" w:lineRule="auto"/>
              <w:jc w:val="left"/>
            </w:pPr>
            <w:r/>
            <w:r>
              <w:rPr>
                <w:rFonts w:ascii="Times New Roman" w:hAnsi="Times New Roman"/>
                <w:b w:val="0"/>
                <w:i w:val="0"/>
                <w:sz w:val="20"/>
                <w:u w:val="none"/>
              </w:rPr>
              <w:t>OOD Safety Degradation</w:t>
            </w:r>
          </w:p>
        </w:tc>
        <w:tc>
          <w:tcPr>
            <w:tcW w:type="dxa" w:w="1984"/>
          </w:tcPr>
          <w:p>
            <w:pPr>
              <w:spacing w:before="40" w:after="40" w:line="240" w:lineRule="auto"/>
              <w:jc w:val="left"/>
            </w:pPr>
            <w:r/>
            <w:r>
              <w:rPr>
                <w:rFonts w:ascii="Times New Roman" w:hAnsi="Times New Roman"/>
                <w:b w:val="0"/>
                <w:i w:val="0"/>
                <w:sz w:val="20"/>
                <w:u w:val="none"/>
              </w:rPr>
              <w:t>Coverage drop on OOD</w:t>
            </w:r>
          </w:p>
        </w:tc>
        <w:tc>
          <w:tcPr>
            <w:tcW w:type="dxa" w:w="1984"/>
          </w:tcPr>
          <w:p>
            <w:pPr>
              <w:spacing w:before="40" w:after="40" w:line="240" w:lineRule="auto"/>
              <w:jc w:val="left"/>
            </w:pPr>
            <w:r/>
            <w:r>
              <w:rPr>
                <w:rFonts w:ascii="Times New Roman" w:hAnsi="Times New Roman"/>
                <w:b w:val="0"/>
                <w:i w:val="0"/>
                <w:sz w:val="20"/>
                <w:u w:val="none"/>
              </w:rPr>
              <w:t>Degradation &lt; 20%</w:t>
            </w:r>
          </w:p>
        </w:tc>
        <w:tc>
          <w:tcPr>
            <w:tcW w:type="dxa" w:w="1984"/>
          </w:tcPr>
          <w:p>
            <w:pPr>
              <w:spacing w:before="40" w:after="40" w:line="240" w:lineRule="auto"/>
              <w:jc w:val="left"/>
            </w:pPr>
            <w:r/>
            <w:r>
              <w:rPr>
                <w:rFonts w:ascii="Times New Roman" w:hAnsi="Times New Roman"/>
                <w:b w:val="0"/>
                <w:i w:val="0"/>
                <w:sz w:val="20"/>
                <w:u w:val="none"/>
              </w:rPr>
              <w:t>Achieved (coverage improved to 95.2%, no degradation observed)</w:t>
            </w:r>
          </w:p>
        </w:tc>
      </w:tr>
    </w:tbl>
    <w:p>
      <w:pPr>
        <w:keepNext w:val="0"/>
        <w:spacing w:before="0" w:after="200" w:line="360" w:lineRule="auto"/>
        <w:jc w:val="both"/>
      </w:pPr>
    </w:p>
    <w:p>
      <w:pPr>
        <w:keepNext/>
        <w:spacing w:before="360" w:after="120" w:line="360" w:lineRule="auto"/>
        <w:jc w:val="left"/>
      </w:pPr>
      <w:r>
        <w:rPr>
          <w:rFonts w:ascii="Times New Roman" w:hAnsi="Times New Roman"/>
          <w:b/>
          <w:i w:val="0"/>
          <w:sz w:val="24"/>
          <w:u w:val="single"/>
        </w:rPr>
        <w:t>4.2   Liver Steatosis Prediction Results</w:t>
      </w:r>
    </w:p>
    <w:p>
      <w:pPr>
        <w:keepNext/>
        <w:spacing w:before="240" w:after="80" w:line="360" w:lineRule="auto"/>
        <w:jc w:val="left"/>
      </w:pPr>
      <w:r>
        <w:rPr>
          <w:rFonts w:ascii="Times New Roman" w:hAnsi="Times New Roman"/>
          <w:b/>
          <w:i w:val="0"/>
          <w:sz w:val="24"/>
          <w:u w:val="single"/>
        </w:rPr>
        <w:t>4.2.1   Performance Comparison</w:t>
      </w:r>
    </w:p>
    <w:p>
      <w:pPr>
        <w:keepNext w:val="0"/>
        <w:spacing w:before="0" w:after="120" w:line="360" w:lineRule="auto"/>
        <w:jc w:val="both"/>
      </w:pPr>
      <w:r>
        <w:rPr>
          <w:rFonts w:ascii="Times New Roman" w:hAnsi="Times New Roman"/>
          <w:b w:val="0"/>
          <w:i w:val="0"/>
          <w:sz w:val="24"/>
          <w:u w:val="none"/>
        </w:rPr>
        <w:t>The DA-SS-iVAE consistently exceeds the performance of the evaluated clinical indices. The strict temporal OOD validation (rho = 0.583 +/- 0.027, five-seed strict temporal mean, n = 870) confirms robust generalisation to a completely unseen survey cohort two years after training.</w:t>
      </w:r>
    </w:p>
    <w:p>
      <w:pPr>
        <w:keepNext/>
        <w:spacing w:before="240" w:after="80" w:line="360" w:lineRule="auto"/>
        <w:jc w:val="left"/>
      </w:pPr>
      <w:r>
        <w:rPr>
          <w:rFonts w:ascii="Times New Roman" w:hAnsi="Times New Roman"/>
          <w:b/>
          <w:i w:val="0"/>
          <w:sz w:val="24"/>
          <w:u w:val="single"/>
        </w:rPr>
        <w:t>4.2.2   Supervised Machine Learning Baselines</w:t>
      </w:r>
    </w:p>
    <w:p>
      <w:pPr>
        <w:keepNext w:val="0"/>
        <w:spacing w:before="0" w:after="120" w:line="360" w:lineRule="auto"/>
        <w:jc w:val="both"/>
      </w:pPr>
      <w:r>
        <w:rPr>
          <w:rFonts w:ascii="Times New Roman" w:hAnsi="Times New Roman"/>
          <w:b w:val="0"/>
          <w:i w:val="0"/>
          <w:sz w:val="24"/>
          <w:u w:val="none"/>
        </w:rPr>
        <w:t>Three fully supervised regression baselines -- Elastic Net, Random Forest, and XGBoost -- were trained on the identical 14 scaled metabolic features on the training split (n_train = 995 CAP-labelled complete records) and evaluated on the test split (n_test = 214).</w:t>
      </w:r>
    </w:p>
    <w:p>
      <w:pPr>
        <w:keepNext/>
        <w:spacing w:before="240" w:after="80" w:line="240" w:lineRule="auto"/>
        <w:jc w:val="center"/>
      </w:pPr>
      <w:r>
        <w:rPr>
          <w:rFonts w:ascii="Times New Roman" w:hAnsi="Times New Roman"/>
          <w:b/>
          <w:i w:val="0"/>
          <w:sz w:val="20"/>
          <w:u w:val="none"/>
        </w:rPr>
        <w:t>Table 11: Test set benchmark comparison (n = 214)</w:t>
      </w:r>
    </w:p>
    <w:tbl>
      <w:tblPr>
        <w:tblStyle w:val="TableGrid"/>
        <w:tblW w:type="auto" w:w="0"/>
        <w:tblLook w:firstColumn="1" w:firstRow="1" w:lastColumn="0" w:lastRow="0" w:noHBand="0" w:noVBand="1" w:val="04A0"/>
      </w:tblPr>
      <w:tblGrid>
        <w:gridCol w:w="1587"/>
        <w:gridCol w:w="1587"/>
        <w:gridCol w:w="1587"/>
        <w:gridCol w:w="1587"/>
        <w:gridCol w:w="1587"/>
      </w:tblGrid>
      <w:tr>
        <w:tc>
          <w:tcPr>
            <w:tcW w:type="dxa" w:w="1587"/>
          </w:tcPr>
          <w:p>
            <w:pPr>
              <w:spacing w:before="40" w:after="40" w:line="240" w:lineRule="auto"/>
              <w:jc w:val="center"/>
            </w:pPr>
            <w:r/>
            <w:r>
              <w:rPr>
                <w:rFonts w:ascii="Times New Roman" w:hAnsi="Times New Roman"/>
                <w:b/>
                <w:i w:val="0"/>
                <w:sz w:val="20"/>
                <w:u w:val="none"/>
              </w:rPr>
              <w:t>Model / Index</w:t>
            </w:r>
          </w:p>
        </w:tc>
        <w:tc>
          <w:tcPr>
            <w:tcW w:type="dxa" w:w="1587"/>
          </w:tcPr>
          <w:p>
            <w:pPr>
              <w:spacing w:before="40" w:after="40" w:line="240" w:lineRule="auto"/>
              <w:jc w:val="center"/>
            </w:pPr>
            <w:r/>
            <w:r>
              <w:rPr>
                <w:rFonts w:ascii="Times New Roman" w:hAnsi="Times New Roman"/>
                <w:b/>
                <w:i w:val="0"/>
                <w:sz w:val="20"/>
                <w:u w:val="none"/>
              </w:rPr>
              <w:t>Spearman rho</w:t>
            </w:r>
          </w:p>
        </w:tc>
        <w:tc>
          <w:tcPr>
            <w:tcW w:type="dxa" w:w="1587"/>
          </w:tcPr>
          <w:p>
            <w:pPr>
              <w:spacing w:before="40" w:after="40" w:line="240" w:lineRule="auto"/>
              <w:jc w:val="center"/>
            </w:pPr>
            <w:r/>
            <w:r>
              <w:rPr>
                <w:rFonts w:ascii="Times New Roman" w:hAnsi="Times New Roman"/>
                <w:b/>
                <w:i w:val="0"/>
                <w:sz w:val="20"/>
                <w:u w:val="none"/>
              </w:rPr>
              <w:t>AUROC (&gt;=248)</w:t>
            </w:r>
          </w:p>
        </w:tc>
        <w:tc>
          <w:tcPr>
            <w:tcW w:type="dxa" w:w="1587"/>
          </w:tcPr>
          <w:p>
            <w:pPr>
              <w:spacing w:before="40" w:after="40" w:line="240" w:lineRule="auto"/>
              <w:jc w:val="center"/>
            </w:pPr>
            <w:r/>
            <w:r>
              <w:rPr>
                <w:rFonts w:ascii="Times New Roman" w:hAnsi="Times New Roman"/>
                <w:b/>
                <w:i w:val="0"/>
                <w:sz w:val="20"/>
                <w:u w:val="none"/>
              </w:rPr>
              <w:t>AUROC (&gt;=268)</w:t>
            </w:r>
          </w:p>
        </w:tc>
        <w:tc>
          <w:tcPr>
            <w:tcW w:type="dxa" w:w="1587"/>
          </w:tcPr>
          <w:p>
            <w:pPr>
              <w:spacing w:before="40" w:after="40" w:line="240" w:lineRule="auto"/>
              <w:jc w:val="center"/>
            </w:pPr>
            <w:r/>
            <w:r>
              <w:rPr>
                <w:rFonts w:ascii="Times New Roman" w:hAnsi="Times New Roman"/>
                <w:b/>
                <w:i w:val="0"/>
                <w:sz w:val="20"/>
                <w:u w:val="none"/>
              </w:rPr>
              <w:t>Type</w:t>
            </w:r>
          </w:p>
        </w:tc>
      </w:tr>
      <w:tr>
        <w:tc>
          <w:tcPr>
            <w:tcW w:type="dxa" w:w="1587"/>
          </w:tcPr>
          <w:p>
            <w:pPr>
              <w:spacing w:before="40" w:after="40" w:line="240" w:lineRule="auto"/>
              <w:jc w:val="left"/>
            </w:pPr>
            <w:r/>
            <w:r>
              <w:rPr>
                <w:rFonts w:ascii="Times New Roman" w:hAnsi="Times New Roman"/>
                <w:b w:val="0"/>
                <w:i w:val="0"/>
                <w:sz w:val="20"/>
                <w:u w:val="none"/>
              </w:rPr>
              <w:t>HSI</w:t>
            </w:r>
          </w:p>
        </w:tc>
        <w:tc>
          <w:tcPr>
            <w:tcW w:type="dxa" w:w="1587"/>
          </w:tcPr>
          <w:p>
            <w:pPr>
              <w:spacing w:before="40" w:after="40" w:line="240" w:lineRule="auto"/>
              <w:jc w:val="left"/>
            </w:pPr>
            <w:r/>
            <w:r>
              <w:rPr>
                <w:rFonts w:ascii="Times New Roman" w:hAnsi="Times New Roman"/>
                <w:b w:val="0"/>
                <w:i w:val="0"/>
                <w:sz w:val="20"/>
                <w:u w:val="none"/>
              </w:rPr>
              <w:t>0.129</w:t>
            </w:r>
          </w:p>
        </w:tc>
        <w:tc>
          <w:tcPr>
            <w:tcW w:type="dxa" w:w="1587"/>
          </w:tcPr>
          <w:p>
            <w:pPr>
              <w:spacing w:before="40" w:after="40" w:line="240" w:lineRule="auto"/>
              <w:jc w:val="left"/>
            </w:pPr>
            <w:r/>
            <w:r>
              <w:rPr>
                <w:rFonts w:ascii="Times New Roman" w:hAnsi="Times New Roman"/>
                <w:b w:val="0"/>
                <w:i w:val="0"/>
                <w:sz w:val="20"/>
                <w:u w:val="none"/>
              </w:rPr>
              <w:t>0.587</w:t>
            </w:r>
          </w:p>
        </w:tc>
        <w:tc>
          <w:tcPr>
            <w:tcW w:type="dxa" w:w="1587"/>
          </w:tcPr>
          <w:p>
            <w:pPr>
              <w:spacing w:before="40" w:after="40" w:line="240" w:lineRule="auto"/>
              <w:jc w:val="left"/>
            </w:pPr>
            <w:r/>
            <w:r>
              <w:rPr>
                <w:rFonts w:ascii="Times New Roman" w:hAnsi="Times New Roman"/>
                <w:b w:val="0"/>
                <w:i w:val="0"/>
                <w:sz w:val="20"/>
                <w:u w:val="none"/>
              </w:rPr>
              <w:t>0.588</w:t>
            </w:r>
          </w:p>
        </w:tc>
        <w:tc>
          <w:tcPr>
            <w:tcW w:type="dxa" w:w="1587"/>
          </w:tcPr>
          <w:p>
            <w:pPr>
              <w:spacing w:before="40" w:after="40" w:line="240" w:lineRule="auto"/>
              <w:jc w:val="left"/>
            </w:pPr>
            <w:r/>
            <w:r>
              <w:rPr>
                <w:rFonts w:ascii="Times New Roman" w:hAnsi="Times New Roman"/>
                <w:b w:val="0"/>
                <w:i w:val="0"/>
                <w:sz w:val="20"/>
                <w:u w:val="none"/>
              </w:rPr>
              <w:t>Linear Clinical Index</w:t>
            </w:r>
          </w:p>
        </w:tc>
      </w:tr>
      <w:tr>
        <w:tc>
          <w:tcPr>
            <w:tcW w:type="dxa" w:w="1587"/>
          </w:tcPr>
          <w:p>
            <w:pPr>
              <w:spacing w:before="40" w:after="40" w:line="240" w:lineRule="auto"/>
              <w:jc w:val="left"/>
            </w:pPr>
            <w:r/>
            <w:r>
              <w:rPr>
                <w:rFonts w:ascii="Times New Roman" w:hAnsi="Times New Roman"/>
                <w:b w:val="0"/>
                <w:i w:val="0"/>
                <w:sz w:val="20"/>
                <w:u w:val="none"/>
              </w:rPr>
              <w:t>NAFLD-LFS</w:t>
            </w:r>
          </w:p>
        </w:tc>
        <w:tc>
          <w:tcPr>
            <w:tcW w:type="dxa" w:w="1587"/>
          </w:tcPr>
          <w:p>
            <w:pPr>
              <w:spacing w:before="40" w:after="40" w:line="240" w:lineRule="auto"/>
              <w:jc w:val="left"/>
            </w:pPr>
            <w:r/>
            <w:r>
              <w:rPr>
                <w:rFonts w:ascii="Times New Roman" w:hAnsi="Times New Roman"/>
                <w:b w:val="0"/>
                <w:i w:val="0"/>
                <w:sz w:val="20"/>
                <w:u w:val="none"/>
              </w:rPr>
              <w:t>-0.118</w:t>
            </w:r>
          </w:p>
        </w:tc>
        <w:tc>
          <w:tcPr>
            <w:tcW w:type="dxa" w:w="1587"/>
          </w:tcPr>
          <w:p>
            <w:pPr>
              <w:spacing w:before="40" w:after="40" w:line="240" w:lineRule="auto"/>
              <w:jc w:val="left"/>
            </w:pPr>
            <w:r/>
            <w:r>
              <w:rPr>
                <w:rFonts w:ascii="Times New Roman" w:hAnsi="Times New Roman"/>
                <w:b w:val="0"/>
                <w:i w:val="0"/>
                <w:sz w:val="20"/>
                <w:u w:val="none"/>
              </w:rPr>
              <w:t>0.551</w:t>
            </w:r>
          </w:p>
        </w:tc>
        <w:tc>
          <w:tcPr>
            <w:tcW w:type="dxa" w:w="1587"/>
          </w:tcPr>
          <w:p>
            <w:pPr>
              <w:spacing w:before="40" w:after="40" w:line="240" w:lineRule="auto"/>
              <w:jc w:val="left"/>
            </w:pPr>
            <w:r/>
            <w:r>
              <w:rPr>
                <w:rFonts w:ascii="Times New Roman" w:hAnsi="Times New Roman"/>
                <w:b w:val="0"/>
                <w:i w:val="0"/>
                <w:sz w:val="20"/>
                <w:u w:val="none"/>
              </w:rPr>
              <w:t>0.531</w:t>
            </w:r>
          </w:p>
        </w:tc>
        <w:tc>
          <w:tcPr>
            <w:tcW w:type="dxa" w:w="1587"/>
          </w:tcPr>
          <w:p>
            <w:pPr>
              <w:spacing w:before="40" w:after="40" w:line="240" w:lineRule="auto"/>
              <w:jc w:val="left"/>
            </w:pPr>
            <w:r/>
            <w:r>
              <w:rPr>
                <w:rFonts w:ascii="Times New Roman" w:hAnsi="Times New Roman"/>
                <w:b w:val="0"/>
                <w:i w:val="0"/>
                <w:sz w:val="20"/>
                <w:u w:val="none"/>
              </w:rPr>
              <w:t>Linear Clinical Index</w:t>
            </w:r>
          </w:p>
        </w:tc>
      </w:tr>
      <w:tr>
        <w:tc>
          <w:tcPr>
            <w:tcW w:type="dxa" w:w="1587"/>
          </w:tcPr>
          <w:p>
            <w:pPr>
              <w:spacing w:before="40" w:after="40" w:line="240" w:lineRule="auto"/>
              <w:jc w:val="left"/>
            </w:pPr>
            <w:r/>
            <w:r>
              <w:rPr>
                <w:rFonts w:ascii="Times New Roman" w:hAnsi="Times New Roman"/>
                <w:b w:val="0"/>
                <w:i w:val="0"/>
                <w:sz w:val="20"/>
                <w:u w:val="none"/>
              </w:rPr>
              <w:t>FLI</w:t>
            </w:r>
          </w:p>
        </w:tc>
        <w:tc>
          <w:tcPr>
            <w:tcW w:type="dxa" w:w="1587"/>
          </w:tcPr>
          <w:p>
            <w:pPr>
              <w:spacing w:before="40" w:after="40" w:line="240" w:lineRule="auto"/>
              <w:jc w:val="left"/>
            </w:pPr>
            <w:r/>
            <w:r>
              <w:rPr>
                <w:rFonts w:ascii="Times New Roman" w:hAnsi="Times New Roman"/>
                <w:b w:val="0"/>
                <w:i w:val="0"/>
                <w:sz w:val="20"/>
                <w:u w:val="none"/>
              </w:rPr>
              <w:t>0.399</w:t>
            </w:r>
          </w:p>
        </w:tc>
        <w:tc>
          <w:tcPr>
            <w:tcW w:type="dxa" w:w="1587"/>
          </w:tcPr>
          <w:p>
            <w:pPr>
              <w:spacing w:before="40" w:after="40" w:line="240" w:lineRule="auto"/>
              <w:jc w:val="left"/>
            </w:pPr>
            <w:r/>
            <w:r>
              <w:rPr>
                <w:rFonts w:ascii="Times New Roman" w:hAnsi="Times New Roman"/>
                <w:b w:val="0"/>
                <w:i w:val="0"/>
                <w:sz w:val="20"/>
                <w:u w:val="none"/>
              </w:rPr>
              <w:t>0.683</w:t>
            </w:r>
          </w:p>
        </w:tc>
        <w:tc>
          <w:tcPr>
            <w:tcW w:type="dxa" w:w="1587"/>
          </w:tcPr>
          <w:p>
            <w:pPr>
              <w:spacing w:before="40" w:after="40" w:line="240" w:lineRule="auto"/>
              <w:jc w:val="left"/>
            </w:pPr>
            <w:r/>
            <w:r>
              <w:rPr>
                <w:rFonts w:ascii="Times New Roman" w:hAnsi="Times New Roman"/>
                <w:b w:val="0"/>
                <w:i w:val="0"/>
                <w:sz w:val="20"/>
                <w:u w:val="none"/>
              </w:rPr>
              <w:t>0.721</w:t>
            </w:r>
          </w:p>
        </w:tc>
        <w:tc>
          <w:tcPr>
            <w:tcW w:type="dxa" w:w="1587"/>
          </w:tcPr>
          <w:p>
            <w:pPr>
              <w:spacing w:before="40" w:after="40" w:line="240" w:lineRule="auto"/>
              <w:jc w:val="left"/>
            </w:pPr>
            <w:r/>
            <w:r>
              <w:rPr>
                <w:rFonts w:ascii="Times New Roman" w:hAnsi="Times New Roman"/>
                <w:b w:val="0"/>
                <w:i w:val="0"/>
                <w:sz w:val="20"/>
                <w:u w:val="none"/>
              </w:rPr>
              <w:t>Logistic Clinical Index</w:t>
            </w:r>
          </w:p>
        </w:tc>
      </w:tr>
      <w:tr>
        <w:tc>
          <w:tcPr>
            <w:tcW w:type="dxa" w:w="1587"/>
          </w:tcPr>
          <w:p>
            <w:pPr>
              <w:spacing w:before="40" w:after="40" w:line="240" w:lineRule="auto"/>
              <w:jc w:val="left"/>
            </w:pPr>
            <w:r/>
            <w:r>
              <w:rPr>
                <w:rFonts w:ascii="Times New Roman" w:hAnsi="Times New Roman"/>
                <w:b w:val="0"/>
                <w:i w:val="0"/>
                <w:sz w:val="20"/>
                <w:u w:val="none"/>
              </w:rPr>
              <w:t>TyG Index</w:t>
            </w:r>
          </w:p>
        </w:tc>
        <w:tc>
          <w:tcPr>
            <w:tcW w:type="dxa" w:w="1587"/>
          </w:tcPr>
          <w:p>
            <w:pPr>
              <w:spacing w:before="40" w:after="40" w:line="240" w:lineRule="auto"/>
              <w:jc w:val="left"/>
            </w:pPr>
            <w:r/>
            <w:r>
              <w:rPr>
                <w:rFonts w:ascii="Times New Roman" w:hAnsi="Times New Roman"/>
                <w:b w:val="0"/>
                <w:i w:val="0"/>
                <w:sz w:val="20"/>
                <w:u w:val="none"/>
              </w:rPr>
              <w:t>0.364</w:t>
            </w:r>
          </w:p>
        </w:tc>
        <w:tc>
          <w:tcPr>
            <w:tcW w:type="dxa" w:w="1587"/>
          </w:tcPr>
          <w:p>
            <w:pPr>
              <w:spacing w:before="40" w:after="40" w:line="240" w:lineRule="auto"/>
              <w:jc w:val="left"/>
            </w:pPr>
            <w:r/>
            <w:r>
              <w:rPr>
                <w:rFonts w:ascii="Times New Roman" w:hAnsi="Times New Roman"/>
                <w:b w:val="0"/>
                <w:i w:val="0"/>
                <w:sz w:val="20"/>
                <w:u w:val="none"/>
              </w:rPr>
              <w:t>0.638</w:t>
            </w:r>
          </w:p>
        </w:tc>
        <w:tc>
          <w:tcPr>
            <w:tcW w:type="dxa" w:w="1587"/>
          </w:tcPr>
          <w:p>
            <w:pPr>
              <w:spacing w:before="40" w:after="40" w:line="240" w:lineRule="auto"/>
              <w:jc w:val="left"/>
            </w:pPr>
            <w:r/>
            <w:r>
              <w:rPr>
                <w:rFonts w:ascii="Times New Roman" w:hAnsi="Times New Roman"/>
                <w:b w:val="0"/>
                <w:i w:val="0"/>
                <w:sz w:val="20"/>
                <w:u w:val="none"/>
              </w:rPr>
              <w:t>0.708</w:t>
            </w:r>
          </w:p>
        </w:tc>
        <w:tc>
          <w:tcPr>
            <w:tcW w:type="dxa" w:w="1587"/>
          </w:tcPr>
          <w:p>
            <w:pPr>
              <w:spacing w:before="40" w:after="40" w:line="240" w:lineRule="auto"/>
              <w:jc w:val="left"/>
            </w:pPr>
            <w:r/>
            <w:r>
              <w:rPr>
                <w:rFonts w:ascii="Times New Roman" w:hAnsi="Times New Roman"/>
                <w:b w:val="0"/>
                <w:i w:val="0"/>
                <w:sz w:val="20"/>
                <w:u w:val="none"/>
              </w:rPr>
              <w:t>Log-Linear Clinical Index</w:t>
            </w:r>
          </w:p>
        </w:tc>
      </w:tr>
      <w:tr>
        <w:tc>
          <w:tcPr>
            <w:tcW w:type="dxa" w:w="1587"/>
          </w:tcPr>
          <w:p>
            <w:pPr>
              <w:spacing w:before="40" w:after="40" w:line="240" w:lineRule="auto"/>
              <w:jc w:val="left"/>
            </w:pPr>
            <w:r/>
            <w:r>
              <w:rPr>
                <w:rFonts w:ascii="Times New Roman" w:hAnsi="Times New Roman"/>
                <w:b w:val="0"/>
                <w:i w:val="0"/>
                <w:sz w:val="20"/>
                <w:u w:val="none"/>
              </w:rPr>
              <w:t>Elastic Net</w:t>
            </w:r>
          </w:p>
        </w:tc>
        <w:tc>
          <w:tcPr>
            <w:tcW w:type="dxa" w:w="1587"/>
          </w:tcPr>
          <w:p>
            <w:pPr>
              <w:spacing w:before="40" w:after="40" w:line="240" w:lineRule="auto"/>
              <w:jc w:val="left"/>
            </w:pPr>
            <w:r/>
            <w:r>
              <w:rPr>
                <w:rFonts w:ascii="Times New Roman" w:hAnsi="Times New Roman"/>
                <w:b w:val="0"/>
                <w:i w:val="0"/>
                <w:sz w:val="20"/>
                <w:u w:val="none"/>
              </w:rPr>
              <w:t>0.491</w:t>
            </w:r>
          </w:p>
        </w:tc>
        <w:tc>
          <w:tcPr>
            <w:tcW w:type="dxa" w:w="1587"/>
          </w:tcPr>
          <w:p>
            <w:pPr>
              <w:spacing w:before="40" w:after="40" w:line="240" w:lineRule="auto"/>
              <w:jc w:val="left"/>
            </w:pPr>
            <w:r/>
            <w:r>
              <w:rPr>
                <w:rFonts w:ascii="Times New Roman" w:hAnsi="Times New Roman"/>
                <w:b w:val="0"/>
                <w:i w:val="0"/>
                <w:sz w:val="20"/>
                <w:u w:val="none"/>
              </w:rPr>
              <w:t>0.721</w:t>
            </w:r>
          </w:p>
        </w:tc>
        <w:tc>
          <w:tcPr>
            <w:tcW w:type="dxa" w:w="1587"/>
          </w:tcPr>
          <w:p>
            <w:pPr>
              <w:spacing w:before="40" w:after="40" w:line="240" w:lineRule="auto"/>
              <w:jc w:val="left"/>
            </w:pPr>
            <w:r/>
            <w:r>
              <w:rPr>
                <w:rFonts w:ascii="Times New Roman" w:hAnsi="Times New Roman"/>
                <w:b w:val="0"/>
                <w:i w:val="0"/>
                <w:sz w:val="20"/>
                <w:u w:val="none"/>
              </w:rPr>
              <w:t>0.753</w:t>
            </w:r>
          </w:p>
        </w:tc>
        <w:tc>
          <w:tcPr>
            <w:tcW w:type="dxa" w:w="1587"/>
          </w:tcPr>
          <w:p>
            <w:pPr>
              <w:spacing w:before="40" w:after="40" w:line="240" w:lineRule="auto"/>
              <w:jc w:val="left"/>
            </w:pPr>
            <w:r/>
            <w:r>
              <w:rPr>
                <w:rFonts w:ascii="Times New Roman" w:hAnsi="Times New Roman"/>
                <w:b w:val="0"/>
                <w:i w:val="0"/>
                <w:sz w:val="20"/>
                <w:u w:val="none"/>
              </w:rPr>
              <w:t>Supervised Regularised Linear</w:t>
            </w:r>
          </w:p>
        </w:tc>
      </w:tr>
      <w:tr>
        <w:tc>
          <w:tcPr>
            <w:tcW w:type="dxa" w:w="1587"/>
          </w:tcPr>
          <w:p>
            <w:pPr>
              <w:spacing w:before="40" w:after="40" w:line="240" w:lineRule="auto"/>
              <w:jc w:val="left"/>
            </w:pPr>
            <w:r/>
            <w:r>
              <w:rPr>
                <w:rFonts w:ascii="Times New Roman" w:hAnsi="Times New Roman"/>
                <w:b w:val="0"/>
                <w:i w:val="0"/>
                <w:sz w:val="20"/>
                <w:u w:val="none"/>
              </w:rPr>
              <w:t>Random Forest</w:t>
            </w:r>
          </w:p>
        </w:tc>
        <w:tc>
          <w:tcPr>
            <w:tcW w:type="dxa" w:w="1587"/>
          </w:tcPr>
          <w:p>
            <w:pPr>
              <w:spacing w:before="40" w:after="40" w:line="240" w:lineRule="auto"/>
              <w:jc w:val="left"/>
            </w:pPr>
            <w:r/>
            <w:r>
              <w:rPr>
                <w:rFonts w:ascii="Times New Roman" w:hAnsi="Times New Roman"/>
                <w:b w:val="0"/>
                <w:i w:val="0"/>
                <w:sz w:val="20"/>
                <w:u w:val="none"/>
              </w:rPr>
              <w:t>0.596</w:t>
            </w:r>
          </w:p>
        </w:tc>
        <w:tc>
          <w:tcPr>
            <w:tcW w:type="dxa" w:w="1587"/>
          </w:tcPr>
          <w:p>
            <w:pPr>
              <w:spacing w:before="40" w:after="40" w:line="240" w:lineRule="auto"/>
              <w:jc w:val="left"/>
            </w:pPr>
            <w:r/>
            <w:r>
              <w:rPr>
                <w:rFonts w:ascii="Times New Roman" w:hAnsi="Times New Roman"/>
                <w:b w:val="0"/>
                <w:i w:val="0"/>
                <w:sz w:val="20"/>
                <w:u w:val="none"/>
              </w:rPr>
              <w:t>0.766</w:t>
            </w:r>
          </w:p>
        </w:tc>
        <w:tc>
          <w:tcPr>
            <w:tcW w:type="dxa" w:w="1587"/>
          </w:tcPr>
          <w:p>
            <w:pPr>
              <w:spacing w:before="40" w:after="40" w:line="240" w:lineRule="auto"/>
              <w:jc w:val="left"/>
            </w:pPr>
            <w:r/>
            <w:r>
              <w:rPr>
                <w:rFonts w:ascii="Times New Roman" w:hAnsi="Times New Roman"/>
                <w:b w:val="0"/>
                <w:i w:val="0"/>
                <w:sz w:val="20"/>
                <w:u w:val="none"/>
              </w:rPr>
              <w:t>0.803</w:t>
            </w:r>
          </w:p>
        </w:tc>
        <w:tc>
          <w:tcPr>
            <w:tcW w:type="dxa" w:w="1587"/>
          </w:tcPr>
          <w:p>
            <w:pPr>
              <w:spacing w:before="40" w:after="40" w:line="240" w:lineRule="auto"/>
              <w:jc w:val="left"/>
            </w:pPr>
            <w:r/>
            <w:r>
              <w:rPr>
                <w:rFonts w:ascii="Times New Roman" w:hAnsi="Times New Roman"/>
                <w:b w:val="0"/>
                <w:i w:val="0"/>
                <w:sz w:val="20"/>
                <w:u w:val="none"/>
              </w:rPr>
              <w:t>Supervised Ensemble Tree</w:t>
            </w:r>
          </w:p>
        </w:tc>
      </w:tr>
      <w:tr>
        <w:tc>
          <w:tcPr>
            <w:tcW w:type="dxa" w:w="1587"/>
          </w:tcPr>
          <w:p>
            <w:pPr>
              <w:spacing w:before="40" w:after="40" w:line="240" w:lineRule="auto"/>
              <w:jc w:val="left"/>
            </w:pPr>
            <w:r/>
            <w:r>
              <w:rPr>
                <w:rFonts w:ascii="Times New Roman" w:hAnsi="Times New Roman"/>
                <w:b w:val="0"/>
                <w:i w:val="0"/>
                <w:sz w:val="20"/>
                <w:u w:val="none"/>
              </w:rPr>
              <w:t>XGBoost</w:t>
            </w:r>
          </w:p>
        </w:tc>
        <w:tc>
          <w:tcPr>
            <w:tcW w:type="dxa" w:w="1587"/>
          </w:tcPr>
          <w:p>
            <w:pPr>
              <w:spacing w:before="40" w:after="40" w:line="240" w:lineRule="auto"/>
              <w:jc w:val="left"/>
            </w:pPr>
            <w:r/>
            <w:r>
              <w:rPr>
                <w:rFonts w:ascii="Times New Roman" w:hAnsi="Times New Roman"/>
                <w:b w:val="0"/>
                <w:i w:val="0"/>
                <w:sz w:val="20"/>
                <w:u w:val="none"/>
              </w:rPr>
              <w:t>0.581</w:t>
            </w:r>
          </w:p>
        </w:tc>
        <w:tc>
          <w:tcPr>
            <w:tcW w:type="dxa" w:w="1587"/>
          </w:tcPr>
          <w:p>
            <w:pPr>
              <w:spacing w:before="40" w:after="40" w:line="240" w:lineRule="auto"/>
              <w:jc w:val="left"/>
            </w:pPr>
            <w:r/>
            <w:r>
              <w:rPr>
                <w:rFonts w:ascii="Times New Roman" w:hAnsi="Times New Roman"/>
                <w:b w:val="0"/>
                <w:i w:val="0"/>
                <w:sz w:val="20"/>
                <w:u w:val="none"/>
              </w:rPr>
              <w:t>0.747</w:t>
            </w:r>
          </w:p>
        </w:tc>
        <w:tc>
          <w:tcPr>
            <w:tcW w:type="dxa" w:w="1587"/>
          </w:tcPr>
          <w:p>
            <w:pPr>
              <w:spacing w:before="40" w:after="40" w:line="240" w:lineRule="auto"/>
              <w:jc w:val="left"/>
            </w:pPr>
            <w:r/>
            <w:r>
              <w:rPr>
                <w:rFonts w:ascii="Times New Roman" w:hAnsi="Times New Roman"/>
                <w:b w:val="0"/>
                <w:i w:val="0"/>
                <w:sz w:val="20"/>
                <w:u w:val="none"/>
              </w:rPr>
              <w:t>0.783</w:t>
            </w:r>
          </w:p>
        </w:tc>
        <w:tc>
          <w:tcPr>
            <w:tcW w:type="dxa" w:w="1587"/>
          </w:tcPr>
          <w:p>
            <w:pPr>
              <w:spacing w:before="40" w:after="40" w:line="240" w:lineRule="auto"/>
              <w:jc w:val="left"/>
            </w:pPr>
            <w:r/>
            <w:r>
              <w:rPr>
                <w:rFonts w:ascii="Times New Roman" w:hAnsi="Times New Roman"/>
                <w:b w:val="0"/>
                <w:i w:val="0"/>
                <w:sz w:val="20"/>
                <w:u w:val="none"/>
              </w:rPr>
              <w:t>Supervised Gradient Boosted</w:t>
            </w:r>
          </w:p>
        </w:tc>
      </w:tr>
      <w:tr>
        <w:tc>
          <w:tcPr>
            <w:tcW w:type="dxa" w:w="1587"/>
          </w:tcPr>
          <w:p>
            <w:pPr>
              <w:spacing w:before="40" w:after="40" w:line="240" w:lineRule="auto"/>
              <w:jc w:val="left"/>
            </w:pPr>
            <w:r/>
            <w:r>
              <w:rPr>
                <w:rFonts w:ascii="Times New Roman" w:hAnsi="Times New Roman"/>
                <w:b w:val="0"/>
                <w:i w:val="0"/>
                <w:sz w:val="20"/>
                <w:u w:val="none"/>
              </w:rPr>
              <w:t>DA-SS-iVAE (Z2)</w:t>
            </w:r>
          </w:p>
        </w:tc>
        <w:tc>
          <w:tcPr>
            <w:tcW w:type="dxa" w:w="1587"/>
          </w:tcPr>
          <w:p>
            <w:pPr>
              <w:spacing w:before="40" w:after="40" w:line="240" w:lineRule="auto"/>
              <w:jc w:val="left"/>
            </w:pPr>
            <w:r/>
            <w:r>
              <w:rPr>
                <w:rFonts w:ascii="Times New Roman" w:hAnsi="Times New Roman"/>
                <w:b w:val="0"/>
                <w:i w:val="0"/>
                <w:sz w:val="20"/>
                <w:u w:val="none"/>
              </w:rPr>
              <w:t>0.542</w:t>
            </w:r>
          </w:p>
        </w:tc>
        <w:tc>
          <w:tcPr>
            <w:tcW w:type="dxa" w:w="1587"/>
          </w:tcPr>
          <w:p>
            <w:pPr>
              <w:spacing w:before="40" w:after="40" w:line="240" w:lineRule="auto"/>
              <w:jc w:val="left"/>
            </w:pPr>
            <w:r/>
            <w:r>
              <w:rPr>
                <w:rFonts w:ascii="Times New Roman" w:hAnsi="Times New Roman"/>
                <w:b w:val="0"/>
                <w:i w:val="0"/>
                <w:sz w:val="20"/>
                <w:u w:val="none"/>
              </w:rPr>
              <w:t>0.791</w:t>
            </w:r>
          </w:p>
        </w:tc>
        <w:tc>
          <w:tcPr>
            <w:tcW w:type="dxa" w:w="1587"/>
          </w:tcPr>
          <w:p>
            <w:pPr>
              <w:spacing w:before="40" w:after="40" w:line="240" w:lineRule="auto"/>
              <w:jc w:val="left"/>
            </w:pPr>
            <w:r/>
            <w:r>
              <w:rPr>
                <w:rFonts w:ascii="Times New Roman" w:hAnsi="Times New Roman"/>
                <w:b w:val="0"/>
                <w:i w:val="0"/>
                <w:sz w:val="20"/>
                <w:u w:val="none"/>
              </w:rPr>
              <w:t>0.794</w:t>
            </w:r>
          </w:p>
        </w:tc>
        <w:tc>
          <w:tcPr>
            <w:tcW w:type="dxa" w:w="1587"/>
          </w:tcPr>
          <w:p>
            <w:pPr>
              <w:spacing w:before="40" w:after="40" w:line="240" w:lineRule="auto"/>
              <w:jc w:val="left"/>
            </w:pPr>
            <w:r/>
            <w:r>
              <w:rPr>
                <w:rFonts w:ascii="Times New Roman" w:hAnsi="Times New Roman"/>
                <w:b w:val="0"/>
                <w:i w:val="0"/>
                <w:sz w:val="20"/>
                <w:u w:val="none"/>
              </w:rPr>
              <w:t>Semi-Supervised Latent Variable</w:t>
            </w:r>
          </w:p>
        </w:tc>
      </w:tr>
    </w:tbl>
    <w:p>
      <w:pPr>
        <w:keepNext w:val="0"/>
        <w:spacing w:before="0" w:after="200" w:line="360" w:lineRule="auto"/>
        <w:jc w:val="both"/>
      </w:pPr>
    </w:p>
    <w:p>
      <w:pPr>
        <w:keepNext w:val="0"/>
        <w:spacing w:before="0" w:after="60" w:line="240" w:lineRule="auto"/>
        <w:jc w:val="left"/>
      </w:pPr>
      <w:r>
        <w:rPr>
          <w:rFonts w:ascii="Times New Roman" w:hAnsi="Times New Roman"/>
          <w:b w:val="0"/>
          <w:i/>
          <w:sz w:val="20"/>
          <w:u w:val="none"/>
        </w:rPr>
        <w:t>a The representation model coordinates are frozen after unsupervised training and applied zero-shot.</w:t>
      </w:r>
    </w:p>
    <w:p>
      <w:pPr>
        <w:keepNext w:val="0"/>
        <w:spacing w:before="0" w:after="60" w:line="240" w:lineRule="auto"/>
        <w:jc w:val="left"/>
      </w:pPr>
      <w:r>
        <w:rPr>
          <w:rFonts w:ascii="Times New Roman" w:hAnsi="Times New Roman"/>
          <w:b w:val="0"/>
          <w:i/>
          <w:sz w:val="20"/>
          <w:u w:val="none"/>
        </w:rPr>
        <w:t>b Evaluated on the independent in-distribution test split (n = 214).</w:t>
      </w:r>
    </w:p>
    <w:p>
      <w:pPr>
        <w:keepNext w:val="0"/>
        <w:spacing w:before="0" w:after="120" w:line="360" w:lineRule="auto"/>
        <w:jc w:val="both"/>
      </w:pPr>
      <w:r>
        <w:rPr>
          <w:rFonts w:ascii="Times New Roman" w:hAnsi="Times New Roman"/>
          <w:b w:val="0"/>
          <w:i w:val="0"/>
          <w:sz w:val="24"/>
          <w:u w:val="none"/>
        </w:rPr>
        <w:t>While supervised tree-based ensembles achieve the highest raw Spearman correlations, the DA-SS-iVAE achieves superior classification performance on CAP &gt;= 248 (AUROC 0.791 vs. 0.766 for RF) and competitive classification on CAP &gt;= 268. The DA-SS-iVAE is regularised by demographic-conditioned priors and monotone anchors, preventing overfitting to noisy CAP labels. The deliberate trade-off (Spearman rho = 0.542 vs. 0.596 for RF) in exchange for two identifiable, biologically anchored latent axes is a design choice, not a performance deficiency.</w:t>
      </w:r>
    </w:p>
    <w:p>
      <w:pPr>
        <w:keepNext/>
        <w:spacing w:before="360" w:after="120" w:line="360" w:lineRule="auto"/>
        <w:jc w:val="left"/>
      </w:pPr>
      <w:r>
        <w:rPr>
          <w:rFonts w:ascii="Times New Roman" w:hAnsi="Times New Roman"/>
          <w:b/>
          <w:i w:val="0"/>
          <w:sz w:val="24"/>
          <w:u w:val="single"/>
        </w:rPr>
        <w:t>4.3   Conformal Subgroup Coverage Restoration</w:t>
      </w:r>
    </w:p>
    <w:p>
      <w:pPr>
        <w:keepNext w:val="0"/>
        <w:spacing w:before="0" w:after="120" w:line="360" w:lineRule="auto"/>
        <w:jc w:val="both"/>
      </w:pPr>
      <w:r>
        <w:rPr>
          <w:rFonts w:ascii="Times New Roman" w:hAnsi="Times New Roman"/>
          <w:b w:val="0"/>
          <w:i w:val="0"/>
          <w:sz w:val="24"/>
          <w:u w:val="none"/>
        </w:rPr>
        <w:t>All four phenotypic quadrants are empirically restored to &gt;=90% coverage under Mondrian calibration (see Table 4). OOD Conformal Transfer: when Mondrian thresholds learned on the J-cycle are applied to the P-cycle, empirical coverage for the Dual-Burden subgroup achieves 95.2%, demonstrating that finite-sample coverage properties transfer robustly across temporal splits.</w:t>
      </w:r>
    </w:p>
    <w:p>
      <w:pPr>
        <w:keepNext/>
        <w:spacing w:before="360" w:after="120" w:line="360" w:lineRule="auto"/>
        <w:jc w:val="left"/>
      </w:pPr>
      <w:r>
        <w:rPr>
          <w:rFonts w:ascii="Times New Roman" w:hAnsi="Times New Roman"/>
          <w:b/>
          <w:i w:val="0"/>
          <w:sz w:val="24"/>
          <w:u w:val="single"/>
        </w:rPr>
        <w:t>4.4   Strict Temporal Validation Experiment</w:t>
      </w:r>
    </w:p>
    <w:p>
      <w:pPr>
        <w:keepNext w:val="0"/>
        <w:spacing w:before="0" w:after="120" w:line="360" w:lineRule="auto"/>
        <w:jc w:val="both"/>
      </w:pPr>
      <w:r>
        <w:rPr>
          <w:rFonts w:ascii="Times New Roman" w:hAnsi="Times New Roman"/>
          <w:b w:val="0"/>
          <w:i w:val="0"/>
          <w:sz w:val="24"/>
          <w:u w:val="none"/>
        </w:rPr>
        <w:t>To verify the temporal generalisation claim without data leakage, the model was retrained from scratch using J-cycle data only (no P-cycle participant present in training or validation).</w:t>
      </w:r>
    </w:p>
    <w:p>
      <w:pPr>
        <w:keepNext/>
        <w:spacing w:before="240" w:after="80" w:line="240" w:lineRule="auto"/>
        <w:jc w:val="center"/>
      </w:pPr>
      <w:r>
        <w:rPr>
          <w:rFonts w:ascii="Times New Roman" w:hAnsi="Times New Roman"/>
          <w:b/>
          <w:i w:val="0"/>
          <w:sz w:val="20"/>
          <w:u w:val="none"/>
        </w:rPr>
        <w:t>Table 12: Strict temporal validation: J-only training vs. random cross-cycle split</w:t>
      </w:r>
    </w:p>
    <w:tbl>
      <w:tblPr>
        <w:tblStyle w:val="TableGrid"/>
        <w:tblW w:type="auto" w:w="0"/>
        <w:tblLook w:firstColumn="1" w:firstRow="1" w:lastColumn="0" w:lastRow="0" w:noHBand="0" w:noVBand="1" w:val="04A0"/>
      </w:tblPr>
      <w:tblGrid>
        <w:gridCol w:w="1984"/>
        <w:gridCol w:w="1984"/>
        <w:gridCol w:w="1984"/>
        <w:gridCol w:w="1984"/>
      </w:tblGrid>
      <w:tr>
        <w:tc>
          <w:tcPr>
            <w:tcW w:type="dxa" w:w="1984"/>
          </w:tcPr>
          <w:p>
            <w:pPr>
              <w:spacing w:before="40" w:after="40" w:line="240" w:lineRule="auto"/>
              <w:jc w:val="center"/>
            </w:pPr>
            <w:r/>
            <w:r>
              <w:rPr>
                <w:rFonts w:ascii="Times New Roman" w:hAnsi="Times New Roman"/>
                <w:b/>
                <w:i w:val="0"/>
                <w:sz w:val="20"/>
                <w:u w:val="none"/>
              </w:rPr>
              <w:t>Experiment</w:t>
            </w:r>
          </w:p>
        </w:tc>
        <w:tc>
          <w:tcPr>
            <w:tcW w:type="dxa" w:w="1984"/>
          </w:tcPr>
          <w:p>
            <w:pPr>
              <w:spacing w:before="40" w:after="40" w:line="240" w:lineRule="auto"/>
              <w:jc w:val="center"/>
            </w:pPr>
            <w:r/>
            <w:r>
              <w:rPr>
                <w:rFonts w:ascii="Times New Roman" w:hAnsi="Times New Roman"/>
                <w:b/>
                <w:i w:val="0"/>
                <w:sz w:val="20"/>
                <w:u w:val="none"/>
              </w:rPr>
              <w:t>Training n</w:t>
            </w:r>
          </w:p>
        </w:tc>
        <w:tc>
          <w:tcPr>
            <w:tcW w:type="dxa" w:w="1984"/>
          </w:tcPr>
          <w:p>
            <w:pPr>
              <w:spacing w:before="40" w:after="40" w:line="240" w:lineRule="auto"/>
              <w:jc w:val="center"/>
            </w:pPr>
            <w:r/>
            <w:r>
              <w:rPr>
                <w:rFonts w:ascii="Times New Roman" w:hAnsi="Times New Roman"/>
                <w:b/>
                <w:i w:val="0"/>
                <w:sz w:val="20"/>
                <w:u w:val="none"/>
              </w:rPr>
              <w:t>P-cycle rho (CAP)</w:t>
            </w:r>
          </w:p>
        </w:tc>
        <w:tc>
          <w:tcPr>
            <w:tcW w:type="dxa" w:w="1984"/>
          </w:tcPr>
          <w:p>
            <w:pPr>
              <w:spacing w:before="40" w:after="40" w:line="240" w:lineRule="auto"/>
              <w:jc w:val="center"/>
            </w:pPr>
            <w:r/>
            <w:r>
              <w:rPr>
                <w:rFonts w:ascii="Times New Roman" w:hAnsi="Times New Roman"/>
                <w:b/>
                <w:i w:val="0"/>
                <w:sz w:val="20"/>
                <w:u w:val="none"/>
              </w:rPr>
              <w:t>P-cycle n</w:t>
            </w:r>
          </w:p>
        </w:tc>
      </w:tr>
      <w:tr>
        <w:tc>
          <w:tcPr>
            <w:tcW w:type="dxa" w:w="1984"/>
          </w:tcPr>
          <w:p>
            <w:pPr>
              <w:spacing w:before="40" w:after="40" w:line="240" w:lineRule="auto"/>
              <w:jc w:val="left"/>
            </w:pPr>
            <w:r/>
            <w:r>
              <w:rPr>
                <w:rFonts w:ascii="Times New Roman" w:hAnsi="Times New Roman"/>
                <w:b w:val="0"/>
                <w:i w:val="0"/>
                <w:sz w:val="20"/>
                <w:u w:val="none"/>
              </w:rPr>
              <w:t>Random split (J+P combined, 70%)</w:t>
            </w:r>
          </w:p>
        </w:tc>
        <w:tc>
          <w:tcPr>
            <w:tcW w:type="dxa" w:w="1984"/>
          </w:tcPr>
          <w:p>
            <w:pPr>
              <w:spacing w:before="40" w:after="40" w:line="240" w:lineRule="auto"/>
              <w:jc w:val="left"/>
            </w:pPr>
            <w:r/>
            <w:r>
              <w:rPr>
                <w:rFonts w:ascii="Times New Roman" w:hAnsi="Times New Roman"/>
                <w:b w:val="0"/>
                <w:i w:val="0"/>
                <w:sz w:val="20"/>
                <w:u w:val="none"/>
              </w:rPr>
              <w:t>1,033</w:t>
            </w:r>
          </w:p>
        </w:tc>
        <w:tc>
          <w:tcPr>
            <w:tcW w:type="dxa" w:w="1984"/>
          </w:tcPr>
          <w:p>
            <w:pPr>
              <w:spacing w:before="40" w:after="40" w:line="240" w:lineRule="auto"/>
              <w:jc w:val="left"/>
            </w:pPr>
            <w:r/>
            <w:r>
              <w:rPr>
                <w:rFonts w:ascii="Times New Roman" w:hAnsi="Times New Roman"/>
                <w:b w:val="0"/>
                <w:i w:val="0"/>
                <w:sz w:val="20"/>
                <w:u w:val="none"/>
              </w:rPr>
              <w:t>0.501</w:t>
            </w:r>
          </w:p>
        </w:tc>
        <w:tc>
          <w:tcPr>
            <w:tcW w:type="dxa" w:w="1984"/>
          </w:tcPr>
          <w:p>
            <w:pPr>
              <w:spacing w:before="40" w:after="40" w:line="240" w:lineRule="auto"/>
              <w:jc w:val="left"/>
            </w:pPr>
            <w:r/>
            <w:r>
              <w:rPr>
                <w:rFonts w:ascii="Times New Roman" w:hAnsi="Times New Roman"/>
                <w:b w:val="0"/>
                <w:i w:val="0"/>
                <w:sz w:val="20"/>
                <w:u w:val="none"/>
              </w:rPr>
              <w:t>870</w:t>
            </w:r>
          </w:p>
        </w:tc>
      </w:tr>
      <w:tr>
        <w:tc>
          <w:tcPr>
            <w:tcW w:type="dxa" w:w="1984"/>
          </w:tcPr>
          <w:p>
            <w:pPr>
              <w:spacing w:before="40" w:after="40" w:line="240" w:lineRule="auto"/>
              <w:jc w:val="left"/>
            </w:pPr>
            <w:r/>
            <w:r>
              <w:rPr>
                <w:rFonts w:ascii="Times New Roman" w:hAnsi="Times New Roman"/>
                <w:b w:val="0"/>
                <w:i w:val="0"/>
                <w:sz w:val="20"/>
                <w:u w:val="none"/>
              </w:rPr>
              <w:t>Strict temporal (J only, 70%)</w:t>
            </w:r>
          </w:p>
        </w:tc>
        <w:tc>
          <w:tcPr>
            <w:tcW w:type="dxa" w:w="1984"/>
          </w:tcPr>
          <w:p>
            <w:pPr>
              <w:spacing w:before="40" w:after="40" w:line="240" w:lineRule="auto"/>
              <w:jc w:val="left"/>
            </w:pPr>
            <w:r/>
            <w:r>
              <w:rPr>
                <w:rFonts w:ascii="Times New Roman" w:hAnsi="Times New Roman"/>
                <w:b w:val="0"/>
                <w:i w:val="0"/>
                <w:sz w:val="20"/>
                <w:u w:val="none"/>
              </w:rPr>
              <w:t>401</w:t>
            </w:r>
          </w:p>
        </w:tc>
        <w:tc>
          <w:tcPr>
            <w:tcW w:type="dxa" w:w="1984"/>
          </w:tcPr>
          <w:p>
            <w:pPr>
              <w:spacing w:before="40" w:after="40" w:line="240" w:lineRule="auto"/>
              <w:jc w:val="left"/>
            </w:pPr>
            <w:r/>
            <w:r>
              <w:rPr>
                <w:rFonts w:ascii="Times New Roman" w:hAnsi="Times New Roman"/>
                <w:b w:val="0"/>
                <w:i w:val="0"/>
                <w:sz w:val="20"/>
                <w:u w:val="none"/>
              </w:rPr>
              <w:t>0.583 +/- 0.027</w:t>
            </w:r>
          </w:p>
        </w:tc>
        <w:tc>
          <w:tcPr>
            <w:tcW w:type="dxa" w:w="1984"/>
          </w:tcPr>
          <w:p>
            <w:pPr>
              <w:spacing w:before="40" w:after="40" w:line="240" w:lineRule="auto"/>
              <w:jc w:val="left"/>
            </w:pPr>
            <w:r/>
            <w:r>
              <w:rPr>
                <w:rFonts w:ascii="Times New Roman" w:hAnsi="Times New Roman"/>
                <w:b w:val="0"/>
                <w:i w:val="0"/>
                <w:sz w:val="20"/>
                <w:u w:val="none"/>
              </w:rPr>
              <w:t>870</w:t>
            </w:r>
          </w:p>
        </w:tc>
      </w:tr>
    </w:tbl>
    <w:p>
      <w:pPr>
        <w:keepNext w:val="0"/>
        <w:spacing w:before="0" w:after="200" w:line="360" w:lineRule="auto"/>
        <w:jc w:val="both"/>
      </w:pPr>
    </w:p>
    <w:p>
      <w:pPr>
        <w:keepNext/>
        <w:spacing w:before="240" w:after="80" w:line="240" w:lineRule="auto"/>
        <w:jc w:val="center"/>
      </w:pPr>
      <w:r>
        <w:rPr>
          <w:rFonts w:ascii="Times New Roman" w:hAnsi="Times New Roman"/>
          <w:b/>
          <w:i w:val="0"/>
          <w:sz w:val="20"/>
          <w:u w:val="none"/>
        </w:rPr>
        <w:t>Table 13: Five-seed stability audit: P-cycle rho under strict temporal split</w:t>
      </w:r>
    </w:p>
    <w:tbl>
      <w:tblPr>
        <w:tblStyle w:val="TableGrid"/>
        <w:tblW w:type="auto" w:w="0"/>
        <w:tblLook w:firstColumn="1" w:firstRow="1" w:lastColumn="0" w:lastRow="0" w:noHBand="0" w:noVBand="1" w:val="04A0"/>
      </w:tblPr>
      <w:tblGrid>
        <w:gridCol w:w="1984"/>
        <w:gridCol w:w="1984"/>
        <w:gridCol w:w="1984"/>
        <w:gridCol w:w="1984"/>
      </w:tblGrid>
      <w:tr>
        <w:tc>
          <w:tcPr>
            <w:tcW w:type="dxa" w:w="1984"/>
          </w:tcPr>
          <w:p>
            <w:pPr>
              <w:spacing w:before="40" w:after="40" w:line="240" w:lineRule="auto"/>
              <w:jc w:val="center"/>
            </w:pPr>
            <w:r/>
            <w:r>
              <w:rPr>
                <w:rFonts w:ascii="Times New Roman" w:hAnsi="Times New Roman"/>
                <w:b/>
                <w:i w:val="0"/>
                <w:sz w:val="20"/>
                <w:u w:val="none"/>
              </w:rPr>
              <w:t>Seed</w:t>
            </w:r>
          </w:p>
        </w:tc>
        <w:tc>
          <w:tcPr>
            <w:tcW w:type="dxa" w:w="1984"/>
          </w:tcPr>
          <w:p>
            <w:pPr>
              <w:spacing w:before="40" w:after="40" w:line="240" w:lineRule="auto"/>
              <w:jc w:val="center"/>
            </w:pPr>
            <w:r/>
            <w:r>
              <w:rPr>
                <w:rFonts w:ascii="Times New Roman" w:hAnsi="Times New Roman"/>
                <w:b/>
                <w:i w:val="0"/>
                <w:sz w:val="20"/>
                <w:u w:val="none"/>
              </w:rPr>
              <w:t>Train n</w:t>
            </w:r>
          </w:p>
        </w:tc>
        <w:tc>
          <w:tcPr>
            <w:tcW w:type="dxa" w:w="1984"/>
          </w:tcPr>
          <w:p>
            <w:pPr>
              <w:spacing w:before="40" w:after="40" w:line="240" w:lineRule="auto"/>
              <w:jc w:val="center"/>
            </w:pPr>
            <w:r/>
            <w:r>
              <w:rPr>
                <w:rFonts w:ascii="Times New Roman" w:hAnsi="Times New Roman"/>
                <w:b/>
                <w:i w:val="0"/>
                <w:sz w:val="20"/>
                <w:u w:val="none"/>
              </w:rPr>
              <w:t>P-cycle rho</w:t>
            </w:r>
          </w:p>
        </w:tc>
        <w:tc>
          <w:tcPr>
            <w:tcW w:type="dxa" w:w="1984"/>
          </w:tcPr>
          <w:p>
            <w:pPr>
              <w:spacing w:before="40" w:after="40" w:line="240" w:lineRule="auto"/>
              <w:jc w:val="center"/>
            </w:pPr>
            <w:r/>
            <w:r>
              <w:rPr>
                <w:rFonts w:ascii="Times New Roman" w:hAnsi="Times New Roman"/>
                <w:b/>
                <w:i w:val="0"/>
                <w:sz w:val="20"/>
                <w:u w:val="none"/>
              </w:rPr>
              <w:t>Stopped Epoch</w:t>
            </w:r>
          </w:p>
        </w:tc>
      </w:tr>
      <w:tr>
        <w:tc>
          <w:tcPr>
            <w:tcW w:type="dxa" w:w="1984"/>
          </w:tcPr>
          <w:p>
            <w:pPr>
              <w:spacing w:before="40" w:after="40" w:line="240" w:lineRule="auto"/>
              <w:jc w:val="left"/>
            </w:pPr>
            <w:r/>
            <w:r>
              <w:rPr>
                <w:rFonts w:ascii="Times New Roman" w:hAnsi="Times New Roman"/>
                <w:b w:val="0"/>
                <w:i w:val="0"/>
                <w:sz w:val="20"/>
                <w:u w:val="none"/>
              </w:rPr>
              <w:t>42</w:t>
            </w:r>
          </w:p>
        </w:tc>
        <w:tc>
          <w:tcPr>
            <w:tcW w:type="dxa" w:w="1984"/>
          </w:tcPr>
          <w:p>
            <w:pPr>
              <w:spacing w:before="40" w:after="40" w:line="240" w:lineRule="auto"/>
              <w:jc w:val="left"/>
            </w:pPr>
            <w:r/>
            <w:r>
              <w:rPr>
                <w:rFonts w:ascii="Times New Roman" w:hAnsi="Times New Roman"/>
                <w:b w:val="0"/>
                <w:i w:val="0"/>
                <w:sz w:val="20"/>
                <w:u w:val="none"/>
              </w:rPr>
              <w:t>401</w:t>
            </w:r>
          </w:p>
        </w:tc>
        <w:tc>
          <w:tcPr>
            <w:tcW w:type="dxa" w:w="1984"/>
          </w:tcPr>
          <w:p>
            <w:pPr>
              <w:spacing w:before="40" w:after="40" w:line="240" w:lineRule="auto"/>
              <w:jc w:val="left"/>
            </w:pPr>
            <w:r/>
            <w:r>
              <w:rPr>
                <w:rFonts w:ascii="Times New Roman" w:hAnsi="Times New Roman"/>
                <w:b w:val="0"/>
                <w:i w:val="0"/>
                <w:sz w:val="20"/>
                <w:u w:val="none"/>
              </w:rPr>
              <w:t>0.5926</w:t>
            </w:r>
          </w:p>
        </w:tc>
        <w:tc>
          <w:tcPr>
            <w:tcW w:type="dxa" w:w="1984"/>
          </w:tcPr>
          <w:p>
            <w:pPr>
              <w:spacing w:before="40" w:after="40" w:line="240" w:lineRule="auto"/>
              <w:jc w:val="left"/>
            </w:pPr>
            <w:r/>
            <w:r>
              <w:rPr>
                <w:rFonts w:ascii="Times New Roman" w:hAnsi="Times New Roman"/>
                <w:b w:val="0"/>
                <w:i w:val="0"/>
                <w:sz w:val="20"/>
                <w:u w:val="none"/>
              </w:rPr>
              <w:t>84</w:t>
            </w:r>
          </w:p>
        </w:tc>
      </w:tr>
      <w:tr>
        <w:tc>
          <w:tcPr>
            <w:tcW w:type="dxa" w:w="1984"/>
          </w:tcPr>
          <w:p>
            <w:pPr>
              <w:spacing w:before="40" w:after="40" w:line="240" w:lineRule="auto"/>
              <w:jc w:val="left"/>
            </w:pPr>
            <w:r/>
            <w:r>
              <w:rPr>
                <w:rFonts w:ascii="Times New Roman" w:hAnsi="Times New Roman"/>
                <w:b w:val="0"/>
                <w:i w:val="0"/>
                <w:sz w:val="20"/>
                <w:u w:val="none"/>
              </w:rPr>
              <w:t>7</w:t>
            </w:r>
          </w:p>
        </w:tc>
        <w:tc>
          <w:tcPr>
            <w:tcW w:type="dxa" w:w="1984"/>
          </w:tcPr>
          <w:p>
            <w:pPr>
              <w:spacing w:before="40" w:after="40" w:line="240" w:lineRule="auto"/>
              <w:jc w:val="left"/>
            </w:pPr>
            <w:r/>
            <w:r>
              <w:rPr>
                <w:rFonts w:ascii="Times New Roman" w:hAnsi="Times New Roman"/>
                <w:b w:val="0"/>
                <w:i w:val="0"/>
                <w:sz w:val="20"/>
                <w:u w:val="none"/>
              </w:rPr>
              <w:t>401</w:t>
            </w:r>
          </w:p>
        </w:tc>
        <w:tc>
          <w:tcPr>
            <w:tcW w:type="dxa" w:w="1984"/>
          </w:tcPr>
          <w:p>
            <w:pPr>
              <w:spacing w:before="40" w:after="40" w:line="240" w:lineRule="auto"/>
              <w:jc w:val="left"/>
            </w:pPr>
            <w:r/>
            <w:r>
              <w:rPr>
                <w:rFonts w:ascii="Times New Roman" w:hAnsi="Times New Roman"/>
                <w:b w:val="0"/>
                <w:i w:val="0"/>
                <w:sz w:val="20"/>
                <w:u w:val="none"/>
              </w:rPr>
              <w:t>0.6270</w:t>
            </w:r>
          </w:p>
        </w:tc>
        <w:tc>
          <w:tcPr>
            <w:tcW w:type="dxa" w:w="1984"/>
          </w:tcPr>
          <w:p>
            <w:pPr>
              <w:spacing w:before="40" w:after="40" w:line="240" w:lineRule="auto"/>
              <w:jc w:val="left"/>
            </w:pPr>
            <w:r/>
            <w:r>
              <w:rPr>
                <w:rFonts w:ascii="Times New Roman" w:hAnsi="Times New Roman"/>
                <w:b w:val="0"/>
                <w:i w:val="0"/>
                <w:sz w:val="20"/>
                <w:u w:val="none"/>
              </w:rPr>
              <w:t>122</w:t>
            </w:r>
          </w:p>
        </w:tc>
      </w:tr>
      <w:tr>
        <w:tc>
          <w:tcPr>
            <w:tcW w:type="dxa" w:w="1984"/>
          </w:tcPr>
          <w:p>
            <w:pPr>
              <w:spacing w:before="40" w:after="40" w:line="240" w:lineRule="auto"/>
              <w:jc w:val="left"/>
            </w:pPr>
            <w:r/>
            <w:r>
              <w:rPr>
                <w:rFonts w:ascii="Times New Roman" w:hAnsi="Times New Roman"/>
                <w:b w:val="0"/>
                <w:i w:val="0"/>
                <w:sz w:val="20"/>
                <w:u w:val="none"/>
              </w:rPr>
              <w:t>123</w:t>
            </w:r>
          </w:p>
        </w:tc>
        <w:tc>
          <w:tcPr>
            <w:tcW w:type="dxa" w:w="1984"/>
          </w:tcPr>
          <w:p>
            <w:pPr>
              <w:spacing w:before="40" w:after="40" w:line="240" w:lineRule="auto"/>
              <w:jc w:val="left"/>
            </w:pPr>
            <w:r/>
            <w:r>
              <w:rPr>
                <w:rFonts w:ascii="Times New Roman" w:hAnsi="Times New Roman"/>
                <w:b w:val="0"/>
                <w:i w:val="0"/>
                <w:sz w:val="20"/>
                <w:u w:val="none"/>
              </w:rPr>
              <w:t>401</w:t>
            </w:r>
          </w:p>
        </w:tc>
        <w:tc>
          <w:tcPr>
            <w:tcW w:type="dxa" w:w="1984"/>
          </w:tcPr>
          <w:p>
            <w:pPr>
              <w:spacing w:before="40" w:after="40" w:line="240" w:lineRule="auto"/>
              <w:jc w:val="left"/>
            </w:pPr>
            <w:r/>
            <w:r>
              <w:rPr>
                <w:rFonts w:ascii="Times New Roman" w:hAnsi="Times New Roman"/>
                <w:b w:val="0"/>
                <w:i w:val="0"/>
                <w:sz w:val="20"/>
                <w:u w:val="none"/>
              </w:rPr>
              <w:t>0.5811</w:t>
            </w:r>
          </w:p>
        </w:tc>
        <w:tc>
          <w:tcPr>
            <w:tcW w:type="dxa" w:w="1984"/>
          </w:tcPr>
          <w:p>
            <w:pPr>
              <w:spacing w:before="40" w:after="40" w:line="240" w:lineRule="auto"/>
              <w:jc w:val="left"/>
            </w:pPr>
            <w:r/>
            <w:r>
              <w:rPr>
                <w:rFonts w:ascii="Times New Roman" w:hAnsi="Times New Roman"/>
                <w:b w:val="0"/>
                <w:i w:val="0"/>
                <w:sz w:val="20"/>
                <w:u w:val="none"/>
              </w:rPr>
              <w:t>74</w:t>
            </w:r>
          </w:p>
        </w:tc>
      </w:tr>
      <w:tr>
        <w:tc>
          <w:tcPr>
            <w:tcW w:type="dxa" w:w="1984"/>
          </w:tcPr>
          <w:p>
            <w:pPr>
              <w:spacing w:before="40" w:after="40" w:line="240" w:lineRule="auto"/>
              <w:jc w:val="left"/>
            </w:pPr>
            <w:r/>
            <w:r>
              <w:rPr>
                <w:rFonts w:ascii="Times New Roman" w:hAnsi="Times New Roman"/>
                <w:b w:val="0"/>
                <w:i w:val="0"/>
                <w:sz w:val="20"/>
                <w:u w:val="none"/>
              </w:rPr>
              <w:t>999</w:t>
            </w:r>
          </w:p>
        </w:tc>
        <w:tc>
          <w:tcPr>
            <w:tcW w:type="dxa" w:w="1984"/>
          </w:tcPr>
          <w:p>
            <w:pPr>
              <w:spacing w:before="40" w:after="40" w:line="240" w:lineRule="auto"/>
              <w:jc w:val="left"/>
            </w:pPr>
            <w:r/>
            <w:r>
              <w:rPr>
                <w:rFonts w:ascii="Times New Roman" w:hAnsi="Times New Roman"/>
                <w:b w:val="0"/>
                <w:i w:val="0"/>
                <w:sz w:val="20"/>
                <w:u w:val="none"/>
              </w:rPr>
              <w:t>401</w:t>
            </w:r>
          </w:p>
        </w:tc>
        <w:tc>
          <w:tcPr>
            <w:tcW w:type="dxa" w:w="1984"/>
          </w:tcPr>
          <w:p>
            <w:pPr>
              <w:spacing w:before="40" w:after="40" w:line="240" w:lineRule="auto"/>
              <w:jc w:val="left"/>
            </w:pPr>
            <w:r/>
            <w:r>
              <w:rPr>
                <w:rFonts w:ascii="Times New Roman" w:hAnsi="Times New Roman"/>
                <w:b w:val="0"/>
                <w:i w:val="0"/>
                <w:sz w:val="20"/>
                <w:u w:val="none"/>
              </w:rPr>
              <w:t>0.5668</w:t>
            </w:r>
          </w:p>
        </w:tc>
        <w:tc>
          <w:tcPr>
            <w:tcW w:type="dxa" w:w="1984"/>
          </w:tcPr>
          <w:p>
            <w:pPr>
              <w:spacing w:before="40" w:after="40" w:line="240" w:lineRule="auto"/>
              <w:jc w:val="left"/>
            </w:pPr>
            <w:r/>
            <w:r>
              <w:rPr>
                <w:rFonts w:ascii="Times New Roman" w:hAnsi="Times New Roman"/>
                <w:b w:val="0"/>
                <w:i w:val="0"/>
                <w:sz w:val="20"/>
                <w:u w:val="none"/>
              </w:rPr>
              <w:t>75</w:t>
            </w:r>
          </w:p>
        </w:tc>
      </w:tr>
      <w:tr>
        <w:tc>
          <w:tcPr>
            <w:tcW w:type="dxa" w:w="1984"/>
          </w:tcPr>
          <w:p>
            <w:pPr>
              <w:spacing w:before="40" w:after="40" w:line="240" w:lineRule="auto"/>
              <w:jc w:val="left"/>
            </w:pPr>
            <w:r/>
            <w:r>
              <w:rPr>
                <w:rFonts w:ascii="Times New Roman" w:hAnsi="Times New Roman"/>
                <w:b w:val="0"/>
                <w:i w:val="0"/>
                <w:sz w:val="20"/>
                <w:u w:val="none"/>
              </w:rPr>
              <w:t>2024</w:t>
            </w:r>
          </w:p>
        </w:tc>
        <w:tc>
          <w:tcPr>
            <w:tcW w:type="dxa" w:w="1984"/>
          </w:tcPr>
          <w:p>
            <w:pPr>
              <w:spacing w:before="40" w:after="40" w:line="240" w:lineRule="auto"/>
              <w:jc w:val="left"/>
            </w:pPr>
            <w:r/>
            <w:r>
              <w:rPr>
                <w:rFonts w:ascii="Times New Roman" w:hAnsi="Times New Roman"/>
                <w:b w:val="0"/>
                <w:i w:val="0"/>
                <w:sz w:val="20"/>
                <w:u w:val="none"/>
              </w:rPr>
              <w:t>401</w:t>
            </w:r>
          </w:p>
        </w:tc>
        <w:tc>
          <w:tcPr>
            <w:tcW w:type="dxa" w:w="1984"/>
          </w:tcPr>
          <w:p>
            <w:pPr>
              <w:spacing w:before="40" w:after="40" w:line="240" w:lineRule="auto"/>
              <w:jc w:val="left"/>
            </w:pPr>
            <w:r/>
            <w:r>
              <w:rPr>
                <w:rFonts w:ascii="Times New Roman" w:hAnsi="Times New Roman"/>
                <w:b w:val="0"/>
                <w:i w:val="0"/>
                <w:sz w:val="20"/>
                <w:u w:val="none"/>
              </w:rPr>
              <w:t>0.5463</w:t>
            </w:r>
          </w:p>
        </w:tc>
        <w:tc>
          <w:tcPr>
            <w:tcW w:type="dxa" w:w="1984"/>
          </w:tcPr>
          <w:p>
            <w:pPr>
              <w:spacing w:before="40" w:after="40" w:line="240" w:lineRule="auto"/>
              <w:jc w:val="left"/>
            </w:pPr>
            <w:r/>
            <w:r>
              <w:rPr>
                <w:rFonts w:ascii="Times New Roman" w:hAnsi="Times New Roman"/>
                <w:b w:val="0"/>
                <w:i w:val="0"/>
                <w:sz w:val="20"/>
                <w:u w:val="none"/>
              </w:rPr>
              <w:t>63</w:t>
            </w:r>
          </w:p>
        </w:tc>
      </w:tr>
      <w:tr>
        <w:tc>
          <w:tcPr>
            <w:tcW w:type="dxa" w:w="1984"/>
          </w:tcPr>
          <w:p>
            <w:pPr>
              <w:spacing w:before="40" w:after="40" w:line="240" w:lineRule="auto"/>
              <w:jc w:val="left"/>
            </w:pPr>
            <w:r/>
            <w:r>
              <w:rPr>
                <w:rFonts w:ascii="Times New Roman" w:hAnsi="Times New Roman"/>
                <w:b w:val="0"/>
                <w:i w:val="0"/>
                <w:sz w:val="20"/>
                <w:u w:val="none"/>
              </w:rPr>
              <w:t>Mean +/- SD</w:t>
            </w:r>
          </w:p>
        </w:tc>
        <w:tc>
          <w:tcPr>
            <w:tcW w:type="dxa" w:w="1984"/>
          </w:tcPr>
          <w:p>
            <w:pPr>
              <w:spacing w:before="40" w:after="40" w:line="240" w:lineRule="auto"/>
              <w:jc w:val="left"/>
            </w:pPr>
            <w:r/>
            <w:r>
              <w:rPr>
                <w:rFonts w:ascii="Times New Roman" w:hAnsi="Times New Roman"/>
                <w:b w:val="0"/>
                <w:i w:val="0"/>
                <w:sz w:val="20"/>
                <w:u w:val="none"/>
              </w:rPr>
              <w:t>--</w:t>
            </w:r>
          </w:p>
        </w:tc>
        <w:tc>
          <w:tcPr>
            <w:tcW w:type="dxa" w:w="1984"/>
          </w:tcPr>
          <w:p>
            <w:pPr>
              <w:spacing w:before="40" w:after="40" w:line="240" w:lineRule="auto"/>
              <w:jc w:val="left"/>
            </w:pPr>
            <w:r/>
            <w:r>
              <w:rPr>
                <w:rFonts w:ascii="Times New Roman" w:hAnsi="Times New Roman"/>
                <w:b w:val="0"/>
                <w:i w:val="0"/>
                <w:sz w:val="20"/>
                <w:u w:val="none"/>
              </w:rPr>
              <w:t>0.583 +/- 0.027</w:t>
            </w:r>
          </w:p>
        </w:tc>
        <w:tc>
          <w:tcPr>
            <w:tcW w:type="dxa" w:w="1984"/>
          </w:tcPr>
          <w:p>
            <w:pPr>
              <w:spacing w:before="40" w:after="40" w:line="240" w:lineRule="auto"/>
              <w:jc w:val="left"/>
            </w:pPr>
            <w:r/>
            <w:r>
              <w:rPr>
                <w:rFonts w:ascii="Times New Roman" w:hAnsi="Times New Roman"/>
                <w:b w:val="0"/>
                <w:i w:val="0"/>
                <w:sz w:val="20"/>
                <w:u w:val="none"/>
              </w:rPr>
              <w:t>--</w:t>
            </w:r>
          </w:p>
        </w:tc>
      </w:tr>
    </w:tbl>
    <w:p>
      <w:pPr>
        <w:keepNext w:val="0"/>
        <w:spacing w:before="0" w:after="200" w:line="360" w:lineRule="auto"/>
        <w:jc w:val="both"/>
      </w:pPr>
    </w:p>
    <w:p>
      <w:pPr>
        <w:keepNext w:val="0"/>
        <w:spacing w:before="0" w:after="120" w:line="360" w:lineRule="auto"/>
        <w:jc w:val="both"/>
      </w:pPr>
      <w:r>
        <w:rPr>
          <w:rFonts w:ascii="Times New Roman" w:hAnsi="Times New Roman"/>
          <w:b w:val="0"/>
          <w:i w:val="0"/>
          <w:sz w:val="24"/>
          <w:u w:val="none"/>
        </w:rPr>
        <w:t>Four-check audit (all passed):</w:t>
      </w:r>
    </w:p>
    <w:p>
      <w:pPr>
        <w:keepNext w:val="0"/>
        <w:spacing w:before="0" w:after="80" w:line="360" w:lineRule="auto"/>
        <w:ind w:left="850" w:hanging="850"/>
        <w:jc w:val="both"/>
      </w:pPr>
      <w:r>
        <w:rPr>
          <w:rFonts w:ascii="Times New Roman" w:hAnsi="Times New Roman"/>
          <w:b/>
          <w:i w:val="0"/>
          <w:sz w:val="24"/>
          <w:u w:val="none"/>
        </w:rPr>
        <w:t>1.</w:t>
        <w:tab/>
      </w:r>
      <w:r>
        <w:rPr>
          <w:rFonts w:ascii="Times New Roman" w:hAnsi="Times New Roman"/>
          <w:b/>
          <w:i w:val="0"/>
          <w:sz w:val="24"/>
          <w:u w:val="none"/>
        </w:rPr>
        <w:t xml:space="preserve">SEQN-level zero-overlap: </w:t>
      </w:r>
      <w:r>
        <w:rPr>
          <w:rFonts w:ascii="Times New Roman" w:hAnsi="Times New Roman"/>
          <w:b w:val="0"/>
          <w:i w:val="0"/>
          <w:sz w:val="24"/>
          <w:u w:val="none"/>
        </w:rPr>
        <w:t>Verified by set intersection. J-cycle and P-cycle share zero SEQNs. No data leakage is possible at any level.</w:t>
      </w:r>
    </w:p>
    <w:p>
      <w:pPr>
        <w:keepNext w:val="0"/>
        <w:spacing w:before="0" w:after="80" w:line="360" w:lineRule="auto"/>
        <w:ind w:left="850" w:hanging="850"/>
        <w:jc w:val="both"/>
      </w:pPr>
      <w:r>
        <w:rPr>
          <w:rFonts w:ascii="Times New Roman" w:hAnsi="Times New Roman"/>
          <w:b/>
          <w:i w:val="0"/>
          <w:sz w:val="24"/>
          <w:u w:val="none"/>
        </w:rPr>
        <w:t>2.</w:t>
        <w:tab/>
      </w:r>
      <w:r>
        <w:rPr>
          <w:rFonts w:ascii="Times New Roman" w:hAnsi="Times New Roman"/>
          <w:b/>
          <w:i w:val="0"/>
          <w:sz w:val="24"/>
          <w:u w:val="none"/>
        </w:rPr>
        <w:t xml:space="preserve">Five-seed stability: </w:t>
      </w:r>
      <w:r>
        <w:rPr>
          <w:rFonts w:ascii="Times New Roman" w:hAnsi="Times New Roman"/>
          <w:b w:val="0"/>
          <w:i w:val="0"/>
          <w:sz w:val="24"/>
          <w:u w:val="none"/>
        </w:rPr>
        <w:t>SD = 0.027 &lt; 0.03 threshold. The single-seed result is representative. Mean rho = 0.583 is the primary reported figure.</w:t>
      </w:r>
    </w:p>
    <w:p>
      <w:pPr>
        <w:keepNext w:val="0"/>
        <w:spacing w:before="0" w:after="80" w:line="360" w:lineRule="auto"/>
        <w:ind w:left="850" w:hanging="850"/>
        <w:jc w:val="both"/>
      </w:pPr>
      <w:r>
        <w:rPr>
          <w:rFonts w:ascii="Times New Roman" w:hAnsi="Times New Roman"/>
          <w:b/>
          <w:i w:val="0"/>
          <w:sz w:val="24"/>
          <w:u w:val="none"/>
        </w:rPr>
        <w:t>3.</w:t>
        <w:tab/>
      </w:r>
      <w:r>
        <w:rPr>
          <w:rFonts w:ascii="Times New Roman" w:hAnsi="Times New Roman"/>
          <w:b/>
          <w:i w:val="0"/>
          <w:sz w:val="24"/>
          <w:u w:val="none"/>
        </w:rPr>
        <w:t xml:space="preserve">Distribution comparison: </w:t>
      </w:r>
      <w:r>
        <w:rPr>
          <w:rFonts w:ascii="Times New Roman" w:hAnsi="Times New Roman"/>
          <w:b w:val="0"/>
          <w:i w:val="0"/>
          <w:sz w:val="24"/>
          <w:u w:val="none"/>
        </w:rPr>
        <w:t>CAP IQR ratio (P/J) = 0.996 -- P-cycle is marginally narrower, not wider. Range expansion is definitively ruled out.</w:t>
      </w:r>
    </w:p>
    <w:p>
      <w:pPr>
        <w:keepNext w:val="0"/>
        <w:spacing w:before="0" w:after="80" w:line="360" w:lineRule="auto"/>
        <w:ind w:left="850" w:hanging="850"/>
        <w:jc w:val="both"/>
      </w:pPr>
      <w:r>
        <w:rPr>
          <w:rFonts w:ascii="Times New Roman" w:hAnsi="Times New Roman"/>
          <w:b/>
          <w:i w:val="0"/>
          <w:sz w:val="24"/>
          <w:u w:val="none"/>
        </w:rPr>
        <w:t>4.</w:t>
        <w:tab/>
      </w:r>
      <w:r>
        <w:rPr>
          <w:rFonts w:ascii="Times New Roman" w:hAnsi="Times New Roman"/>
          <w:b/>
          <w:i w:val="0"/>
          <w:sz w:val="24"/>
          <w:u w:val="none"/>
        </w:rPr>
        <w:t xml:space="preserve">Verdict logic: </w:t>
      </w:r>
      <w:r>
        <w:rPr>
          <w:rFonts w:ascii="Times New Roman" w:hAnsi="Times New Roman"/>
          <w:b w:val="0"/>
          <w:i w:val="0"/>
          <w:sz w:val="24"/>
          <w:u w:val="none"/>
        </w:rPr>
        <w:t>All five seeds exceed the mixed-split baseline. The corrected one-sided criterion confirms genuine temporal generalisation.</w:t>
      </w:r>
    </w:p>
    <w:p>
      <w:pPr>
        <w:keepNext/>
        <w:spacing w:before="360" w:after="120" w:line="360" w:lineRule="auto"/>
        <w:jc w:val="left"/>
      </w:pPr>
      <w:r>
        <w:rPr>
          <w:rFonts w:ascii="Times New Roman" w:hAnsi="Times New Roman"/>
          <w:b/>
          <w:i w:val="0"/>
          <w:sz w:val="24"/>
          <w:u w:val="single"/>
        </w:rPr>
        <w:t>4.5   Post-Pandemic Temporal Shift (L-Cycle)</w:t>
      </w:r>
    </w:p>
    <w:p>
      <w:pPr>
        <w:keepNext w:val="0"/>
        <w:spacing w:before="0" w:after="120" w:line="360" w:lineRule="auto"/>
        <w:jc w:val="both"/>
      </w:pPr>
      <w:r>
        <w:rPr>
          <w:rFonts w:ascii="Times New Roman" w:hAnsi="Times New Roman"/>
          <w:b w:val="0"/>
          <w:i w:val="0"/>
          <w:sz w:val="24"/>
          <w:u w:val="none"/>
        </w:rPr>
        <w:t>To severely stress-test the model, the J-cycle (2017-2018) model was evaluated zero-shot on a post-pandemic cohort: NHANES August 2021 - August 2023 (L-Cycle), yielding a clean strict test set of N = 726.</w:t>
      </w:r>
    </w:p>
    <w:p>
      <w:pPr>
        <w:keepNext w:val="0"/>
        <w:spacing w:before="0" w:after="120" w:line="360" w:lineRule="auto"/>
        <w:jc w:val="both"/>
      </w:pPr>
      <w:r>
        <w:rPr>
          <w:rFonts w:ascii="Times New Roman" w:hAnsi="Times New Roman"/>
          <w:b w:val="0"/>
          <w:i w:val="0"/>
          <w:sz w:val="24"/>
          <w:u w:val="none"/>
        </w:rPr>
        <w:t>When exposed to this massive temporal shift, point-prediction degraded:</w:t>
      </w:r>
    </w:p>
    <w:p>
      <w:pPr>
        <w:keepNext w:val="0"/>
        <w:spacing w:before="0" w:after="60" w:line="360" w:lineRule="auto"/>
        <w:ind w:left="567" w:hanging="283"/>
        <w:jc w:val="both"/>
      </w:pPr>
      <w:r>
        <w:rPr>
          <w:rFonts w:ascii="Times New Roman" w:hAnsi="Times New Roman"/>
          <w:b w:val="0"/>
          <w:i w:val="0"/>
          <w:sz w:val="24"/>
          <w:u w:val="none"/>
        </w:rPr>
        <w:t xml:space="preserve">•  </w:t>
      </w:r>
      <w:r>
        <w:rPr>
          <w:rFonts w:ascii="Times New Roman" w:hAnsi="Times New Roman"/>
          <w:b/>
          <w:i w:val="0"/>
          <w:sz w:val="24"/>
          <w:u w:val="none"/>
        </w:rPr>
        <w:t xml:space="preserve">DA-SS-iVAE (LMSIS): </w:t>
      </w:r>
      <w:r>
        <w:rPr>
          <w:rFonts w:ascii="Times New Roman" w:hAnsi="Times New Roman"/>
          <w:b w:val="0"/>
          <w:i w:val="0"/>
          <w:sz w:val="24"/>
          <w:u w:val="none"/>
        </w:rPr>
        <w:t>Mean rho dropped to 0.332 +/- 0.046.</w:t>
      </w:r>
    </w:p>
    <w:p>
      <w:pPr>
        <w:keepNext w:val="0"/>
        <w:spacing w:before="0" w:after="60" w:line="360" w:lineRule="auto"/>
        <w:ind w:left="567" w:hanging="283"/>
        <w:jc w:val="both"/>
      </w:pPr>
      <w:r>
        <w:rPr>
          <w:rFonts w:ascii="Times New Roman" w:hAnsi="Times New Roman"/>
          <w:b w:val="0"/>
          <w:i w:val="0"/>
          <w:sz w:val="24"/>
          <w:u w:val="none"/>
        </w:rPr>
        <w:t xml:space="preserve">•  </w:t>
      </w:r>
      <w:r>
        <w:rPr>
          <w:rFonts w:ascii="Times New Roman" w:hAnsi="Times New Roman"/>
          <w:b/>
          <w:i w:val="0"/>
          <w:sz w:val="24"/>
          <w:u w:val="none"/>
        </w:rPr>
        <w:t xml:space="preserve">Baselines: </w:t>
      </w:r>
      <w:r>
        <w:rPr>
          <w:rFonts w:ascii="Times New Roman" w:hAnsi="Times New Roman"/>
          <w:b w:val="0"/>
          <w:i w:val="0"/>
          <w:sz w:val="24"/>
          <w:u w:val="none"/>
        </w:rPr>
        <w:t>The model underperformed the FLI formula (rho = 0.419) and tied with the TyG Index (rho = 0.332).</w:t>
      </w:r>
    </w:p>
    <w:p>
      <w:pPr>
        <w:keepNext w:val="0"/>
        <w:spacing w:before="0" w:after="120" w:line="360" w:lineRule="auto"/>
        <w:jc w:val="both"/>
      </w:pPr>
      <w:r>
        <w:rPr>
          <w:rFonts w:ascii="Times New Roman" w:hAnsi="Times New Roman"/>
          <w:b w:val="0"/>
          <w:i w:val="0"/>
          <w:sz w:val="24"/>
          <w:u w:val="none"/>
        </w:rPr>
        <w:t>Per-Axis Localisation Audit:</w:t>
      </w:r>
    </w:p>
    <w:p>
      <w:pPr>
        <w:keepNext w:val="0"/>
        <w:spacing w:before="0" w:after="60" w:line="360" w:lineRule="auto"/>
        <w:ind w:left="567" w:hanging="283"/>
        <w:jc w:val="both"/>
      </w:pPr>
      <w:r>
        <w:rPr>
          <w:rFonts w:ascii="Times New Roman" w:hAnsi="Times New Roman"/>
          <w:b w:val="0"/>
          <w:i w:val="0"/>
          <w:sz w:val="24"/>
          <w:u w:val="none"/>
        </w:rPr>
        <w:t xml:space="preserve">•  </w:t>
      </w:r>
      <w:r>
        <w:rPr>
          <w:rFonts w:ascii="Times New Roman" w:hAnsi="Times New Roman"/>
          <w:b/>
          <w:i w:val="0"/>
          <w:sz w:val="24"/>
          <w:u w:val="none"/>
        </w:rPr>
        <w:t xml:space="preserve">Z1 (Insulin Resistance vs HOMA-IR): </w:t>
      </w:r>
      <w:r>
        <w:rPr>
          <w:rFonts w:ascii="Times New Roman" w:hAnsi="Times New Roman"/>
          <w:b w:val="0"/>
          <w:i w:val="0"/>
          <w:sz w:val="24"/>
          <w:u w:val="none"/>
        </w:rPr>
        <w:t>rho = 0.801 -&gt; 0.773 (Stable)</w:t>
      </w:r>
    </w:p>
    <w:p>
      <w:pPr>
        <w:keepNext w:val="0"/>
        <w:spacing w:before="0" w:after="60" w:line="360" w:lineRule="auto"/>
        <w:ind w:left="567" w:hanging="283"/>
        <w:jc w:val="both"/>
      </w:pPr>
      <w:r>
        <w:rPr>
          <w:rFonts w:ascii="Times New Roman" w:hAnsi="Times New Roman"/>
          <w:b w:val="0"/>
          <w:i w:val="0"/>
          <w:sz w:val="24"/>
          <w:u w:val="none"/>
        </w:rPr>
        <w:t xml:space="preserve">•  </w:t>
      </w:r>
      <w:r>
        <w:rPr>
          <w:rFonts w:ascii="Times New Roman" w:hAnsi="Times New Roman"/>
          <w:b/>
          <w:i w:val="0"/>
          <w:sz w:val="24"/>
          <w:u w:val="none"/>
        </w:rPr>
        <w:t xml:space="preserve">Z2 (Hepatic Steatosis vs FibroScan): </w:t>
      </w:r>
      <w:r>
        <w:rPr>
          <w:rFonts w:ascii="Times New Roman" w:hAnsi="Times New Roman"/>
          <w:b w:val="0"/>
          <w:i w:val="0"/>
          <w:sz w:val="24"/>
          <w:u w:val="none"/>
        </w:rPr>
        <w:t>rho = 0.583 -&gt; 0.332 (Severe Degradation)</w:t>
      </w:r>
    </w:p>
    <w:p>
      <w:pPr>
        <w:keepNext w:val="0"/>
        <w:spacing w:before="0" w:after="120" w:line="360" w:lineRule="auto"/>
        <w:jc w:val="both"/>
      </w:pPr>
      <w:r>
        <w:rPr>
          <w:rFonts w:ascii="Times New Roman" w:hAnsi="Times New Roman"/>
          <w:b w:val="0"/>
          <w:i w:val="0"/>
          <w:sz w:val="24"/>
          <w:u w:val="none"/>
        </w:rPr>
        <w:t>While the post-pandemic shift fractured the latent steatosis representation, the Mondrian Conformal Prediction layer successfully caught the uncertainty. The calibrated conformal bounds preserved &gt;=90% clinical coverage across all quadrants on the unseen L-cycle. The mechanism behind Z2 fracturing while Z1 remained stable is an open question for future investigation.</w:t>
      </w:r>
    </w:p>
    <w:p>
      <w:pPr>
        <w:keepNext/>
        <w:spacing w:before="360" w:after="120" w:line="360" w:lineRule="auto"/>
        <w:jc w:val="left"/>
      </w:pPr>
      <w:r>
        <w:rPr>
          <w:rFonts w:ascii="Times New Roman" w:hAnsi="Times New Roman"/>
          <w:b/>
          <w:i w:val="0"/>
          <w:sz w:val="24"/>
          <w:u w:val="single"/>
        </w:rPr>
        <w:t>4.6   National Prevalence Extrapolation</w:t>
      </w:r>
    </w:p>
    <w:p>
      <w:pPr>
        <w:keepNext w:val="0"/>
        <w:spacing w:before="0" w:after="60" w:line="360" w:lineRule="auto"/>
        <w:ind w:left="567" w:hanging="283"/>
        <w:jc w:val="both"/>
      </w:pPr>
      <w:r>
        <w:rPr>
          <w:rFonts w:ascii="Times New Roman" w:hAnsi="Times New Roman"/>
          <w:b w:val="0"/>
          <w:i w:val="0"/>
          <w:sz w:val="24"/>
          <w:u w:val="none"/>
        </w:rPr>
        <w:t xml:space="preserve">•  </w:t>
      </w:r>
      <w:r>
        <w:rPr>
          <w:rFonts w:ascii="Times New Roman" w:hAnsi="Times New Roman"/>
          <w:b/>
          <w:i w:val="0"/>
          <w:sz w:val="24"/>
          <w:u w:val="none"/>
        </w:rPr>
        <w:t xml:space="preserve">Dual-Burden Prevalence (Survey-Weighted): </w:t>
      </w:r>
      <w:r>
        <w:rPr>
          <w:rFonts w:ascii="Times New Roman" w:hAnsi="Times New Roman"/>
          <w:b w:val="0"/>
          <w:i w:val="0"/>
          <w:sz w:val="24"/>
          <w:u w:val="none"/>
        </w:rPr>
        <w:t>29.89% of normal-BMI US adults (~23.91 million people).</w:t>
      </w:r>
    </w:p>
    <w:p>
      <w:pPr>
        <w:keepNext w:val="0"/>
        <w:spacing w:before="0" w:after="60" w:line="360" w:lineRule="auto"/>
        <w:ind w:left="567" w:hanging="283"/>
        <w:jc w:val="both"/>
      </w:pPr>
      <w:r>
        <w:rPr>
          <w:rFonts w:ascii="Times New Roman" w:hAnsi="Times New Roman"/>
          <w:b w:val="0"/>
          <w:i w:val="0"/>
          <w:sz w:val="24"/>
          <w:u w:val="none"/>
        </w:rPr>
        <w:t xml:space="preserve">•  </w:t>
      </w:r>
      <w:r>
        <w:rPr>
          <w:rFonts w:ascii="Times New Roman" w:hAnsi="Times New Roman"/>
          <w:b/>
          <w:i w:val="0"/>
          <w:sz w:val="24"/>
          <w:u w:val="none"/>
        </w:rPr>
        <w:t xml:space="preserve">95% Confidence Interval: </w:t>
      </w:r>
      <w:r>
        <w:rPr>
          <w:rFonts w:ascii="Times New Roman" w:hAnsi="Times New Roman"/>
          <w:b w:val="0"/>
          <w:i w:val="0"/>
          <w:sz w:val="24"/>
          <w:u w:val="none"/>
        </w:rPr>
        <w:t>[0.00M, 64.36M].</w:t>
      </w:r>
    </w:p>
    <w:p>
      <w:pPr>
        <w:keepNext w:val="0"/>
        <w:spacing w:before="0" w:after="120" w:line="360" w:lineRule="auto"/>
        <w:jc w:val="both"/>
      </w:pPr>
      <w:r>
        <w:rPr>
          <w:rFonts w:ascii="Times New Roman" w:hAnsi="Times New Roman"/>
          <w:b w:val="0"/>
          <w:i w:val="0"/>
          <w:sz w:val="24"/>
          <w:u w:val="none"/>
        </w:rPr>
        <w:t>High-Variance Disclaimer: The 95% CI [0.00M, 64.36M] spans the entire plausible range. This wide interval is mathematically correct and directly reflects the high sampling variance inherent in NHANES complex survey designs when applied to restricted subgroups. This estimate should be interpreted as exploratory and hypothesis-generating rather than epidemiologically precise. The point estimate of 23.91 million must not be cited in isolation without the accompanying interval.</w:t>
      </w:r>
    </w:p>
    <w:p>
      <w:pPr>
        <w:keepNext/>
        <w:spacing w:before="360" w:after="120" w:line="360" w:lineRule="auto"/>
        <w:jc w:val="left"/>
      </w:pPr>
      <w:r>
        <w:rPr>
          <w:rFonts w:ascii="Times New Roman" w:hAnsi="Times New Roman"/>
          <w:b/>
          <w:i w:val="0"/>
          <w:sz w:val="24"/>
          <w:u w:val="single"/>
        </w:rPr>
        <w:t>4.7   Zero-Shot External Validation (Simulated KNHANES Cohort)</w:t>
      </w:r>
    </w:p>
    <w:p>
      <w:pPr>
        <w:keepNext w:val="0"/>
        <w:spacing w:before="0" w:after="120" w:line="360" w:lineRule="auto"/>
        <w:jc w:val="both"/>
      </w:pPr>
      <w:r>
        <w:rPr>
          <w:rFonts w:ascii="Times New Roman" w:hAnsi="Times New Roman"/>
          <w:b w:val="0"/>
          <w:i w:val="0"/>
          <w:sz w:val="24"/>
          <w:u w:val="none"/>
        </w:rPr>
        <w:t>The frozen VAE model was applied without retraining to a simulated cohort matching Korean National Health and Nutrition Examination Survey (KNHANES) demographics (n = 3,500). Latent coordinate Z2 achieved Spearman rho = 0.705 (p = 0.0) against CAP.</w:t>
      </w:r>
    </w:p>
    <w:p>
      <w:pPr>
        <w:keepNext w:val="0"/>
        <w:spacing w:before="0" w:after="120" w:line="360" w:lineRule="auto"/>
        <w:jc w:val="both"/>
      </w:pPr>
      <w:r>
        <w:rPr>
          <w:rFonts w:ascii="Times New Roman" w:hAnsi="Times New Roman"/>
          <w:b w:val="0"/>
          <w:i w:val="0"/>
          <w:sz w:val="24"/>
          <w:u w:val="none"/>
        </w:rPr>
        <w:t>Inflation Disclaimer: The correlation of rho = 0.705 is artificially inflated. The synthetic cohort lacks natural measurement noise and unobserved clinical confounders. The honest OOD benchmark is the five-seed mean rho = 0.583 +/- 0.027 from the strict temporal holdout on the real NHANES P-cycle.</w:t>
      </w:r>
    </w:p>
    <w:p>
      <w:pPr>
        <w:keepNext/>
        <w:spacing w:before="360" w:after="120" w:line="360" w:lineRule="auto"/>
        <w:jc w:val="left"/>
      </w:pPr>
      <w:r>
        <w:rPr>
          <w:rFonts w:ascii="Times New Roman" w:hAnsi="Times New Roman"/>
          <w:b/>
          <w:i w:val="0"/>
          <w:sz w:val="24"/>
          <w:u w:val="single"/>
        </w:rPr>
        <w:t>4.8   Ancestral Equity Analysis and Threshold Bias</w:t>
      </w:r>
    </w:p>
    <w:p>
      <w:pPr>
        <w:keepNext w:val="0"/>
        <w:spacing w:before="0" w:after="120" w:line="360" w:lineRule="auto"/>
        <w:jc w:val="both"/>
      </w:pPr>
      <w:r>
        <w:rPr>
          <w:rFonts w:ascii="Times New Roman" w:hAnsi="Times New Roman"/>
          <w:b w:val="0"/>
          <w:i w:val="0"/>
          <w:sz w:val="24"/>
          <w:u w:val="none"/>
        </w:rPr>
        <w:t>Using a Kruskal-Wallis test, statistically significant differences were found in latent insulin resistance coordinate Z1 across demographic subgroups at the same HOMA-IR threshold of 2.5 (p = 2.67 x 10^-3, with multiple-comparison correction).</w:t>
      </w:r>
    </w:p>
    <w:p>
      <w:pPr>
        <w:keepNext w:val="0"/>
        <w:spacing w:before="0" w:after="120" w:line="360" w:lineRule="auto"/>
        <w:jc w:val="both"/>
      </w:pPr>
      <w:r>
        <w:rPr>
          <w:rFonts w:ascii="Times New Roman" w:hAnsi="Times New Roman"/>
          <w:b w:val="0"/>
          <w:i w:val="0"/>
          <w:sz w:val="24"/>
          <w:u w:val="none"/>
        </w:rPr>
        <w:t>Primary finding (n = 355 real Asian cohort): The implied HOMA-IR threshold at the latent risk boundary is approximately 1.77 (95% CI: [1.58, 1.94]). This range is consistent with published Asian-specific HOMA-IR cut-offs of 1.4-2.0. At the standard clinical HOMA-IR cut-off of 2.5, 24.2% of the combined real Asian cohort are misclassified as metabolically healthy despite crossing the latent risk boundary.</w:t>
      </w:r>
    </w:p>
    <w:p>
      <w:pPr>
        <w:keepNext/>
        <w:spacing w:before="240" w:after="80" w:line="240" w:lineRule="auto"/>
        <w:jc w:val="center"/>
      </w:pPr>
      <w:r>
        <w:rPr>
          <w:rFonts w:ascii="Times New Roman" w:hAnsi="Times New Roman"/>
          <w:b/>
          <w:i w:val="0"/>
          <w:sz w:val="20"/>
          <w:u w:val="none"/>
        </w:rPr>
        <w:t>Table 14: Model performance on real Asian cohort</w:t>
      </w:r>
    </w:p>
    <w:tbl>
      <w:tblPr>
        <w:tblStyle w:val="TableGrid"/>
        <w:tblW w:type="auto" w:w="0"/>
        <w:tblLook w:firstColumn="1" w:firstRow="1" w:lastColumn="0" w:lastRow="0" w:noHBand="0" w:noVBand="1" w:val="04A0"/>
      </w:tblPr>
      <w:tblGrid>
        <w:gridCol w:w="1323"/>
        <w:gridCol w:w="1323"/>
        <w:gridCol w:w="1323"/>
        <w:gridCol w:w="1323"/>
        <w:gridCol w:w="1323"/>
        <w:gridCol w:w="1323"/>
      </w:tblGrid>
      <w:tr>
        <w:tc>
          <w:tcPr>
            <w:tcW w:type="dxa" w:w="1323"/>
          </w:tcPr>
          <w:p>
            <w:pPr>
              <w:spacing w:before="40" w:after="40" w:line="240" w:lineRule="auto"/>
              <w:jc w:val="center"/>
            </w:pPr>
            <w:r/>
            <w:r>
              <w:rPr>
                <w:rFonts w:ascii="Times New Roman" w:hAnsi="Times New Roman"/>
                <w:b/>
                <w:i w:val="0"/>
                <w:sz w:val="20"/>
                <w:u w:val="none"/>
              </w:rPr>
              <w:t>Cohort</w:t>
            </w:r>
          </w:p>
        </w:tc>
        <w:tc>
          <w:tcPr>
            <w:tcW w:type="dxa" w:w="1323"/>
          </w:tcPr>
          <w:p>
            <w:pPr>
              <w:spacing w:before="40" w:after="40" w:line="240" w:lineRule="auto"/>
              <w:jc w:val="center"/>
            </w:pPr>
            <w:r/>
            <w:r>
              <w:rPr>
                <w:rFonts w:ascii="Times New Roman" w:hAnsi="Times New Roman"/>
                <w:b/>
                <w:i w:val="0"/>
                <w:sz w:val="20"/>
                <w:u w:val="none"/>
              </w:rPr>
              <w:t>N (Total)</w:t>
            </w:r>
          </w:p>
        </w:tc>
        <w:tc>
          <w:tcPr>
            <w:tcW w:type="dxa" w:w="1323"/>
          </w:tcPr>
          <w:p>
            <w:pPr>
              <w:spacing w:before="40" w:after="40" w:line="240" w:lineRule="auto"/>
              <w:jc w:val="center"/>
            </w:pPr>
            <w:r/>
            <w:r>
              <w:rPr>
                <w:rFonts w:ascii="Times New Roman" w:hAnsi="Times New Roman"/>
                <w:b/>
                <w:i w:val="0"/>
                <w:sz w:val="20"/>
                <w:u w:val="none"/>
              </w:rPr>
              <w:t>N (with CAP)</w:t>
            </w:r>
          </w:p>
        </w:tc>
        <w:tc>
          <w:tcPr>
            <w:tcW w:type="dxa" w:w="1323"/>
          </w:tcPr>
          <w:p>
            <w:pPr>
              <w:spacing w:before="40" w:after="40" w:line="240" w:lineRule="auto"/>
              <w:jc w:val="center"/>
            </w:pPr>
            <w:r/>
            <w:r>
              <w:rPr>
                <w:rFonts w:ascii="Times New Roman" w:hAnsi="Times New Roman"/>
                <w:b/>
                <w:i w:val="0"/>
                <w:sz w:val="20"/>
                <w:u w:val="none"/>
              </w:rPr>
              <w:t>Spearman rho</w:t>
            </w:r>
          </w:p>
        </w:tc>
        <w:tc>
          <w:tcPr>
            <w:tcW w:type="dxa" w:w="1323"/>
          </w:tcPr>
          <w:p>
            <w:pPr>
              <w:spacing w:before="40" w:after="40" w:line="240" w:lineRule="auto"/>
              <w:jc w:val="center"/>
            </w:pPr>
            <w:r/>
            <w:r>
              <w:rPr>
                <w:rFonts w:ascii="Times New Roman" w:hAnsi="Times New Roman"/>
                <w:b/>
                <w:i w:val="0"/>
                <w:sz w:val="20"/>
                <w:u w:val="none"/>
              </w:rPr>
              <w:t>Implied HOMA-IR Threshold</w:t>
            </w:r>
          </w:p>
        </w:tc>
        <w:tc>
          <w:tcPr>
            <w:tcW w:type="dxa" w:w="1323"/>
          </w:tcPr>
          <w:p>
            <w:pPr>
              <w:spacing w:before="40" w:after="40" w:line="240" w:lineRule="auto"/>
              <w:jc w:val="center"/>
            </w:pPr>
            <w:r/>
            <w:r>
              <w:rPr>
                <w:rFonts w:ascii="Times New Roman" w:hAnsi="Times New Roman"/>
                <w:b/>
                <w:i w:val="0"/>
                <w:sz w:val="20"/>
                <w:u w:val="none"/>
              </w:rPr>
              <w:t>95% CI</w:t>
            </w:r>
          </w:p>
        </w:tc>
      </w:tr>
      <w:tr>
        <w:tc>
          <w:tcPr>
            <w:tcW w:type="dxa" w:w="1323"/>
          </w:tcPr>
          <w:p>
            <w:pPr>
              <w:spacing w:before="40" w:after="40" w:line="240" w:lineRule="auto"/>
              <w:jc w:val="left"/>
            </w:pPr>
            <w:r/>
            <w:r>
              <w:rPr>
                <w:rFonts w:ascii="Times New Roman" w:hAnsi="Times New Roman"/>
                <w:b w:val="0"/>
                <w:i w:val="0"/>
                <w:sz w:val="20"/>
                <w:u w:val="none"/>
              </w:rPr>
              <w:t>Real Asian (Combined J+P)</w:t>
            </w:r>
          </w:p>
        </w:tc>
        <w:tc>
          <w:tcPr>
            <w:tcW w:type="dxa" w:w="1323"/>
          </w:tcPr>
          <w:p>
            <w:pPr>
              <w:spacing w:before="40" w:after="40" w:line="240" w:lineRule="auto"/>
              <w:jc w:val="left"/>
            </w:pPr>
            <w:r/>
            <w:r>
              <w:rPr>
                <w:rFonts w:ascii="Times New Roman" w:hAnsi="Times New Roman"/>
                <w:b w:val="0"/>
                <w:i w:val="0"/>
                <w:sz w:val="20"/>
                <w:u w:val="none"/>
              </w:rPr>
              <w:t>355</w:t>
            </w:r>
          </w:p>
        </w:tc>
        <w:tc>
          <w:tcPr>
            <w:tcW w:type="dxa" w:w="1323"/>
          </w:tcPr>
          <w:p>
            <w:pPr>
              <w:spacing w:before="40" w:after="40" w:line="240" w:lineRule="auto"/>
              <w:jc w:val="left"/>
            </w:pPr>
            <w:r/>
            <w:r>
              <w:rPr>
                <w:rFonts w:ascii="Times New Roman" w:hAnsi="Times New Roman"/>
                <w:b w:val="0"/>
                <w:i w:val="0"/>
                <w:sz w:val="20"/>
                <w:u w:val="none"/>
              </w:rPr>
              <w:t>341</w:t>
            </w:r>
          </w:p>
        </w:tc>
        <w:tc>
          <w:tcPr>
            <w:tcW w:type="dxa" w:w="1323"/>
          </w:tcPr>
          <w:p>
            <w:pPr>
              <w:spacing w:before="40" w:after="40" w:line="240" w:lineRule="auto"/>
              <w:jc w:val="left"/>
            </w:pPr>
            <w:r/>
            <w:r>
              <w:rPr>
                <w:rFonts w:ascii="Times New Roman" w:hAnsi="Times New Roman"/>
                <w:b w:val="0"/>
                <w:i w:val="0"/>
                <w:sz w:val="20"/>
                <w:u w:val="none"/>
              </w:rPr>
              <w:t>0.582</w:t>
            </w:r>
          </w:p>
        </w:tc>
        <w:tc>
          <w:tcPr>
            <w:tcW w:type="dxa" w:w="1323"/>
          </w:tcPr>
          <w:p>
            <w:pPr>
              <w:spacing w:before="40" w:after="40" w:line="240" w:lineRule="auto"/>
              <w:jc w:val="left"/>
            </w:pPr>
            <w:r/>
            <w:r>
              <w:rPr>
                <w:rFonts w:ascii="Times New Roman" w:hAnsi="Times New Roman"/>
                <w:b w:val="0"/>
                <w:i w:val="0"/>
                <w:sz w:val="20"/>
                <w:u w:val="none"/>
              </w:rPr>
              <w:t>1.77</w:t>
            </w:r>
          </w:p>
        </w:tc>
        <w:tc>
          <w:tcPr>
            <w:tcW w:type="dxa" w:w="1323"/>
          </w:tcPr>
          <w:p>
            <w:pPr>
              <w:spacing w:before="40" w:after="40" w:line="240" w:lineRule="auto"/>
              <w:jc w:val="left"/>
            </w:pPr>
            <w:r/>
            <w:r>
              <w:rPr>
                <w:rFonts w:ascii="Times New Roman" w:hAnsi="Times New Roman"/>
                <w:b w:val="0"/>
                <w:i w:val="0"/>
                <w:sz w:val="20"/>
                <w:u w:val="none"/>
              </w:rPr>
              <w:t>[1.58, 1.94]</w:t>
            </w:r>
          </w:p>
        </w:tc>
      </w:tr>
      <w:tr>
        <w:tc>
          <w:tcPr>
            <w:tcW w:type="dxa" w:w="1323"/>
          </w:tcPr>
          <w:p>
            <w:pPr>
              <w:spacing w:before="40" w:after="40" w:line="240" w:lineRule="auto"/>
              <w:jc w:val="left"/>
            </w:pPr>
            <w:r/>
            <w:r>
              <w:rPr>
                <w:rFonts w:ascii="Times New Roman" w:hAnsi="Times New Roman"/>
                <w:b w:val="0"/>
                <w:i w:val="0"/>
                <w:sz w:val="20"/>
                <w:u w:val="none"/>
              </w:rPr>
              <w:t>Real Asian OOD (P-cycle only)</w:t>
            </w:r>
          </w:p>
        </w:tc>
        <w:tc>
          <w:tcPr>
            <w:tcW w:type="dxa" w:w="1323"/>
          </w:tcPr>
          <w:p>
            <w:pPr>
              <w:spacing w:before="40" w:after="40" w:line="240" w:lineRule="auto"/>
              <w:jc w:val="left"/>
            </w:pPr>
            <w:r/>
            <w:r>
              <w:rPr>
                <w:rFonts w:ascii="Times New Roman" w:hAnsi="Times New Roman"/>
                <w:b w:val="0"/>
                <w:i w:val="0"/>
                <w:sz w:val="20"/>
                <w:u w:val="none"/>
              </w:rPr>
              <w:t>210</w:t>
            </w:r>
          </w:p>
        </w:tc>
        <w:tc>
          <w:tcPr>
            <w:tcW w:type="dxa" w:w="1323"/>
          </w:tcPr>
          <w:p>
            <w:pPr>
              <w:spacing w:before="40" w:after="40" w:line="240" w:lineRule="auto"/>
              <w:jc w:val="left"/>
            </w:pPr>
            <w:r/>
            <w:r>
              <w:rPr>
                <w:rFonts w:ascii="Times New Roman" w:hAnsi="Times New Roman"/>
                <w:b w:val="0"/>
                <w:i w:val="0"/>
                <w:sz w:val="20"/>
                <w:u w:val="none"/>
              </w:rPr>
              <w:t>202</w:t>
            </w:r>
          </w:p>
        </w:tc>
        <w:tc>
          <w:tcPr>
            <w:tcW w:type="dxa" w:w="1323"/>
          </w:tcPr>
          <w:p>
            <w:pPr>
              <w:spacing w:before="40" w:after="40" w:line="240" w:lineRule="auto"/>
              <w:jc w:val="left"/>
            </w:pPr>
            <w:r/>
            <w:r>
              <w:rPr>
                <w:rFonts w:ascii="Times New Roman" w:hAnsi="Times New Roman"/>
                <w:b w:val="0"/>
                <w:i w:val="0"/>
                <w:sz w:val="20"/>
                <w:u w:val="none"/>
              </w:rPr>
              <w:t>0.557</w:t>
            </w:r>
          </w:p>
        </w:tc>
        <w:tc>
          <w:tcPr>
            <w:tcW w:type="dxa" w:w="1323"/>
          </w:tcPr>
          <w:p>
            <w:pPr>
              <w:spacing w:before="40" w:after="40" w:line="240" w:lineRule="auto"/>
              <w:jc w:val="left"/>
            </w:pPr>
            <w:r/>
            <w:r>
              <w:rPr>
                <w:rFonts w:ascii="Times New Roman" w:hAnsi="Times New Roman"/>
                <w:b w:val="0"/>
                <w:i w:val="0"/>
                <w:sz w:val="20"/>
                <w:u w:val="none"/>
              </w:rPr>
              <w:t>1.76</w:t>
            </w:r>
          </w:p>
        </w:tc>
        <w:tc>
          <w:tcPr>
            <w:tcW w:type="dxa" w:w="1323"/>
          </w:tcPr>
          <w:p>
            <w:pPr>
              <w:spacing w:before="40" w:after="40" w:line="240" w:lineRule="auto"/>
              <w:jc w:val="left"/>
            </w:pPr>
            <w:r/>
            <w:r>
              <w:rPr>
                <w:rFonts w:ascii="Times New Roman" w:hAnsi="Times New Roman"/>
                <w:b w:val="0"/>
                <w:i w:val="0"/>
                <w:sz w:val="20"/>
                <w:u w:val="none"/>
              </w:rPr>
              <w:t>[1.53, 1.94]</w:t>
            </w:r>
          </w:p>
        </w:tc>
      </w:tr>
    </w:tbl>
    <w:p>
      <w:pPr>
        <w:keepNext w:val="0"/>
        <w:spacing w:before="0" w:after="200" w:line="360" w:lineRule="auto"/>
        <w:jc w:val="both"/>
      </w:pPr>
    </w:p>
    <w:p>
      <w:pPr>
        <w:keepNext/>
        <w:spacing w:before="360" w:after="120" w:line="360" w:lineRule="auto"/>
        <w:jc w:val="left"/>
      </w:pPr>
      <w:r>
        <w:rPr>
          <w:rFonts w:ascii="Times New Roman" w:hAnsi="Times New Roman"/>
          <w:b/>
          <w:i w:val="0"/>
          <w:sz w:val="24"/>
          <w:u w:val="single"/>
        </w:rPr>
        <w:t>4.9   Causal Pharmacological Dissociation (Controlled Simulation)</w:t>
      </w:r>
    </w:p>
    <w:p>
      <w:pPr>
        <w:keepNext/>
        <w:spacing w:before="240" w:after="80" w:line="240" w:lineRule="auto"/>
        <w:jc w:val="center"/>
      </w:pPr>
      <w:r>
        <w:rPr>
          <w:rFonts w:ascii="Times New Roman" w:hAnsi="Times New Roman"/>
          <w:b/>
          <w:i w:val="0"/>
          <w:sz w:val="20"/>
          <w:u w:val="none"/>
        </w:rPr>
        <w:t>Table 15: Simulated pharmacological intervention effects</w:t>
      </w:r>
    </w:p>
    <w:tbl>
      <w:tblPr>
        <w:tblStyle w:val="TableGrid"/>
        <w:tblW w:type="auto" w:w="0"/>
        <w:tblLook w:firstColumn="1" w:firstRow="1" w:lastColumn="0" w:lastRow="0" w:noHBand="0" w:noVBand="1" w:val="04A0"/>
      </w:tblPr>
      <w:tblGrid>
        <w:gridCol w:w="1323"/>
        <w:gridCol w:w="1323"/>
        <w:gridCol w:w="1323"/>
        <w:gridCol w:w="1323"/>
        <w:gridCol w:w="1323"/>
        <w:gridCol w:w="1323"/>
      </w:tblGrid>
      <w:tr>
        <w:tc>
          <w:tcPr>
            <w:tcW w:type="dxa" w:w="1323"/>
          </w:tcPr>
          <w:p>
            <w:pPr>
              <w:spacing w:before="40" w:after="40" w:line="240" w:lineRule="auto"/>
              <w:jc w:val="center"/>
            </w:pPr>
            <w:r/>
            <w:r>
              <w:rPr>
                <w:rFonts w:ascii="Times New Roman" w:hAnsi="Times New Roman"/>
                <w:b/>
                <w:i w:val="0"/>
                <w:sz w:val="20"/>
                <w:u w:val="none"/>
              </w:rPr>
              <w:t>Drug Class</w:t>
            </w:r>
          </w:p>
        </w:tc>
        <w:tc>
          <w:tcPr>
            <w:tcW w:type="dxa" w:w="1323"/>
          </w:tcPr>
          <w:p>
            <w:pPr>
              <w:spacing w:before="40" w:after="40" w:line="240" w:lineRule="auto"/>
              <w:jc w:val="center"/>
            </w:pPr>
            <w:r/>
            <w:r>
              <w:rPr>
                <w:rFonts w:ascii="Times New Roman" w:hAnsi="Times New Roman"/>
                <w:b/>
                <w:i w:val="0"/>
                <w:sz w:val="20"/>
                <w:u w:val="none"/>
              </w:rPr>
              <w:t>Target Axis</w:t>
            </w:r>
          </w:p>
        </w:tc>
        <w:tc>
          <w:tcPr>
            <w:tcW w:type="dxa" w:w="1323"/>
          </w:tcPr>
          <w:p>
            <w:pPr>
              <w:spacing w:before="40" w:after="40" w:line="240" w:lineRule="auto"/>
              <w:jc w:val="center"/>
            </w:pPr>
            <w:r/>
            <w:r>
              <w:rPr>
                <w:rFonts w:ascii="Times New Roman" w:hAnsi="Times New Roman"/>
                <w:b/>
                <w:i w:val="0"/>
                <w:sz w:val="20"/>
                <w:u w:val="none"/>
              </w:rPr>
              <w:t>Target p-value</w:t>
            </w:r>
          </w:p>
        </w:tc>
        <w:tc>
          <w:tcPr>
            <w:tcW w:type="dxa" w:w="1323"/>
          </w:tcPr>
          <w:p>
            <w:pPr>
              <w:spacing w:before="40" w:after="40" w:line="240" w:lineRule="auto"/>
              <w:jc w:val="center"/>
            </w:pPr>
            <w:r/>
            <w:r>
              <w:rPr>
                <w:rFonts w:ascii="Times New Roman" w:hAnsi="Times New Roman"/>
                <w:b/>
                <w:i w:val="0"/>
                <w:sz w:val="20"/>
                <w:u w:val="none"/>
              </w:rPr>
              <w:t>Effect Size (r)</w:t>
            </w:r>
          </w:p>
        </w:tc>
        <w:tc>
          <w:tcPr>
            <w:tcW w:type="dxa" w:w="1323"/>
          </w:tcPr>
          <w:p>
            <w:pPr>
              <w:spacing w:before="40" w:after="40" w:line="240" w:lineRule="auto"/>
              <w:jc w:val="center"/>
            </w:pPr>
            <w:r/>
            <w:r>
              <w:rPr>
                <w:rFonts w:ascii="Times New Roman" w:hAnsi="Times New Roman"/>
                <w:b/>
                <w:i w:val="0"/>
                <w:sz w:val="20"/>
                <w:u w:val="none"/>
              </w:rPr>
              <w:t>Off-Target p-value</w:t>
            </w:r>
          </w:p>
        </w:tc>
        <w:tc>
          <w:tcPr>
            <w:tcW w:type="dxa" w:w="1323"/>
          </w:tcPr>
          <w:p>
            <w:pPr>
              <w:spacing w:before="40" w:after="40" w:line="240" w:lineRule="auto"/>
              <w:jc w:val="center"/>
            </w:pPr>
            <w:r/>
            <w:r>
              <w:rPr>
                <w:rFonts w:ascii="Times New Roman" w:hAnsi="Times New Roman"/>
                <w:b/>
                <w:i w:val="0"/>
                <w:sz w:val="20"/>
                <w:u w:val="none"/>
              </w:rPr>
              <w:t>Verdict</w:t>
            </w:r>
          </w:p>
        </w:tc>
      </w:tr>
      <w:tr>
        <w:tc>
          <w:tcPr>
            <w:tcW w:type="dxa" w:w="1323"/>
          </w:tcPr>
          <w:p>
            <w:pPr>
              <w:spacing w:before="40" w:after="40" w:line="240" w:lineRule="auto"/>
              <w:jc w:val="left"/>
            </w:pPr>
            <w:r/>
            <w:r>
              <w:rPr>
                <w:rFonts w:ascii="Times New Roman" w:hAnsi="Times New Roman"/>
                <w:b w:val="0"/>
                <w:i w:val="0"/>
                <w:sz w:val="20"/>
                <w:u w:val="none"/>
              </w:rPr>
              <w:t>Metformin</w:t>
            </w:r>
          </w:p>
        </w:tc>
        <w:tc>
          <w:tcPr>
            <w:tcW w:type="dxa" w:w="1323"/>
          </w:tcPr>
          <w:p>
            <w:pPr>
              <w:spacing w:before="40" w:after="40" w:line="240" w:lineRule="auto"/>
              <w:jc w:val="left"/>
            </w:pPr>
            <w:r/>
            <w:r>
              <w:rPr>
                <w:rFonts w:ascii="Times New Roman" w:hAnsi="Times New Roman"/>
                <w:b w:val="0"/>
                <w:i w:val="0"/>
                <w:sz w:val="20"/>
                <w:u w:val="none"/>
              </w:rPr>
              <w:t>Z1 (IR)</w:t>
            </w:r>
          </w:p>
        </w:tc>
        <w:tc>
          <w:tcPr>
            <w:tcW w:type="dxa" w:w="1323"/>
          </w:tcPr>
          <w:p>
            <w:pPr>
              <w:spacing w:before="40" w:after="40" w:line="240" w:lineRule="auto"/>
              <w:jc w:val="left"/>
            </w:pPr>
            <w:r/>
            <w:r>
              <w:rPr>
                <w:rFonts w:ascii="Times New Roman" w:hAnsi="Times New Roman"/>
                <w:b w:val="0"/>
                <w:i w:val="0"/>
                <w:sz w:val="20"/>
                <w:u w:val="none"/>
              </w:rPr>
              <w:t>&lt; 1.4 x 10^-19</w:t>
            </w:r>
          </w:p>
        </w:tc>
        <w:tc>
          <w:tcPr>
            <w:tcW w:type="dxa" w:w="1323"/>
          </w:tcPr>
          <w:p>
            <w:pPr>
              <w:spacing w:before="40" w:after="40" w:line="240" w:lineRule="auto"/>
              <w:jc w:val="left"/>
            </w:pPr>
            <w:r/>
            <w:r>
              <w:rPr>
                <w:rFonts w:ascii="Times New Roman" w:hAnsi="Times New Roman"/>
                <w:b w:val="0"/>
                <w:i w:val="0"/>
                <w:sz w:val="20"/>
                <w:u w:val="none"/>
              </w:rPr>
              <w:t>1.000</w:t>
            </w:r>
          </w:p>
        </w:tc>
        <w:tc>
          <w:tcPr>
            <w:tcW w:type="dxa" w:w="1323"/>
          </w:tcPr>
          <w:p>
            <w:pPr>
              <w:spacing w:before="40" w:after="40" w:line="240" w:lineRule="auto"/>
              <w:jc w:val="left"/>
            </w:pPr>
            <w:r/>
            <w:r>
              <w:rPr>
                <w:rFonts w:ascii="Times New Roman" w:hAnsi="Times New Roman"/>
                <w:b w:val="0"/>
                <w:i w:val="0"/>
                <w:sz w:val="20"/>
                <w:u w:val="none"/>
              </w:rPr>
              <w:t>0.554 (NS)</w:t>
            </w:r>
          </w:p>
        </w:tc>
        <w:tc>
          <w:tcPr>
            <w:tcW w:type="dxa" w:w="1323"/>
          </w:tcPr>
          <w:p>
            <w:pPr>
              <w:spacing w:before="40" w:after="40" w:line="240" w:lineRule="auto"/>
              <w:jc w:val="left"/>
            </w:pPr>
            <w:r/>
            <w:r>
              <w:rPr>
                <w:rFonts w:ascii="Times New Roman" w:hAnsi="Times New Roman"/>
                <w:b w:val="0"/>
                <w:i w:val="0"/>
                <w:sz w:val="20"/>
                <w:u w:val="none"/>
              </w:rPr>
              <w:t>Exclusively shifts IR</w:t>
            </w:r>
          </w:p>
        </w:tc>
      </w:tr>
      <w:tr>
        <w:tc>
          <w:tcPr>
            <w:tcW w:type="dxa" w:w="1323"/>
          </w:tcPr>
          <w:p>
            <w:pPr>
              <w:spacing w:before="40" w:after="40" w:line="240" w:lineRule="auto"/>
              <w:jc w:val="left"/>
            </w:pPr>
            <w:r/>
            <w:r>
              <w:rPr>
                <w:rFonts w:ascii="Times New Roman" w:hAnsi="Times New Roman"/>
                <w:b w:val="0"/>
                <w:i w:val="0"/>
                <w:sz w:val="20"/>
                <w:u w:val="none"/>
              </w:rPr>
              <w:t>Statin</w:t>
            </w:r>
          </w:p>
        </w:tc>
        <w:tc>
          <w:tcPr>
            <w:tcW w:type="dxa" w:w="1323"/>
          </w:tcPr>
          <w:p>
            <w:pPr>
              <w:spacing w:before="40" w:after="40" w:line="240" w:lineRule="auto"/>
              <w:jc w:val="left"/>
            </w:pPr>
            <w:r/>
            <w:r>
              <w:rPr>
                <w:rFonts w:ascii="Times New Roman" w:hAnsi="Times New Roman"/>
                <w:b w:val="0"/>
                <w:i w:val="0"/>
                <w:sz w:val="20"/>
                <w:u w:val="none"/>
              </w:rPr>
              <w:t>Z2 (Steatosis)</w:t>
            </w:r>
          </w:p>
        </w:tc>
        <w:tc>
          <w:tcPr>
            <w:tcW w:type="dxa" w:w="1323"/>
          </w:tcPr>
          <w:p>
            <w:pPr>
              <w:spacing w:before="40" w:after="40" w:line="240" w:lineRule="auto"/>
              <w:jc w:val="left"/>
            </w:pPr>
            <w:r/>
            <w:r>
              <w:rPr>
                <w:rFonts w:ascii="Times New Roman" w:hAnsi="Times New Roman"/>
                <w:b w:val="0"/>
                <w:i w:val="0"/>
                <w:sz w:val="20"/>
                <w:u w:val="none"/>
              </w:rPr>
              <w:t>&lt; 2.3 x 10^-26</w:t>
            </w:r>
          </w:p>
        </w:tc>
        <w:tc>
          <w:tcPr>
            <w:tcW w:type="dxa" w:w="1323"/>
          </w:tcPr>
          <w:p>
            <w:pPr>
              <w:spacing w:before="40" w:after="40" w:line="240" w:lineRule="auto"/>
              <w:jc w:val="left"/>
            </w:pPr>
            <w:r/>
            <w:r>
              <w:rPr>
                <w:rFonts w:ascii="Times New Roman" w:hAnsi="Times New Roman"/>
                <w:b w:val="0"/>
                <w:i w:val="0"/>
                <w:sz w:val="20"/>
                <w:u w:val="none"/>
              </w:rPr>
              <w:t>0.888</w:t>
            </w:r>
          </w:p>
        </w:tc>
        <w:tc>
          <w:tcPr>
            <w:tcW w:type="dxa" w:w="1323"/>
          </w:tcPr>
          <w:p>
            <w:pPr>
              <w:spacing w:before="40" w:after="40" w:line="240" w:lineRule="auto"/>
              <w:jc w:val="left"/>
            </w:pPr>
            <w:r/>
            <w:r>
              <w:rPr>
                <w:rFonts w:ascii="Times New Roman" w:hAnsi="Times New Roman"/>
                <w:b w:val="0"/>
                <w:i w:val="0"/>
                <w:sz w:val="20"/>
                <w:u w:val="none"/>
              </w:rPr>
              <w:t>0.550 (NS)</w:t>
            </w:r>
          </w:p>
        </w:tc>
        <w:tc>
          <w:tcPr>
            <w:tcW w:type="dxa" w:w="1323"/>
          </w:tcPr>
          <w:p>
            <w:pPr>
              <w:spacing w:before="40" w:after="40" w:line="240" w:lineRule="auto"/>
              <w:jc w:val="left"/>
            </w:pPr>
            <w:r/>
            <w:r>
              <w:rPr>
                <w:rFonts w:ascii="Times New Roman" w:hAnsi="Times New Roman"/>
                <w:b w:val="0"/>
                <w:i w:val="0"/>
                <w:sz w:val="20"/>
                <w:u w:val="none"/>
              </w:rPr>
              <w:t>Exclusively shifts steatosis</w:t>
            </w:r>
          </w:p>
        </w:tc>
      </w:tr>
      <w:tr>
        <w:tc>
          <w:tcPr>
            <w:tcW w:type="dxa" w:w="1323"/>
          </w:tcPr>
          <w:p>
            <w:pPr>
              <w:spacing w:before="40" w:after="40" w:line="240" w:lineRule="auto"/>
              <w:jc w:val="left"/>
            </w:pPr>
            <w:r/>
            <w:r>
              <w:rPr>
                <w:rFonts w:ascii="Times New Roman" w:hAnsi="Times New Roman"/>
                <w:b w:val="0"/>
                <w:i w:val="0"/>
                <w:sz w:val="20"/>
                <w:u w:val="none"/>
              </w:rPr>
              <w:t>Fibrate</w:t>
            </w:r>
          </w:p>
        </w:tc>
        <w:tc>
          <w:tcPr>
            <w:tcW w:type="dxa" w:w="1323"/>
          </w:tcPr>
          <w:p>
            <w:pPr>
              <w:spacing w:before="40" w:after="40" w:line="240" w:lineRule="auto"/>
              <w:jc w:val="left"/>
            </w:pPr>
            <w:r/>
            <w:r>
              <w:rPr>
                <w:rFonts w:ascii="Times New Roman" w:hAnsi="Times New Roman"/>
                <w:b w:val="0"/>
                <w:i w:val="0"/>
                <w:sz w:val="20"/>
                <w:u w:val="none"/>
              </w:rPr>
              <w:t>Z2 (Steatosis)</w:t>
            </w:r>
          </w:p>
        </w:tc>
        <w:tc>
          <w:tcPr>
            <w:tcW w:type="dxa" w:w="1323"/>
          </w:tcPr>
          <w:p>
            <w:pPr>
              <w:spacing w:before="40" w:after="40" w:line="240" w:lineRule="auto"/>
              <w:jc w:val="left"/>
            </w:pPr>
            <w:r/>
            <w:r>
              <w:rPr>
                <w:rFonts w:ascii="Times New Roman" w:hAnsi="Times New Roman"/>
                <w:b w:val="0"/>
                <w:i w:val="0"/>
                <w:sz w:val="20"/>
                <w:u w:val="none"/>
              </w:rPr>
              <w:t>&lt; 7.1 x 10^-10</w:t>
            </w:r>
          </w:p>
        </w:tc>
        <w:tc>
          <w:tcPr>
            <w:tcW w:type="dxa" w:w="1323"/>
          </w:tcPr>
          <w:p>
            <w:pPr>
              <w:spacing w:before="40" w:after="40" w:line="240" w:lineRule="auto"/>
              <w:jc w:val="left"/>
            </w:pPr>
            <w:r/>
            <w:r>
              <w:rPr>
                <w:rFonts w:ascii="Times New Roman" w:hAnsi="Times New Roman"/>
                <w:b w:val="0"/>
                <w:i w:val="0"/>
                <w:sz w:val="20"/>
                <w:u w:val="none"/>
              </w:rPr>
              <w:t>1.000</w:t>
            </w:r>
          </w:p>
        </w:tc>
        <w:tc>
          <w:tcPr>
            <w:tcW w:type="dxa" w:w="1323"/>
          </w:tcPr>
          <w:p>
            <w:pPr>
              <w:spacing w:before="40" w:after="40" w:line="240" w:lineRule="auto"/>
              <w:jc w:val="left"/>
            </w:pPr>
            <w:r/>
            <w:r>
              <w:rPr>
                <w:rFonts w:ascii="Times New Roman" w:hAnsi="Times New Roman"/>
                <w:b w:val="0"/>
                <w:i w:val="0"/>
                <w:sz w:val="20"/>
                <w:u w:val="none"/>
              </w:rPr>
              <w:t>0.431 (NS)</w:t>
            </w:r>
          </w:p>
        </w:tc>
        <w:tc>
          <w:tcPr>
            <w:tcW w:type="dxa" w:w="1323"/>
          </w:tcPr>
          <w:p>
            <w:pPr>
              <w:spacing w:before="40" w:after="40" w:line="240" w:lineRule="auto"/>
              <w:jc w:val="left"/>
            </w:pPr>
            <w:r/>
            <w:r>
              <w:rPr>
                <w:rFonts w:ascii="Times New Roman" w:hAnsi="Times New Roman"/>
                <w:b w:val="0"/>
                <w:i w:val="0"/>
                <w:sz w:val="20"/>
                <w:u w:val="none"/>
              </w:rPr>
              <w:t>Exclusively targets TG clearing</w:t>
            </w:r>
          </w:p>
        </w:tc>
      </w:tr>
    </w:tbl>
    <w:p>
      <w:pPr>
        <w:keepNext w:val="0"/>
        <w:spacing w:before="0" w:after="200" w:line="360" w:lineRule="auto"/>
        <w:jc w:val="both"/>
      </w:pPr>
    </w:p>
    <w:p>
      <w:pPr>
        <w:keepNext w:val="0"/>
        <w:spacing w:before="0" w:after="60" w:line="240" w:lineRule="auto"/>
        <w:jc w:val="left"/>
      </w:pPr>
      <w:r>
        <w:rPr>
          <w:rFonts w:ascii="Times New Roman" w:hAnsi="Times New Roman"/>
          <w:b w:val="0"/>
          <w:i/>
          <w:sz w:val="20"/>
          <w:u w:val="none"/>
        </w:rPr>
        <w:t>Simulation Disclaimer: Because pharmacological interventions were modelled as deterministic baseline shifts without stochastic biological variance, target effect sizes approach theoretical maximum values. These numbers validate the model structural disentanglement, not actual longitudinal treatment efficacy.</w:t>
      </w:r>
    </w:p>
    <w:p>
      <w:pPr>
        <w:keepNext/>
        <w:spacing w:before="360" w:after="120" w:line="360" w:lineRule="auto"/>
        <w:jc w:val="left"/>
      </w:pPr>
      <w:r>
        <w:rPr>
          <w:rFonts w:ascii="Times New Roman" w:hAnsi="Times New Roman"/>
          <w:b/>
          <w:i w:val="0"/>
          <w:sz w:val="24"/>
          <w:u w:val="single"/>
        </w:rPr>
        <w:t>4.10   Ablation Study</w:t>
      </w:r>
    </w:p>
    <w:p>
      <w:pPr>
        <w:keepNext/>
        <w:spacing w:before="240" w:after="80" w:line="240" w:lineRule="auto"/>
        <w:jc w:val="center"/>
      </w:pPr>
      <w:r>
        <w:rPr>
          <w:rFonts w:ascii="Times New Roman" w:hAnsi="Times New Roman"/>
          <w:b/>
          <w:i w:val="0"/>
          <w:sz w:val="20"/>
          <w:u w:val="none"/>
        </w:rPr>
        <w:t>Table 16: Ablation study results (test split)</w:t>
      </w:r>
    </w:p>
    <w:tbl>
      <w:tblPr>
        <w:tblStyle w:val="TableGrid"/>
        <w:tblW w:type="auto" w:w="0"/>
        <w:tblLook w:firstColumn="1" w:firstRow="1" w:lastColumn="0" w:lastRow="0" w:noHBand="0" w:noVBand="1" w:val="04A0"/>
      </w:tblPr>
      <w:tblGrid>
        <w:gridCol w:w="1984"/>
        <w:gridCol w:w="1984"/>
        <w:gridCol w:w="1984"/>
        <w:gridCol w:w="1984"/>
      </w:tblGrid>
      <w:tr>
        <w:tc>
          <w:tcPr>
            <w:tcW w:type="dxa" w:w="1984"/>
          </w:tcPr>
          <w:p>
            <w:pPr>
              <w:spacing w:before="40" w:after="40" w:line="240" w:lineRule="auto"/>
              <w:jc w:val="center"/>
            </w:pPr>
            <w:r/>
            <w:r>
              <w:rPr>
                <w:rFonts w:ascii="Times New Roman" w:hAnsi="Times New Roman"/>
                <w:b/>
                <w:i w:val="0"/>
                <w:sz w:val="20"/>
                <w:u w:val="none"/>
              </w:rPr>
              <w:t>Model</w:t>
            </w:r>
          </w:p>
        </w:tc>
        <w:tc>
          <w:tcPr>
            <w:tcW w:type="dxa" w:w="1984"/>
          </w:tcPr>
          <w:p>
            <w:pPr>
              <w:spacing w:before="40" w:after="40" w:line="240" w:lineRule="auto"/>
              <w:jc w:val="center"/>
            </w:pPr>
            <w:r/>
            <w:r>
              <w:rPr>
                <w:rFonts w:ascii="Times New Roman" w:hAnsi="Times New Roman"/>
                <w:b/>
                <w:i w:val="0"/>
                <w:sz w:val="20"/>
                <w:u w:val="none"/>
              </w:rPr>
              <w:t>Reconstruction MSE</w:t>
            </w:r>
          </w:p>
        </w:tc>
        <w:tc>
          <w:tcPr>
            <w:tcW w:type="dxa" w:w="1984"/>
          </w:tcPr>
          <w:p>
            <w:pPr>
              <w:spacing w:before="40" w:after="40" w:line="240" w:lineRule="auto"/>
              <w:jc w:val="center"/>
            </w:pPr>
            <w:r/>
            <w:r>
              <w:rPr>
                <w:rFonts w:ascii="Times New Roman" w:hAnsi="Times New Roman"/>
                <w:b/>
                <w:i w:val="0"/>
                <w:sz w:val="20"/>
                <w:u w:val="none"/>
              </w:rPr>
              <w:t>Spearman rho (Z2 vs CAP)</w:t>
            </w:r>
          </w:p>
        </w:tc>
        <w:tc>
          <w:tcPr>
            <w:tcW w:type="dxa" w:w="1984"/>
          </w:tcPr>
          <w:p>
            <w:pPr>
              <w:spacing w:before="40" w:after="40" w:line="240" w:lineRule="auto"/>
              <w:jc w:val="center"/>
            </w:pPr>
            <w:r/>
            <w:r>
              <w:rPr>
                <w:rFonts w:ascii="Times New Roman" w:hAnsi="Times New Roman"/>
                <w:b/>
                <w:i w:val="0"/>
                <w:sz w:val="20"/>
                <w:u w:val="none"/>
              </w:rPr>
              <w:t>Latent Cov. Orthogonality</w:t>
            </w:r>
          </w:p>
        </w:tc>
      </w:tr>
      <w:tr>
        <w:tc>
          <w:tcPr>
            <w:tcW w:type="dxa" w:w="1984"/>
          </w:tcPr>
          <w:p>
            <w:pPr>
              <w:spacing w:before="40" w:after="40" w:line="240" w:lineRule="auto"/>
              <w:jc w:val="left"/>
            </w:pPr>
            <w:r/>
            <w:r>
              <w:rPr>
                <w:rFonts w:ascii="Times New Roman" w:hAnsi="Times New Roman"/>
                <w:b w:val="0"/>
                <w:i w:val="0"/>
                <w:sz w:val="20"/>
                <w:u w:val="none"/>
              </w:rPr>
              <w:t>DA-SS-iVAE (Full)</w:t>
            </w:r>
          </w:p>
        </w:tc>
        <w:tc>
          <w:tcPr>
            <w:tcW w:type="dxa" w:w="1984"/>
          </w:tcPr>
          <w:p>
            <w:pPr>
              <w:spacing w:before="40" w:after="40" w:line="240" w:lineRule="auto"/>
              <w:jc w:val="left"/>
            </w:pPr>
            <w:r/>
            <w:r>
              <w:rPr>
                <w:rFonts w:ascii="Times New Roman" w:hAnsi="Times New Roman"/>
                <w:b w:val="0"/>
                <w:i w:val="0"/>
                <w:sz w:val="20"/>
                <w:u w:val="none"/>
              </w:rPr>
              <w:t>3.959</w:t>
            </w:r>
          </w:p>
        </w:tc>
        <w:tc>
          <w:tcPr>
            <w:tcW w:type="dxa" w:w="1984"/>
          </w:tcPr>
          <w:p>
            <w:pPr>
              <w:spacing w:before="40" w:after="40" w:line="240" w:lineRule="auto"/>
              <w:jc w:val="left"/>
            </w:pPr>
            <w:r/>
            <w:r>
              <w:rPr>
                <w:rFonts w:ascii="Times New Roman" w:hAnsi="Times New Roman"/>
                <w:b w:val="0"/>
                <w:i w:val="0"/>
                <w:sz w:val="20"/>
                <w:u w:val="none"/>
              </w:rPr>
              <w:t>0.542</w:t>
            </w:r>
          </w:p>
        </w:tc>
        <w:tc>
          <w:tcPr>
            <w:tcW w:type="dxa" w:w="1984"/>
          </w:tcPr>
          <w:p>
            <w:pPr>
              <w:spacing w:before="40" w:after="40" w:line="240" w:lineRule="auto"/>
              <w:jc w:val="left"/>
            </w:pPr>
            <w:r/>
            <w:r>
              <w:rPr>
                <w:rFonts w:ascii="Times New Roman" w:hAnsi="Times New Roman"/>
                <w:b w:val="0"/>
                <w:i w:val="0"/>
                <w:sz w:val="20"/>
                <w:u w:val="none"/>
              </w:rPr>
              <w:t>0.00000</w:t>
            </w:r>
          </w:p>
        </w:tc>
      </w:tr>
      <w:tr>
        <w:tc>
          <w:tcPr>
            <w:tcW w:type="dxa" w:w="1984"/>
          </w:tcPr>
          <w:p>
            <w:pPr>
              <w:spacing w:before="40" w:after="40" w:line="240" w:lineRule="auto"/>
              <w:jc w:val="left"/>
            </w:pPr>
            <w:r/>
            <w:r>
              <w:rPr>
                <w:rFonts w:ascii="Times New Roman" w:hAnsi="Times New Roman"/>
                <w:b w:val="0"/>
                <w:i w:val="0"/>
                <w:sz w:val="20"/>
                <w:u w:val="none"/>
              </w:rPr>
              <w:t>Unanchored VAE (lambda1=lambda2=0)</w:t>
            </w:r>
          </w:p>
        </w:tc>
        <w:tc>
          <w:tcPr>
            <w:tcW w:type="dxa" w:w="1984"/>
          </w:tcPr>
          <w:p>
            <w:pPr>
              <w:spacing w:before="40" w:after="40" w:line="240" w:lineRule="auto"/>
              <w:jc w:val="left"/>
            </w:pPr>
            <w:r/>
            <w:r>
              <w:rPr>
                <w:rFonts w:ascii="Times New Roman" w:hAnsi="Times New Roman"/>
                <w:b w:val="0"/>
                <w:i w:val="0"/>
                <w:sz w:val="20"/>
                <w:u w:val="none"/>
              </w:rPr>
              <w:t>3.498</w:t>
            </w:r>
          </w:p>
        </w:tc>
        <w:tc>
          <w:tcPr>
            <w:tcW w:type="dxa" w:w="1984"/>
          </w:tcPr>
          <w:p>
            <w:pPr>
              <w:spacing w:before="40" w:after="40" w:line="240" w:lineRule="auto"/>
              <w:jc w:val="left"/>
            </w:pPr>
            <w:r/>
            <w:r>
              <w:rPr>
                <w:rFonts w:ascii="Times New Roman" w:hAnsi="Times New Roman"/>
                <w:b w:val="0"/>
                <w:i w:val="0"/>
                <w:sz w:val="20"/>
                <w:u w:val="none"/>
              </w:rPr>
              <w:t>0.180</w:t>
            </w:r>
          </w:p>
        </w:tc>
        <w:tc>
          <w:tcPr>
            <w:tcW w:type="dxa" w:w="1984"/>
          </w:tcPr>
          <w:p>
            <w:pPr>
              <w:spacing w:before="40" w:after="40" w:line="240" w:lineRule="auto"/>
              <w:jc w:val="left"/>
            </w:pPr>
            <w:r/>
            <w:r>
              <w:rPr>
                <w:rFonts w:ascii="Times New Roman" w:hAnsi="Times New Roman"/>
                <w:b w:val="0"/>
                <w:i w:val="0"/>
                <w:sz w:val="20"/>
                <w:u w:val="none"/>
              </w:rPr>
              <w:t>0.00144</w:t>
            </w:r>
          </w:p>
        </w:tc>
      </w:tr>
      <w:tr>
        <w:tc>
          <w:tcPr>
            <w:tcW w:type="dxa" w:w="1984"/>
          </w:tcPr>
          <w:p>
            <w:pPr>
              <w:spacing w:before="40" w:after="40" w:line="240" w:lineRule="auto"/>
              <w:jc w:val="left"/>
            </w:pPr>
            <w:r/>
            <w:r>
              <w:rPr>
                <w:rFonts w:ascii="Times New Roman" w:hAnsi="Times New Roman"/>
                <w:b w:val="0"/>
                <w:i w:val="0"/>
                <w:sz w:val="20"/>
                <w:u w:val="none"/>
              </w:rPr>
              <w:t>No Frobenius Penalty (lambda3=0)</w:t>
            </w:r>
          </w:p>
        </w:tc>
        <w:tc>
          <w:tcPr>
            <w:tcW w:type="dxa" w:w="1984"/>
          </w:tcPr>
          <w:p>
            <w:pPr>
              <w:spacing w:before="40" w:after="40" w:line="240" w:lineRule="auto"/>
              <w:jc w:val="left"/>
            </w:pPr>
            <w:r/>
            <w:r>
              <w:rPr>
                <w:rFonts w:ascii="Times New Roman" w:hAnsi="Times New Roman"/>
                <w:b w:val="0"/>
                <w:i w:val="0"/>
                <w:sz w:val="20"/>
                <w:u w:val="none"/>
              </w:rPr>
              <w:t>3.081</w:t>
            </w:r>
          </w:p>
        </w:tc>
        <w:tc>
          <w:tcPr>
            <w:tcW w:type="dxa" w:w="1984"/>
          </w:tcPr>
          <w:p>
            <w:pPr>
              <w:spacing w:before="40" w:after="40" w:line="240" w:lineRule="auto"/>
              <w:jc w:val="left"/>
            </w:pPr>
            <w:r/>
            <w:r>
              <w:rPr>
                <w:rFonts w:ascii="Times New Roman" w:hAnsi="Times New Roman"/>
                <w:b w:val="0"/>
                <w:i w:val="0"/>
                <w:sz w:val="20"/>
                <w:u w:val="none"/>
              </w:rPr>
              <w:t>0.627</w:t>
            </w:r>
          </w:p>
        </w:tc>
        <w:tc>
          <w:tcPr>
            <w:tcW w:type="dxa" w:w="1984"/>
          </w:tcPr>
          <w:p>
            <w:pPr>
              <w:spacing w:before="40" w:after="40" w:line="240" w:lineRule="auto"/>
              <w:jc w:val="left"/>
            </w:pPr>
            <w:r/>
            <w:r>
              <w:rPr>
                <w:rFonts w:ascii="Times New Roman" w:hAnsi="Times New Roman"/>
                <w:b w:val="0"/>
                <w:i w:val="0"/>
                <w:sz w:val="20"/>
                <w:u w:val="none"/>
              </w:rPr>
              <w:t>0.00000</w:t>
            </w:r>
          </w:p>
        </w:tc>
      </w:tr>
    </w:tbl>
    <w:p>
      <w:pPr>
        <w:keepNext w:val="0"/>
        <w:spacing w:before="0" w:after="200" w:line="360" w:lineRule="auto"/>
        <w:jc w:val="both"/>
      </w:pPr>
    </w:p>
    <w:p>
      <w:pPr>
        <w:keepNext w:val="0"/>
        <w:spacing w:before="0" w:after="120" w:line="360" w:lineRule="auto"/>
        <w:jc w:val="both"/>
      </w:pPr>
      <w:r>
        <w:rPr>
          <w:rFonts w:ascii="Times New Roman" w:hAnsi="Times New Roman"/>
          <w:b w:val="0"/>
          <w:i w:val="0"/>
          <w:sz w:val="24"/>
          <w:u w:val="none"/>
        </w:rPr>
        <w:t>Removing the monotone anchors collapses the Spearman correlation from 0.542 to 0.180, confirming that anchors are essential for recovering clinically interpretable coordinates. Removing the Frobenius regulariser raises the Spearman correlation to 0.627 but introduces latent axis dependence. The full model deliberately accepts a modest reduction in raw predictive correlation (0.542 vs. 0.627) in exchange for interpretability.</w:t>
      </w:r>
    </w:p>
    <w:p>
      <w:pPr>
        <w:keepNext/>
        <w:spacing w:before="360" w:after="120" w:line="360" w:lineRule="auto"/>
        <w:jc w:val="left"/>
      </w:pPr>
      <w:r>
        <w:rPr>
          <w:rFonts w:ascii="Times New Roman" w:hAnsi="Times New Roman"/>
          <w:b/>
          <w:i w:val="0"/>
          <w:sz w:val="24"/>
          <w:u w:val="single"/>
        </w:rPr>
        <w:t>4.11   Limitations and Negative Findings</w:t>
      </w:r>
    </w:p>
    <w:p>
      <w:pPr>
        <w:keepNext/>
        <w:spacing w:before="240" w:after="80" w:line="360" w:lineRule="auto"/>
        <w:jc w:val="left"/>
      </w:pPr>
      <w:r>
        <w:rPr>
          <w:rFonts w:ascii="Times New Roman" w:hAnsi="Times New Roman"/>
          <w:b/>
          <w:i w:val="0"/>
          <w:sz w:val="24"/>
          <w:u w:val="single"/>
        </w:rPr>
        <w:t>4.11.1   Small Training Sample</w:t>
      </w:r>
    </w:p>
    <w:p>
      <w:pPr>
        <w:keepNext w:val="0"/>
        <w:spacing w:before="0" w:after="120" w:line="360" w:lineRule="auto"/>
        <w:jc w:val="both"/>
      </w:pPr>
      <w:r>
        <w:rPr>
          <w:rFonts w:ascii="Times New Roman" w:hAnsi="Times New Roman"/>
          <w:b w:val="0"/>
          <w:i w:val="0"/>
          <w:sz w:val="24"/>
          <w:u w:val="none"/>
        </w:rPr>
        <w:t>The model was trained on N = 1,477 normal-BMI cases. Independent validation on a separately recruited clinical cohort, ideally with prospective longitudinal follow-up, is required before any clinical deployment consideration.</w:t>
      </w:r>
    </w:p>
    <w:p>
      <w:pPr>
        <w:keepNext/>
        <w:spacing w:before="240" w:after="80" w:line="360" w:lineRule="auto"/>
        <w:jc w:val="left"/>
      </w:pPr>
      <w:r>
        <w:rPr>
          <w:rFonts w:ascii="Times New Roman" w:hAnsi="Times New Roman"/>
          <w:b/>
          <w:i w:val="0"/>
          <w:sz w:val="24"/>
          <w:u w:val="single"/>
        </w:rPr>
        <w:t>4.11.2   Cross-Sectional Design</w:t>
      </w:r>
    </w:p>
    <w:p>
      <w:pPr>
        <w:keepNext w:val="0"/>
        <w:spacing w:before="0" w:after="120" w:line="360" w:lineRule="auto"/>
        <w:jc w:val="both"/>
      </w:pPr>
      <w:r>
        <w:rPr>
          <w:rFonts w:ascii="Times New Roman" w:hAnsi="Times New Roman"/>
          <w:b w:val="0"/>
          <w:i w:val="0"/>
          <w:sz w:val="24"/>
          <w:u w:val="none"/>
        </w:rPr>
        <w:t>All NHANES data are cross-sectional. LMSIS infers metabolic state at a single time point and cannot currently model temporal trajectory or causal ordering between insulin resistance and steatosis development.</w:t>
      </w:r>
    </w:p>
    <w:p>
      <w:pPr>
        <w:keepNext/>
        <w:spacing w:before="240" w:after="80" w:line="360" w:lineRule="auto"/>
        <w:jc w:val="left"/>
      </w:pPr>
      <w:r>
        <w:rPr>
          <w:rFonts w:ascii="Times New Roman" w:hAnsi="Times New Roman"/>
          <w:b/>
          <w:i w:val="0"/>
          <w:sz w:val="24"/>
          <w:u w:val="single"/>
        </w:rPr>
        <w:t>4.11.3   Negative Findings</w:t>
      </w:r>
    </w:p>
    <w:p>
      <w:pPr>
        <w:keepNext w:val="0"/>
        <w:spacing w:before="0" w:after="80" w:line="360" w:lineRule="auto"/>
        <w:ind w:left="850" w:hanging="850"/>
        <w:jc w:val="both"/>
      </w:pPr>
      <w:r>
        <w:rPr>
          <w:rFonts w:ascii="Times New Roman" w:hAnsi="Times New Roman"/>
          <w:b/>
          <w:i w:val="0"/>
          <w:sz w:val="24"/>
          <w:u w:val="none"/>
        </w:rPr>
        <w:t>1.</w:t>
        <w:tab/>
      </w:r>
      <w:r>
        <w:rPr>
          <w:rFonts w:ascii="Times New Roman" w:hAnsi="Times New Roman"/>
          <w:b/>
          <w:i w:val="0"/>
          <w:sz w:val="24"/>
          <w:u w:val="none"/>
        </w:rPr>
        <w:t xml:space="preserve">Clinical Index Performance Collapse: </w:t>
      </w:r>
      <w:r>
        <w:rPr>
          <w:rFonts w:ascii="Times New Roman" w:hAnsi="Times New Roman"/>
          <w:b w:val="0"/>
          <w:i w:val="0"/>
          <w:sz w:val="24"/>
          <w:u w:val="none"/>
        </w:rPr>
        <w:t>HSI's discriminative ability collapses (rho = 0.092 OOD) when BMI variance approaches zero.</w:t>
      </w:r>
    </w:p>
    <w:p>
      <w:pPr>
        <w:keepNext w:val="0"/>
        <w:spacing w:before="0" w:after="80" w:line="360" w:lineRule="auto"/>
        <w:ind w:left="850" w:hanging="850"/>
        <w:jc w:val="both"/>
      </w:pPr>
      <w:r>
        <w:rPr>
          <w:rFonts w:ascii="Times New Roman" w:hAnsi="Times New Roman"/>
          <w:b/>
          <w:i w:val="0"/>
          <w:sz w:val="24"/>
          <w:u w:val="none"/>
        </w:rPr>
        <w:t>2.</w:t>
        <w:tab/>
      </w:r>
      <w:r>
        <w:rPr>
          <w:rFonts w:ascii="Times New Roman" w:hAnsi="Times New Roman"/>
          <w:b/>
          <w:i w:val="0"/>
          <w:sz w:val="24"/>
          <w:u w:val="none"/>
        </w:rPr>
        <w:t xml:space="preserve">Clinical Score Risk Inversion: </w:t>
      </w:r>
      <w:r>
        <w:rPr>
          <w:rFonts w:ascii="Times New Roman" w:hAnsi="Times New Roman"/>
          <w:b w:val="0"/>
          <w:i w:val="0"/>
          <w:sz w:val="24"/>
          <w:u w:val="none"/>
        </w:rPr>
        <w:t>NAFLD-LFS produces active correlation inversion (rho = -0.051 OOD) in normal-BMI adults.</w:t>
      </w:r>
    </w:p>
    <w:p>
      <w:pPr>
        <w:keepNext w:val="0"/>
        <w:spacing w:before="0" w:after="80" w:line="360" w:lineRule="auto"/>
        <w:ind w:left="850" w:hanging="850"/>
        <w:jc w:val="both"/>
      </w:pPr>
      <w:r>
        <w:rPr>
          <w:rFonts w:ascii="Times New Roman" w:hAnsi="Times New Roman"/>
          <w:b/>
          <w:i w:val="0"/>
          <w:sz w:val="24"/>
          <w:u w:val="none"/>
        </w:rPr>
        <w:t>3.</w:t>
        <w:tab/>
      </w:r>
      <w:r>
        <w:rPr>
          <w:rFonts w:ascii="Times New Roman" w:hAnsi="Times New Roman"/>
          <w:b/>
          <w:i w:val="0"/>
          <w:sz w:val="24"/>
          <w:u w:val="none"/>
        </w:rPr>
        <w:t xml:space="preserve">Supervision Modesty: </w:t>
      </w:r>
      <w:r>
        <w:rPr>
          <w:rFonts w:ascii="Times New Roman" w:hAnsi="Times New Roman"/>
          <w:b w:val="0"/>
          <w:i w:val="0"/>
          <w:sz w:val="24"/>
          <w:u w:val="none"/>
        </w:rPr>
        <w:t>A small minority of the complete-record cohort (3.7%, n = 55) lacks CAP labels. The practical contribution of semi-supervision in this specific dataset is modest.</w:t>
      </w:r>
    </w:p>
    <w:p>
      <w:pPr>
        <w:keepNext w:val="0"/>
        <w:spacing w:before="0" w:after="80" w:line="360" w:lineRule="auto"/>
        <w:ind w:left="850" w:hanging="850"/>
        <w:jc w:val="both"/>
      </w:pPr>
      <w:r>
        <w:rPr>
          <w:rFonts w:ascii="Times New Roman" w:hAnsi="Times New Roman"/>
          <w:b/>
          <w:i w:val="0"/>
          <w:sz w:val="24"/>
          <w:u w:val="none"/>
        </w:rPr>
        <w:t>4.</w:t>
        <w:tab/>
      </w:r>
      <w:r>
        <w:rPr>
          <w:rFonts w:ascii="Times New Roman" w:hAnsi="Times New Roman"/>
          <w:b/>
          <w:i w:val="0"/>
          <w:sz w:val="24"/>
          <w:u w:val="none"/>
        </w:rPr>
        <w:t xml:space="preserve">Ancestral Subgroup Bounds: </w:t>
      </w:r>
      <w:r>
        <w:rPr>
          <w:rFonts w:ascii="Times New Roman" w:hAnsi="Times New Roman"/>
          <w:b w:val="0"/>
          <w:i w:val="0"/>
          <w:sz w:val="24"/>
          <w:u w:val="none"/>
        </w:rPr>
        <w:t>The small sample (n = 12) from the narrow reference band restricts the ancestral threshold finding to a preliminary signal.</w:t>
      </w:r>
    </w:p>
    <w:p>
      <w:pPr>
        <w:keepNext/>
        <w:spacing w:before="360" w:after="120" w:line="360" w:lineRule="auto"/>
        <w:jc w:val="left"/>
      </w:pPr>
      <w:r>
        <w:rPr>
          <w:rFonts w:ascii="Times New Roman" w:hAnsi="Times New Roman"/>
          <w:b/>
          <w:i w:val="0"/>
          <w:sz w:val="24"/>
          <w:u w:val="single"/>
        </w:rPr>
        <w:t>4.12   Threats to Validity</w:t>
      </w:r>
    </w:p>
    <w:p>
      <w:pPr>
        <w:keepNext/>
        <w:spacing w:before="240" w:after="80" w:line="240" w:lineRule="auto"/>
        <w:jc w:val="center"/>
      </w:pPr>
      <w:r>
        <w:rPr>
          <w:rFonts w:ascii="Times New Roman" w:hAnsi="Times New Roman"/>
          <w:b/>
          <w:i w:val="0"/>
          <w:sz w:val="20"/>
          <w:u w:val="none"/>
        </w:rPr>
        <w:t>Table 18: Threats to validity</w:t>
      </w:r>
    </w:p>
    <w:tbl>
      <w:tblPr>
        <w:tblStyle w:val="TableGrid"/>
        <w:tblW w:type="auto" w:w="0"/>
        <w:tblLook w:firstColumn="1" w:firstRow="1" w:lastColumn="0" w:lastRow="0" w:noHBand="0" w:noVBand="1" w:val="04A0"/>
      </w:tblPr>
      <w:tblGrid>
        <w:gridCol w:w="2646"/>
        <w:gridCol w:w="2646"/>
        <w:gridCol w:w="2646"/>
      </w:tblGrid>
      <w:tr>
        <w:tc>
          <w:tcPr>
            <w:tcW w:type="dxa" w:w="2646"/>
          </w:tcPr>
          <w:p>
            <w:pPr>
              <w:spacing w:before="40" w:after="40" w:line="240" w:lineRule="auto"/>
              <w:jc w:val="center"/>
            </w:pPr>
            <w:r/>
            <w:r>
              <w:rPr>
                <w:rFonts w:ascii="Times New Roman" w:hAnsi="Times New Roman"/>
                <w:b/>
                <w:i w:val="0"/>
                <w:sz w:val="20"/>
                <w:u w:val="none"/>
              </w:rPr>
              <w:t>Threat</w:t>
            </w:r>
          </w:p>
        </w:tc>
        <w:tc>
          <w:tcPr>
            <w:tcW w:type="dxa" w:w="2646"/>
          </w:tcPr>
          <w:p>
            <w:pPr>
              <w:spacing w:before="40" w:after="40" w:line="240" w:lineRule="auto"/>
              <w:jc w:val="center"/>
            </w:pPr>
            <w:r/>
            <w:r>
              <w:rPr>
                <w:rFonts w:ascii="Times New Roman" w:hAnsi="Times New Roman"/>
                <w:b/>
                <w:i w:val="0"/>
                <w:sz w:val="20"/>
                <w:u w:val="none"/>
              </w:rPr>
              <w:t>Impact</w:t>
            </w:r>
          </w:p>
        </w:tc>
        <w:tc>
          <w:tcPr>
            <w:tcW w:type="dxa" w:w="2646"/>
          </w:tcPr>
          <w:p>
            <w:pPr>
              <w:spacing w:before="40" w:after="40" w:line="240" w:lineRule="auto"/>
              <w:jc w:val="center"/>
            </w:pPr>
            <w:r/>
            <w:r>
              <w:rPr>
                <w:rFonts w:ascii="Times New Roman" w:hAnsi="Times New Roman"/>
                <w:b/>
                <w:i w:val="0"/>
                <w:sz w:val="20"/>
                <w:u w:val="none"/>
              </w:rPr>
              <w:t>Mitigation</w:t>
            </w:r>
          </w:p>
        </w:tc>
      </w:tr>
      <w:tr>
        <w:tc>
          <w:tcPr>
            <w:tcW w:type="dxa" w:w="2646"/>
          </w:tcPr>
          <w:p>
            <w:pPr>
              <w:spacing w:before="40" w:after="40" w:line="240" w:lineRule="auto"/>
              <w:jc w:val="left"/>
            </w:pPr>
            <w:r/>
            <w:r>
              <w:rPr>
                <w:rFonts w:ascii="Times New Roman" w:hAnsi="Times New Roman"/>
                <w:b w:val="0"/>
                <w:i w:val="0"/>
                <w:sz w:val="20"/>
                <w:u w:val="none"/>
              </w:rPr>
              <w:t>Single survey source (NHANES only)</w:t>
            </w:r>
          </w:p>
        </w:tc>
        <w:tc>
          <w:tcPr>
            <w:tcW w:type="dxa" w:w="2646"/>
          </w:tcPr>
          <w:p>
            <w:pPr>
              <w:spacing w:before="40" w:after="40" w:line="240" w:lineRule="auto"/>
              <w:jc w:val="left"/>
            </w:pPr>
            <w:r/>
            <w:r>
              <w:rPr>
                <w:rFonts w:ascii="Times New Roman" w:hAnsi="Times New Roman"/>
                <w:b w:val="0"/>
                <w:i w:val="0"/>
                <w:sz w:val="20"/>
                <w:u w:val="none"/>
              </w:rPr>
              <w:t>External validity</w:t>
            </w:r>
          </w:p>
        </w:tc>
        <w:tc>
          <w:tcPr>
            <w:tcW w:type="dxa" w:w="2646"/>
          </w:tcPr>
          <w:p>
            <w:pPr>
              <w:spacing w:before="40" w:after="40" w:line="240" w:lineRule="auto"/>
              <w:jc w:val="left"/>
            </w:pPr>
            <w:r/>
            <w:r>
              <w:rPr>
                <w:rFonts w:ascii="Times New Roman" w:hAnsi="Times New Roman"/>
                <w:b w:val="0"/>
                <w:i w:val="0"/>
                <w:sz w:val="20"/>
                <w:u w:val="none"/>
              </w:rPr>
              <w:t>Temporal OOD evaluation across J-, P-, and L-cycles; zero-shot Asian cohort test</w:t>
            </w:r>
          </w:p>
        </w:tc>
      </w:tr>
      <w:tr>
        <w:tc>
          <w:tcPr>
            <w:tcW w:type="dxa" w:w="2646"/>
          </w:tcPr>
          <w:p>
            <w:pPr>
              <w:spacing w:before="40" w:after="40" w:line="240" w:lineRule="auto"/>
              <w:jc w:val="left"/>
            </w:pPr>
            <w:r/>
            <w:r>
              <w:rPr>
                <w:rFonts w:ascii="Times New Roman" w:hAnsi="Times New Roman"/>
                <w:b w:val="0"/>
                <w:i w:val="0"/>
                <w:sz w:val="20"/>
                <w:u w:val="none"/>
              </w:rPr>
              <w:t>Post-pandemic distribution shift</w:t>
            </w:r>
          </w:p>
        </w:tc>
        <w:tc>
          <w:tcPr>
            <w:tcW w:type="dxa" w:w="2646"/>
          </w:tcPr>
          <w:p>
            <w:pPr>
              <w:spacing w:before="40" w:after="40" w:line="240" w:lineRule="auto"/>
              <w:jc w:val="left"/>
            </w:pPr>
            <w:r/>
            <w:r>
              <w:rPr>
                <w:rFonts w:ascii="Times New Roman" w:hAnsi="Times New Roman"/>
                <w:b w:val="0"/>
                <w:i w:val="0"/>
                <w:sz w:val="20"/>
                <w:u w:val="none"/>
              </w:rPr>
              <w:t>Z2 degradation</w:t>
            </w:r>
          </w:p>
        </w:tc>
        <w:tc>
          <w:tcPr>
            <w:tcW w:type="dxa" w:w="2646"/>
          </w:tcPr>
          <w:p>
            <w:pPr>
              <w:spacing w:before="40" w:after="40" w:line="240" w:lineRule="auto"/>
              <w:jc w:val="left"/>
            </w:pPr>
            <w:r/>
            <w:r>
              <w:rPr>
                <w:rFonts w:ascii="Times New Roman" w:hAnsi="Times New Roman"/>
                <w:b w:val="0"/>
                <w:i w:val="0"/>
                <w:sz w:val="20"/>
                <w:u w:val="none"/>
              </w:rPr>
              <w:t>Mondrian CP preserved 90% safety coverage without exploding intervals</w:t>
            </w:r>
          </w:p>
        </w:tc>
      </w:tr>
      <w:tr>
        <w:tc>
          <w:tcPr>
            <w:tcW w:type="dxa" w:w="2646"/>
          </w:tcPr>
          <w:p>
            <w:pPr>
              <w:spacing w:before="40" w:after="40" w:line="240" w:lineRule="auto"/>
              <w:jc w:val="left"/>
            </w:pPr>
            <w:r/>
            <w:r>
              <w:rPr>
                <w:rFonts w:ascii="Times New Roman" w:hAnsi="Times New Roman"/>
                <w:b w:val="0"/>
                <w:i w:val="0"/>
                <w:sz w:val="20"/>
                <w:u w:val="none"/>
              </w:rPr>
              <w:t>Cross-sectional data</w:t>
            </w:r>
          </w:p>
        </w:tc>
        <w:tc>
          <w:tcPr>
            <w:tcW w:type="dxa" w:w="2646"/>
          </w:tcPr>
          <w:p>
            <w:pPr>
              <w:spacing w:before="40" w:after="40" w:line="240" w:lineRule="auto"/>
              <w:jc w:val="left"/>
            </w:pPr>
            <w:r/>
            <w:r>
              <w:rPr>
                <w:rFonts w:ascii="Times New Roman" w:hAnsi="Times New Roman"/>
                <w:b w:val="0"/>
                <w:i w:val="0"/>
                <w:sz w:val="20"/>
                <w:u w:val="none"/>
              </w:rPr>
              <w:t>No causal ordering established</w:t>
            </w:r>
          </w:p>
        </w:tc>
        <w:tc>
          <w:tcPr>
            <w:tcW w:type="dxa" w:w="2646"/>
          </w:tcPr>
          <w:p>
            <w:pPr>
              <w:spacing w:before="40" w:after="40" w:line="240" w:lineRule="auto"/>
              <w:jc w:val="left"/>
            </w:pPr>
            <w:r/>
            <w:r>
              <w:rPr>
                <w:rFonts w:ascii="Times New Roman" w:hAnsi="Times New Roman"/>
                <w:b w:val="0"/>
                <w:i w:val="0"/>
                <w:sz w:val="20"/>
                <w:u w:val="none"/>
              </w:rPr>
              <w:t>All findings framed as associative; longitudinal extension deferred to future work</w:t>
            </w:r>
          </w:p>
        </w:tc>
      </w:tr>
      <w:tr>
        <w:tc>
          <w:tcPr>
            <w:tcW w:type="dxa" w:w="2646"/>
          </w:tcPr>
          <w:p>
            <w:pPr>
              <w:spacing w:before="40" w:after="40" w:line="240" w:lineRule="auto"/>
              <w:jc w:val="left"/>
            </w:pPr>
            <w:r/>
            <w:r>
              <w:rPr>
                <w:rFonts w:ascii="Times New Roman" w:hAnsi="Times New Roman"/>
                <w:b w:val="0"/>
                <w:i w:val="0"/>
                <w:sz w:val="20"/>
                <w:u w:val="none"/>
              </w:rPr>
              <w:t>Missing CAP labels (3.7%)</w:t>
            </w:r>
          </w:p>
        </w:tc>
        <w:tc>
          <w:tcPr>
            <w:tcW w:type="dxa" w:w="2646"/>
          </w:tcPr>
          <w:p>
            <w:pPr>
              <w:spacing w:before="40" w:after="40" w:line="240" w:lineRule="auto"/>
              <w:jc w:val="left"/>
            </w:pPr>
            <w:r/>
            <w:r>
              <w:rPr>
                <w:rFonts w:ascii="Times New Roman" w:hAnsi="Times New Roman"/>
                <w:b w:val="0"/>
                <w:i w:val="0"/>
                <w:sz w:val="20"/>
                <w:u w:val="none"/>
              </w:rPr>
              <w:t>Modest loss of supervision</w:t>
            </w:r>
          </w:p>
        </w:tc>
        <w:tc>
          <w:tcPr>
            <w:tcW w:type="dxa" w:w="2646"/>
          </w:tcPr>
          <w:p>
            <w:pPr>
              <w:spacing w:before="40" w:after="40" w:line="240" w:lineRule="auto"/>
              <w:jc w:val="left"/>
            </w:pPr>
            <w:r/>
            <w:r>
              <w:rPr>
                <w:rFonts w:ascii="Times New Roman" w:hAnsi="Times New Roman"/>
                <w:b w:val="0"/>
                <w:i w:val="0"/>
                <w:sz w:val="20"/>
                <w:u w:val="none"/>
              </w:rPr>
              <w:t>Semi-supervised loss masking handles unlabelled subset safely</w:t>
            </w:r>
          </w:p>
        </w:tc>
      </w:tr>
      <w:tr>
        <w:tc>
          <w:tcPr>
            <w:tcW w:type="dxa" w:w="2646"/>
          </w:tcPr>
          <w:p>
            <w:pPr>
              <w:spacing w:before="40" w:after="40" w:line="240" w:lineRule="auto"/>
              <w:jc w:val="left"/>
            </w:pPr>
            <w:r/>
            <w:r>
              <w:rPr>
                <w:rFonts w:ascii="Times New Roman" w:hAnsi="Times New Roman"/>
                <w:b w:val="0"/>
                <w:i w:val="0"/>
                <w:sz w:val="20"/>
                <w:u w:val="none"/>
              </w:rPr>
              <w:t>Small Asian ancestry subgroup (n=12)</w:t>
            </w:r>
          </w:p>
        </w:tc>
        <w:tc>
          <w:tcPr>
            <w:tcW w:type="dxa" w:w="2646"/>
          </w:tcPr>
          <w:p>
            <w:pPr>
              <w:spacing w:before="40" w:after="40" w:line="240" w:lineRule="auto"/>
              <w:jc w:val="left"/>
            </w:pPr>
            <w:r/>
            <w:r>
              <w:rPr>
                <w:rFonts w:ascii="Times New Roman" w:hAnsi="Times New Roman"/>
                <w:b w:val="0"/>
                <w:i w:val="0"/>
                <w:sz w:val="20"/>
                <w:u w:val="none"/>
              </w:rPr>
              <w:t>Threshold instability</w:t>
            </w:r>
          </w:p>
        </w:tc>
        <w:tc>
          <w:tcPr>
            <w:tcW w:type="dxa" w:w="2646"/>
          </w:tcPr>
          <w:p>
            <w:pPr>
              <w:spacing w:before="40" w:after="40" w:line="240" w:lineRule="auto"/>
              <w:jc w:val="left"/>
            </w:pPr>
            <w:r/>
            <w:r>
              <w:rPr>
                <w:rFonts w:ascii="Times New Roman" w:hAnsi="Times New Roman"/>
                <w:b w:val="0"/>
                <w:i w:val="0"/>
                <w:sz w:val="20"/>
                <w:u w:val="none"/>
              </w:rPr>
              <w:t>Full Asian cohort (n=355) confirms general shift direction</w:t>
            </w:r>
          </w:p>
        </w:tc>
      </w:tr>
      <w:tr>
        <w:tc>
          <w:tcPr>
            <w:tcW w:type="dxa" w:w="2646"/>
          </w:tcPr>
          <w:p>
            <w:pPr>
              <w:spacing w:before="40" w:after="40" w:line="240" w:lineRule="auto"/>
              <w:jc w:val="left"/>
            </w:pPr>
            <w:r/>
            <w:r>
              <w:rPr>
                <w:rFonts w:ascii="Times New Roman" w:hAnsi="Times New Roman"/>
                <w:b w:val="0"/>
                <w:i w:val="0"/>
                <w:sz w:val="20"/>
                <w:u w:val="none"/>
              </w:rPr>
              <w:t>Survey weighting uncertainty</w:t>
            </w:r>
          </w:p>
        </w:tc>
        <w:tc>
          <w:tcPr>
            <w:tcW w:type="dxa" w:w="2646"/>
          </w:tcPr>
          <w:p>
            <w:pPr>
              <w:spacing w:before="40" w:after="40" w:line="240" w:lineRule="auto"/>
              <w:jc w:val="left"/>
            </w:pPr>
            <w:r/>
            <w:r>
              <w:rPr>
                <w:rFonts w:ascii="Times New Roman" w:hAnsi="Times New Roman"/>
                <w:b w:val="0"/>
                <w:i w:val="0"/>
                <w:sz w:val="20"/>
                <w:u w:val="none"/>
              </w:rPr>
              <w:t>Wide prevalence CI</w:t>
            </w:r>
          </w:p>
        </w:tc>
        <w:tc>
          <w:tcPr>
            <w:tcW w:type="dxa" w:w="2646"/>
          </w:tcPr>
          <w:p>
            <w:pPr>
              <w:spacing w:before="40" w:after="40" w:line="240" w:lineRule="auto"/>
              <w:jc w:val="left"/>
            </w:pPr>
            <w:r/>
            <w:r>
              <w:rPr>
                <w:rFonts w:ascii="Times New Roman" w:hAnsi="Times New Roman"/>
                <w:b w:val="0"/>
                <w:i w:val="0"/>
                <w:sz w:val="20"/>
                <w:u w:val="none"/>
              </w:rPr>
              <w:t>Full 95% CI [0.00M, 64.36M] reported; estimate described as exploratory</w:t>
            </w:r>
          </w:p>
        </w:tc>
      </w:tr>
      <w:tr>
        <w:tc>
          <w:tcPr>
            <w:tcW w:type="dxa" w:w="2646"/>
          </w:tcPr>
          <w:p>
            <w:pPr>
              <w:spacing w:before="40" w:after="40" w:line="240" w:lineRule="auto"/>
              <w:jc w:val="left"/>
            </w:pPr>
            <w:r/>
            <w:r>
              <w:rPr>
                <w:rFonts w:ascii="Times New Roman" w:hAnsi="Times New Roman"/>
                <w:b w:val="0"/>
                <w:i w:val="0"/>
                <w:sz w:val="20"/>
                <w:u w:val="none"/>
              </w:rPr>
              <w:t>Simulated pharmacological shifts</w:t>
            </w:r>
          </w:p>
        </w:tc>
        <w:tc>
          <w:tcPr>
            <w:tcW w:type="dxa" w:w="2646"/>
          </w:tcPr>
          <w:p>
            <w:pPr>
              <w:spacing w:before="40" w:after="40" w:line="240" w:lineRule="auto"/>
              <w:jc w:val="left"/>
            </w:pPr>
            <w:r/>
            <w:r>
              <w:rPr>
                <w:rFonts w:ascii="Times New Roman" w:hAnsi="Times New Roman"/>
                <w:b w:val="0"/>
                <w:i w:val="0"/>
                <w:sz w:val="20"/>
                <w:u w:val="none"/>
              </w:rPr>
              <w:t>Inflated effect sizes (r=1.000)</w:t>
            </w:r>
          </w:p>
        </w:tc>
        <w:tc>
          <w:tcPr>
            <w:tcW w:type="dxa" w:w="2646"/>
          </w:tcPr>
          <w:p>
            <w:pPr>
              <w:spacing w:before="40" w:after="40" w:line="240" w:lineRule="auto"/>
              <w:jc w:val="left"/>
            </w:pPr>
            <w:r/>
            <w:r>
              <w:rPr>
                <w:rFonts w:ascii="Times New Roman" w:hAnsi="Times New Roman"/>
                <w:b w:val="0"/>
                <w:i w:val="0"/>
                <w:sz w:val="20"/>
                <w:u w:val="none"/>
              </w:rPr>
              <w:t>Labelled as structural disentanglement validation, not clinical trial evidence</w:t>
            </w:r>
          </w:p>
        </w:tc>
      </w:tr>
      <w:tr>
        <w:tc>
          <w:tcPr>
            <w:tcW w:type="dxa" w:w="2646"/>
          </w:tcPr>
          <w:p>
            <w:pPr>
              <w:spacing w:before="40" w:after="40" w:line="240" w:lineRule="auto"/>
              <w:jc w:val="left"/>
            </w:pPr>
            <w:r/>
            <w:r>
              <w:rPr>
                <w:rFonts w:ascii="Times New Roman" w:hAnsi="Times New Roman"/>
                <w:b w:val="0"/>
                <w:i w:val="0"/>
                <w:sz w:val="20"/>
                <w:u w:val="none"/>
              </w:rPr>
              <w:t>Single training run (no ensemble)</w:t>
            </w:r>
          </w:p>
        </w:tc>
        <w:tc>
          <w:tcPr>
            <w:tcW w:type="dxa" w:w="2646"/>
          </w:tcPr>
          <w:p>
            <w:pPr>
              <w:spacing w:before="40" w:after="40" w:line="240" w:lineRule="auto"/>
              <w:jc w:val="left"/>
            </w:pPr>
            <w:r/>
            <w:r>
              <w:rPr>
                <w:rFonts w:ascii="Times New Roman" w:hAnsi="Times New Roman"/>
                <w:b w:val="0"/>
                <w:i w:val="0"/>
                <w:sz w:val="20"/>
                <w:u w:val="none"/>
              </w:rPr>
              <w:t>Variance in results</w:t>
            </w:r>
          </w:p>
        </w:tc>
        <w:tc>
          <w:tcPr>
            <w:tcW w:type="dxa" w:w="2646"/>
          </w:tcPr>
          <w:p>
            <w:pPr>
              <w:spacing w:before="40" w:after="40" w:line="240" w:lineRule="auto"/>
              <w:jc w:val="left"/>
            </w:pPr>
            <w:r/>
            <w:r>
              <w:rPr>
                <w:rFonts w:ascii="Times New Roman" w:hAnsi="Times New Roman"/>
                <w:b w:val="0"/>
                <w:i w:val="0"/>
                <w:sz w:val="20"/>
                <w:u w:val="none"/>
              </w:rPr>
              <w:t>Fixed random seed (42); integration test suite validates key properties</w:t>
            </w:r>
          </w:p>
        </w:tc>
      </w:tr>
    </w:tbl>
    <w:p>
      <w:pPr>
        <w:keepNext w:val="0"/>
        <w:spacing w:before="0" w:after="200" w:line="360" w:lineRule="auto"/>
        <w:jc w:val="both"/>
      </w:pPr>
    </w:p>
    <w:p>
      <w:pPr>
        <w:keepNext/>
        <w:spacing w:before="360" w:after="120" w:line="360" w:lineRule="auto"/>
        <w:jc w:val="left"/>
      </w:pPr>
      <w:r>
        <w:rPr>
          <w:rFonts w:ascii="Times New Roman" w:hAnsi="Times New Roman"/>
          <w:b/>
          <w:i w:val="0"/>
          <w:sz w:val="24"/>
          <w:u w:val="single"/>
        </w:rPr>
        <w:t>4.13   Ethical Considerations</w:t>
      </w:r>
    </w:p>
    <w:p>
      <w:pPr>
        <w:keepNext w:val="0"/>
        <w:spacing w:before="0" w:after="60" w:line="360" w:lineRule="auto"/>
        <w:ind w:left="567" w:hanging="283"/>
        <w:jc w:val="both"/>
      </w:pPr>
      <w:r>
        <w:rPr>
          <w:rFonts w:ascii="Times New Roman" w:hAnsi="Times New Roman"/>
          <w:b w:val="0"/>
          <w:i w:val="0"/>
          <w:sz w:val="24"/>
          <w:u w:val="none"/>
        </w:rPr>
        <w:t xml:space="preserve">•  </w:t>
      </w:r>
      <w:r>
        <w:rPr>
          <w:rFonts w:ascii="Times New Roman" w:hAnsi="Times New Roman"/>
          <w:b/>
          <w:i w:val="0"/>
          <w:sz w:val="24"/>
          <w:u w:val="none"/>
        </w:rPr>
        <w:t xml:space="preserve">Public De-identified Data: </w:t>
      </w:r>
      <w:r>
        <w:rPr>
          <w:rFonts w:ascii="Times New Roman" w:hAnsi="Times New Roman"/>
          <w:b w:val="0"/>
          <w:i w:val="0"/>
          <w:sz w:val="24"/>
          <w:u w:val="none"/>
        </w:rPr>
        <w:t>The cohort was constructed entirely from public, de-identified datasets provided by the CDC. No human subject contact was performed.</w:t>
      </w:r>
    </w:p>
    <w:p>
      <w:pPr>
        <w:keepNext w:val="0"/>
        <w:spacing w:before="0" w:after="60" w:line="360" w:lineRule="auto"/>
        <w:ind w:left="567" w:hanging="283"/>
        <w:jc w:val="both"/>
      </w:pPr>
      <w:r>
        <w:rPr>
          <w:rFonts w:ascii="Times New Roman" w:hAnsi="Times New Roman"/>
          <w:b w:val="0"/>
          <w:i w:val="0"/>
          <w:sz w:val="24"/>
          <w:u w:val="none"/>
        </w:rPr>
        <w:t xml:space="preserve">•  </w:t>
      </w:r>
      <w:r>
        <w:rPr>
          <w:rFonts w:ascii="Times New Roman" w:hAnsi="Times New Roman"/>
          <w:b/>
          <w:i w:val="0"/>
          <w:sz w:val="24"/>
          <w:u w:val="none"/>
        </w:rPr>
        <w:t xml:space="preserve">Exploratory Research Prototype Only: </w:t>
      </w:r>
      <w:r>
        <w:rPr>
          <w:rFonts w:ascii="Times New Roman" w:hAnsi="Times New Roman"/>
          <w:b w:val="0"/>
          <w:i w:val="0"/>
          <w:sz w:val="24"/>
          <w:u w:val="none"/>
        </w:rPr>
        <w:t>The system is not cleared by the FDA or CE for clinical diagnosis, and must not be used to direct patient care.</w:t>
      </w:r>
    </w:p>
    <w:p>
      <w:pPr>
        <w:keepNext w:val="0"/>
        <w:spacing w:before="0" w:after="60" w:line="360" w:lineRule="auto"/>
        <w:ind w:left="567" w:hanging="283"/>
        <w:jc w:val="both"/>
      </w:pPr>
      <w:r>
        <w:rPr>
          <w:rFonts w:ascii="Times New Roman" w:hAnsi="Times New Roman"/>
          <w:b w:val="0"/>
          <w:i w:val="0"/>
          <w:sz w:val="24"/>
          <w:u w:val="none"/>
        </w:rPr>
        <w:t xml:space="preserve">•  </w:t>
      </w:r>
      <w:r>
        <w:rPr>
          <w:rFonts w:ascii="Times New Roman" w:hAnsi="Times New Roman"/>
          <w:b/>
          <w:i w:val="0"/>
          <w:sz w:val="24"/>
          <w:u w:val="none"/>
        </w:rPr>
        <w:t xml:space="preserve">Algorithmic Bias Mitigation: </w:t>
      </w:r>
      <w:r>
        <w:rPr>
          <w:rFonts w:ascii="Times New Roman" w:hAnsi="Times New Roman"/>
          <w:b w:val="0"/>
          <w:i w:val="0"/>
          <w:sz w:val="24"/>
          <w:u w:val="none"/>
        </w:rPr>
        <w:t>By conditioning the iVAE prior on demographics, LMSIS adjusts risk coordinates to demographic baselines, partially addressing ancestral threshold bias.</w:t>
      </w:r>
    </w:p>
    <w:p>
      <w:pPr>
        <w:keepNext w:val="0"/>
        <w:spacing w:before="0" w:after="60" w:line="360" w:lineRule="auto"/>
        <w:ind w:left="567" w:hanging="283"/>
        <w:jc w:val="both"/>
      </w:pPr>
      <w:r>
        <w:rPr>
          <w:rFonts w:ascii="Times New Roman" w:hAnsi="Times New Roman"/>
          <w:b w:val="0"/>
          <w:i w:val="0"/>
          <w:sz w:val="24"/>
          <w:u w:val="none"/>
        </w:rPr>
        <w:t xml:space="preserve">•  </w:t>
      </w:r>
      <w:r>
        <w:rPr>
          <w:rFonts w:ascii="Times New Roman" w:hAnsi="Times New Roman"/>
          <w:b/>
          <w:i w:val="0"/>
          <w:sz w:val="24"/>
          <w:u w:val="none"/>
        </w:rPr>
        <w:t xml:space="preserve">No Clinical Deployment: </w:t>
      </w:r>
      <w:r>
        <w:rPr>
          <w:rFonts w:ascii="Times New Roman" w:hAnsi="Times New Roman"/>
          <w:b w:val="0"/>
          <w:i w:val="0"/>
          <w:sz w:val="24"/>
          <w:u w:val="none"/>
        </w:rPr>
        <w:t>The FastAPI services and React dashboard are designed exclusively for demonstration and technical audit, licensed under the MIT Licence.</w:t>
      </w:r>
    </w:p>
    <w:p>
      <w:pPr>
        <w:keepNext/>
        <w:spacing w:before="360" w:after="120" w:line="360" w:lineRule="auto"/>
        <w:jc w:val="left"/>
      </w:pPr>
      <w:r>
        <w:rPr>
          <w:rFonts w:ascii="Times New Roman" w:hAnsi="Times New Roman"/>
          <w:b/>
          <w:i w:val="0"/>
          <w:sz w:val="24"/>
          <w:u w:val="single"/>
        </w:rPr>
        <w:t>4.14   Reproducibility Statement</w:t>
      </w:r>
    </w:p>
    <w:p>
      <w:pPr>
        <w:keepNext w:val="0"/>
        <w:spacing w:before="0" w:after="60" w:line="360" w:lineRule="auto"/>
        <w:ind w:left="567" w:hanging="283"/>
        <w:jc w:val="both"/>
      </w:pPr>
      <w:r>
        <w:rPr>
          <w:rFonts w:ascii="Times New Roman" w:hAnsi="Times New Roman"/>
          <w:b w:val="0"/>
          <w:i w:val="0"/>
          <w:sz w:val="24"/>
          <w:u w:val="none"/>
        </w:rPr>
        <w:t xml:space="preserve">•  </w:t>
      </w:r>
      <w:r>
        <w:rPr>
          <w:rFonts w:ascii="Times New Roman" w:hAnsi="Times New Roman"/>
          <w:b/>
          <w:i w:val="0"/>
          <w:sz w:val="24"/>
          <w:u w:val="none"/>
        </w:rPr>
        <w:t xml:space="preserve">Stochastic Control: </w:t>
      </w:r>
      <w:r>
        <w:rPr>
          <w:rFonts w:ascii="Times New Roman" w:hAnsi="Times New Roman"/>
          <w:b w:val="0"/>
          <w:i w:val="0"/>
          <w:sz w:val="24"/>
          <w:u w:val="none"/>
        </w:rPr>
        <w:t>All random operations locked: training/test splits (random_state=42) and PyTorch initialisations (torch.manual_seed(42)).</w:t>
      </w:r>
    </w:p>
    <w:p>
      <w:pPr>
        <w:keepNext w:val="0"/>
        <w:spacing w:before="0" w:after="60" w:line="360" w:lineRule="auto"/>
        <w:ind w:left="567" w:hanging="283"/>
        <w:jc w:val="both"/>
      </w:pPr>
      <w:r>
        <w:rPr>
          <w:rFonts w:ascii="Times New Roman" w:hAnsi="Times New Roman"/>
          <w:b w:val="0"/>
          <w:i w:val="0"/>
          <w:sz w:val="24"/>
          <w:u w:val="none"/>
        </w:rPr>
        <w:t xml:space="preserve">•  </w:t>
      </w:r>
      <w:r>
        <w:rPr>
          <w:rFonts w:ascii="Times New Roman" w:hAnsi="Times New Roman"/>
          <w:b/>
          <w:i w:val="0"/>
          <w:sz w:val="24"/>
          <w:u w:val="none"/>
        </w:rPr>
        <w:t xml:space="preserve">Software Versions: </w:t>
      </w:r>
      <w:r>
        <w:rPr>
          <w:rFonts w:ascii="Times New Roman" w:hAnsi="Times New Roman"/>
          <w:b w:val="0"/>
          <w:i w:val="0"/>
          <w:sz w:val="24"/>
          <w:u w:val="none"/>
        </w:rPr>
        <w:t>Python 3.12.3; PyTorch 2.2.1+cu121; NumPy 1.26.4; Pandas 2.2.1; Scikit-learn 1.4.1.post1; PySR 0.18.2.</w:t>
      </w:r>
    </w:p>
    <w:p>
      <w:pPr>
        <w:keepNext w:val="0"/>
        <w:spacing w:before="0" w:after="60" w:line="360" w:lineRule="auto"/>
        <w:ind w:left="567" w:hanging="283"/>
        <w:jc w:val="both"/>
      </w:pPr>
      <w:r>
        <w:rPr>
          <w:rFonts w:ascii="Times New Roman" w:hAnsi="Times New Roman"/>
          <w:b w:val="0"/>
          <w:i w:val="0"/>
          <w:sz w:val="24"/>
          <w:u w:val="none"/>
        </w:rPr>
        <w:t xml:space="preserve">•  </w:t>
      </w:r>
      <w:r>
        <w:rPr>
          <w:rFonts w:ascii="Times New Roman" w:hAnsi="Times New Roman"/>
          <w:b/>
          <w:i w:val="0"/>
          <w:sz w:val="24"/>
          <w:u w:val="none"/>
        </w:rPr>
        <w:t xml:space="preserve">Hardware Profile: </w:t>
      </w:r>
      <w:r>
        <w:rPr>
          <w:rFonts w:ascii="Times New Roman" w:hAnsi="Times New Roman"/>
          <w:b w:val="0"/>
          <w:i w:val="0"/>
          <w:sz w:val="24"/>
          <w:u w:val="none"/>
        </w:rPr>
        <w:t>Intel Core i7-13700H CPU @ 2.40 GHz, 32 GB RAM, NVIDIA GeForce RTX 4060 Laptop GPU (8 GB VRAM).</w:t>
      </w:r>
    </w:p>
    <w:p>
      <w:pPr>
        <w:keepNext w:val="0"/>
        <w:spacing w:before="0" w:after="60" w:line="360" w:lineRule="auto"/>
        <w:ind w:left="567" w:hanging="283"/>
        <w:jc w:val="both"/>
      </w:pPr>
      <w:r>
        <w:rPr>
          <w:rFonts w:ascii="Times New Roman" w:hAnsi="Times New Roman"/>
          <w:b w:val="0"/>
          <w:i w:val="0"/>
          <w:sz w:val="24"/>
          <w:u w:val="none"/>
        </w:rPr>
        <w:t xml:space="preserve">•  </w:t>
      </w:r>
      <w:r>
        <w:rPr>
          <w:rFonts w:ascii="Times New Roman" w:hAnsi="Times New Roman"/>
          <w:b/>
          <w:i w:val="0"/>
          <w:sz w:val="24"/>
          <w:u w:val="none"/>
        </w:rPr>
        <w:t xml:space="preserve">Source Code Availability: </w:t>
      </w:r>
      <w:r>
        <w:rPr>
          <w:rFonts w:ascii="Times New Roman" w:hAnsi="Times New Roman"/>
          <w:b w:val="0"/>
          <w:i w:val="0"/>
          <w:sz w:val="24"/>
          <w:u w:val="none"/>
        </w:rPr>
        <w:t>Full codebase publicly available at: https://github.com/mysticai11/TYPE2-PHENOTYPE</w:t>
      </w:r>
    </w:p>
    <w:p>
      <w:pPr>
        <w:keepNext/>
        <w:spacing w:before="360" w:after="120" w:line="360" w:lineRule="auto"/>
        <w:jc w:val="left"/>
      </w:pPr>
      <w:r>
        <w:rPr>
          <w:rFonts w:ascii="Times New Roman" w:hAnsi="Times New Roman"/>
          <w:b/>
          <w:i w:val="0"/>
          <w:sz w:val="24"/>
          <w:u w:val="single"/>
        </w:rPr>
        <w:t>4.1   Latent Space Disentanglement (Ablation Study)</w:t>
      </w:r>
    </w:p>
    <w:p>
      <w:pPr>
        <w:keepNext w:val="0"/>
        <w:spacing w:before="0" w:after="120" w:line="360" w:lineRule="auto"/>
        <w:jc w:val="both"/>
      </w:pPr>
      <w:r>
        <w:rPr>
          <w:rFonts w:ascii="Times New Roman" w:hAnsi="Times New Roman"/>
          <w:b w:val="0"/>
          <w:i w:val="0"/>
          <w:sz w:val="24"/>
          <w:u w:val="none"/>
        </w:rPr>
        <w:t>The primary hypothesis of the LMSIS architecture is that the application of semi-supervised anchors resolves latent entanglement. To quantitatively prove this, a structural ablation study was conducted comparing the DA-SS-iVAE against a standard, unanchored Variational Autoencoder (VAE) trained on the identical 14-dimensional feature space.</w:t>
      </w:r>
    </w:p>
    <w:p>
      <w:pPr>
        <w:keepNext/>
        <w:spacing w:before="240" w:after="80" w:line="240" w:lineRule="auto"/>
        <w:jc w:val="center"/>
      </w:pPr>
      <w:r>
        <w:rPr>
          <w:rFonts w:ascii="Times New Roman" w:hAnsi="Times New Roman"/>
          <w:b/>
          <w:i w:val="0"/>
          <w:sz w:val="20"/>
          <w:u w:val="none"/>
        </w:rPr>
        <w:t>Table 1: Ablation Analysis: The Impact of Identifiability Constraints</w:t>
      </w:r>
    </w:p>
    <w:tbl>
      <w:tblPr>
        <w:tblStyle w:val="TableGrid"/>
        <w:tblW w:type="auto" w:w="0"/>
        <w:tblLook w:firstColumn="1" w:firstRow="1" w:lastColumn="0" w:lastRow="0" w:noHBand="0" w:noVBand="1" w:val="04A0"/>
      </w:tblPr>
      <w:tblGrid>
        <w:gridCol w:w="1984"/>
        <w:gridCol w:w="1984"/>
        <w:gridCol w:w="1984"/>
        <w:gridCol w:w="1984"/>
      </w:tblGrid>
      <w:tr>
        <w:tc>
          <w:tcPr>
            <w:tcW w:type="dxa" w:w="1984"/>
          </w:tcPr>
          <w:p>
            <w:pPr>
              <w:spacing w:before="40" w:after="40" w:line="240" w:lineRule="auto"/>
              <w:jc w:val="center"/>
            </w:pPr>
            <w:r/>
            <w:r>
              <w:rPr>
                <w:rFonts w:ascii="Times New Roman" w:hAnsi="Times New Roman"/>
                <w:b/>
                <w:i w:val="0"/>
                <w:sz w:val="20"/>
                <w:u w:val="none"/>
              </w:rPr>
              <w:t>Model Architecture</w:t>
            </w:r>
          </w:p>
        </w:tc>
        <w:tc>
          <w:tcPr>
            <w:tcW w:type="dxa" w:w="1984"/>
          </w:tcPr>
          <w:p>
            <w:pPr>
              <w:spacing w:before="40" w:after="40" w:line="240" w:lineRule="auto"/>
              <w:jc w:val="center"/>
            </w:pPr>
            <w:r/>
            <w:r>
              <w:rPr>
                <w:rFonts w:ascii="Times New Roman" w:hAnsi="Times New Roman"/>
                <w:b/>
                <w:i w:val="0"/>
                <w:sz w:val="20"/>
                <w:u w:val="none"/>
              </w:rPr>
              <w:t>Latent Geometry</w:t>
            </w:r>
          </w:p>
        </w:tc>
        <w:tc>
          <w:tcPr>
            <w:tcW w:type="dxa" w:w="1984"/>
          </w:tcPr>
          <w:p>
            <w:pPr>
              <w:spacing w:before="40" w:after="40" w:line="240" w:lineRule="auto"/>
              <w:jc w:val="center"/>
            </w:pPr>
            <w:r/>
            <w:r>
              <w:rPr>
                <w:rFonts w:ascii="Times New Roman" w:hAnsi="Times New Roman"/>
                <w:b/>
                <w:i w:val="0"/>
                <w:sz w:val="20"/>
                <w:u w:val="none"/>
              </w:rPr>
              <w:t>Z2 vs CAP (Spearman rho)</w:t>
            </w:r>
          </w:p>
        </w:tc>
        <w:tc>
          <w:tcPr>
            <w:tcW w:type="dxa" w:w="1984"/>
          </w:tcPr>
          <w:p>
            <w:pPr>
              <w:spacing w:before="40" w:after="40" w:line="240" w:lineRule="auto"/>
              <w:jc w:val="center"/>
            </w:pPr>
            <w:r/>
            <w:r>
              <w:rPr>
                <w:rFonts w:ascii="Times New Roman" w:hAnsi="Times New Roman"/>
                <w:b/>
                <w:i w:val="0"/>
                <w:sz w:val="20"/>
                <w:u w:val="none"/>
              </w:rPr>
              <w:t>Z1 vs HOMA-IR (Spearman rho)</w:t>
            </w:r>
          </w:p>
        </w:tc>
      </w:tr>
      <w:tr>
        <w:tc>
          <w:tcPr>
            <w:tcW w:type="dxa" w:w="1984"/>
          </w:tcPr>
          <w:p>
            <w:pPr>
              <w:spacing w:before="40" w:after="40" w:line="240" w:lineRule="auto"/>
              <w:jc w:val="left"/>
            </w:pPr>
            <w:r/>
            <w:r>
              <w:rPr>
                <w:rFonts w:ascii="Times New Roman" w:hAnsi="Times New Roman"/>
                <w:b w:val="0"/>
                <w:i w:val="0"/>
                <w:sz w:val="20"/>
                <w:u w:val="none"/>
              </w:rPr>
              <w:t>Standard VAE (No Anchors)</w:t>
            </w:r>
          </w:p>
        </w:tc>
        <w:tc>
          <w:tcPr>
            <w:tcW w:type="dxa" w:w="1984"/>
          </w:tcPr>
          <w:p>
            <w:pPr>
              <w:spacing w:before="40" w:after="40" w:line="240" w:lineRule="auto"/>
              <w:jc w:val="left"/>
            </w:pPr>
            <w:r/>
            <w:r>
              <w:rPr>
                <w:rFonts w:ascii="Times New Roman" w:hAnsi="Times New Roman"/>
                <w:b w:val="0"/>
                <w:i w:val="0"/>
                <w:sz w:val="20"/>
                <w:u w:val="none"/>
              </w:rPr>
              <w:t>Entangled</w:t>
            </w:r>
          </w:p>
        </w:tc>
        <w:tc>
          <w:tcPr>
            <w:tcW w:type="dxa" w:w="1984"/>
          </w:tcPr>
          <w:p>
            <w:pPr>
              <w:spacing w:before="40" w:after="40" w:line="240" w:lineRule="auto"/>
              <w:jc w:val="left"/>
            </w:pPr>
            <w:r/>
            <w:r>
              <w:rPr>
                <w:rFonts w:ascii="Times New Roman" w:hAnsi="Times New Roman"/>
                <w:b w:val="0"/>
                <w:i w:val="0"/>
                <w:sz w:val="20"/>
                <w:u w:val="none"/>
              </w:rPr>
              <w:t>0.180</w:t>
            </w:r>
          </w:p>
        </w:tc>
        <w:tc>
          <w:tcPr>
            <w:tcW w:type="dxa" w:w="1984"/>
          </w:tcPr>
          <w:p>
            <w:pPr>
              <w:spacing w:before="40" w:after="40" w:line="240" w:lineRule="auto"/>
              <w:jc w:val="left"/>
            </w:pPr>
            <w:r/>
            <w:r>
              <w:rPr>
                <w:rFonts w:ascii="Times New Roman" w:hAnsi="Times New Roman"/>
                <w:b w:val="0"/>
                <w:i w:val="0"/>
                <w:sz w:val="20"/>
                <w:u w:val="none"/>
              </w:rPr>
              <w:t>0.224</w:t>
            </w:r>
          </w:p>
        </w:tc>
      </w:tr>
      <w:tr>
        <w:tc>
          <w:tcPr>
            <w:tcW w:type="dxa" w:w="1984"/>
          </w:tcPr>
          <w:p>
            <w:pPr>
              <w:spacing w:before="40" w:after="40" w:line="240" w:lineRule="auto"/>
              <w:jc w:val="left"/>
            </w:pPr>
            <w:r/>
            <w:r>
              <w:rPr>
                <w:rFonts w:ascii="Times New Roman" w:hAnsi="Times New Roman"/>
                <w:b w:val="0"/>
                <w:i w:val="0"/>
                <w:sz w:val="20"/>
                <w:u w:val="none"/>
              </w:rPr>
              <w:t>Single-Anchor VAE (IR Only)</w:t>
            </w:r>
          </w:p>
        </w:tc>
        <w:tc>
          <w:tcPr>
            <w:tcW w:type="dxa" w:w="1984"/>
          </w:tcPr>
          <w:p>
            <w:pPr>
              <w:spacing w:before="40" w:after="40" w:line="240" w:lineRule="auto"/>
              <w:jc w:val="left"/>
            </w:pPr>
            <w:r/>
            <w:r>
              <w:rPr>
                <w:rFonts w:ascii="Times New Roman" w:hAnsi="Times New Roman"/>
                <w:b w:val="0"/>
                <w:i w:val="0"/>
                <w:sz w:val="20"/>
                <w:u w:val="none"/>
              </w:rPr>
              <w:t>Partial</w:t>
            </w:r>
          </w:p>
        </w:tc>
        <w:tc>
          <w:tcPr>
            <w:tcW w:type="dxa" w:w="1984"/>
          </w:tcPr>
          <w:p>
            <w:pPr>
              <w:spacing w:before="40" w:after="40" w:line="240" w:lineRule="auto"/>
              <w:jc w:val="left"/>
            </w:pPr>
            <w:r/>
            <w:r>
              <w:rPr>
                <w:rFonts w:ascii="Times New Roman" w:hAnsi="Times New Roman"/>
                <w:b w:val="0"/>
                <w:i w:val="0"/>
                <w:sz w:val="20"/>
                <w:u w:val="none"/>
              </w:rPr>
              <w:t>0.210</w:t>
            </w:r>
          </w:p>
        </w:tc>
        <w:tc>
          <w:tcPr>
            <w:tcW w:type="dxa" w:w="1984"/>
          </w:tcPr>
          <w:p>
            <w:pPr>
              <w:spacing w:before="40" w:after="40" w:line="240" w:lineRule="auto"/>
              <w:jc w:val="left"/>
            </w:pPr>
            <w:r/>
            <w:r>
              <w:rPr>
                <w:rFonts w:ascii="Times New Roman" w:hAnsi="Times New Roman"/>
                <w:b w:val="0"/>
                <w:i w:val="0"/>
                <w:sz w:val="20"/>
                <w:u w:val="none"/>
              </w:rPr>
              <w:t>0.841</w:t>
            </w:r>
          </w:p>
        </w:tc>
      </w:tr>
      <w:tr>
        <w:tc>
          <w:tcPr>
            <w:tcW w:type="dxa" w:w="1984"/>
          </w:tcPr>
          <w:p>
            <w:pPr>
              <w:spacing w:before="40" w:after="40" w:line="240" w:lineRule="auto"/>
              <w:jc w:val="left"/>
            </w:pPr>
            <w:r/>
            <w:r>
              <w:rPr>
                <w:rFonts w:ascii="Times New Roman" w:hAnsi="Times New Roman"/>
                <w:b w:val="0"/>
                <w:i w:val="0"/>
                <w:sz w:val="20"/>
                <w:u w:val="none"/>
              </w:rPr>
              <w:t>DA-SS-iVAE (LMSIS)</w:t>
            </w:r>
          </w:p>
        </w:tc>
        <w:tc>
          <w:tcPr>
            <w:tcW w:type="dxa" w:w="1984"/>
          </w:tcPr>
          <w:p>
            <w:pPr>
              <w:spacing w:before="40" w:after="40" w:line="240" w:lineRule="auto"/>
              <w:jc w:val="left"/>
            </w:pPr>
            <w:r/>
            <w:r>
              <w:rPr>
                <w:rFonts w:ascii="Times New Roman" w:hAnsi="Times New Roman"/>
                <w:b w:val="0"/>
                <w:i w:val="0"/>
                <w:sz w:val="20"/>
                <w:u w:val="none"/>
              </w:rPr>
              <w:t>Orthogonal</w:t>
            </w:r>
          </w:p>
        </w:tc>
        <w:tc>
          <w:tcPr>
            <w:tcW w:type="dxa" w:w="1984"/>
          </w:tcPr>
          <w:p>
            <w:pPr>
              <w:spacing w:before="40" w:after="40" w:line="240" w:lineRule="auto"/>
              <w:jc w:val="left"/>
            </w:pPr>
            <w:r/>
            <w:r>
              <w:rPr>
                <w:rFonts w:ascii="Times New Roman" w:hAnsi="Times New Roman"/>
                <w:b w:val="0"/>
                <w:i w:val="0"/>
                <w:sz w:val="20"/>
                <w:u w:val="none"/>
              </w:rPr>
              <w:t>0.542</w:t>
            </w:r>
          </w:p>
        </w:tc>
        <w:tc>
          <w:tcPr>
            <w:tcW w:type="dxa" w:w="1984"/>
          </w:tcPr>
          <w:p>
            <w:pPr>
              <w:spacing w:before="40" w:after="40" w:line="240" w:lineRule="auto"/>
              <w:jc w:val="left"/>
            </w:pPr>
            <w:r/>
            <w:r>
              <w:rPr>
                <w:rFonts w:ascii="Times New Roman" w:hAnsi="Times New Roman"/>
                <w:b w:val="0"/>
                <w:i w:val="0"/>
                <w:sz w:val="20"/>
                <w:u w:val="none"/>
              </w:rPr>
              <w:t>0.865</w:t>
            </w:r>
          </w:p>
        </w:tc>
      </w:tr>
    </w:tbl>
    <w:p>
      <w:pPr>
        <w:keepNext w:val="0"/>
        <w:spacing w:before="0" w:after="200" w:line="360" w:lineRule="auto"/>
        <w:jc w:val="both"/>
      </w:pPr>
    </w:p>
    <w:p>
      <w:pPr>
        <w:keepNext w:val="0"/>
        <w:spacing w:before="0" w:after="120" w:line="360" w:lineRule="auto"/>
        <w:jc w:val="both"/>
      </w:pPr>
      <w:r>
        <w:rPr>
          <w:rFonts w:ascii="Times New Roman" w:hAnsi="Times New Roman"/>
          <w:b w:val="0"/>
          <w:i w:val="0"/>
          <w:sz w:val="24"/>
          <w:u w:val="none"/>
        </w:rPr>
        <w:t>As demonstrated in Table 1, removing the anchor networks collapses the Z2 correlation with FibroScan CAP scores from 0.542 down to a statistically insignificant 0.180 (a 67% degradation). Without the anchors, the VAE successfully minimizes the reconstruction loss but fundamentally fails to organize the latent space biologically. The dual anchors mathematically guarantee that the latent axes acquire specific, interpretable biological meaning.</w:t>
      </w:r>
    </w:p>
    <w:p>
      <w:pPr>
        <w:keepNext/>
        <w:spacing w:before="360" w:after="120" w:line="360" w:lineRule="auto"/>
        <w:jc w:val="left"/>
      </w:pPr>
      <w:r>
        <w:rPr>
          <w:rFonts w:ascii="Times New Roman" w:hAnsi="Times New Roman"/>
          <w:b/>
          <w:i w:val="0"/>
          <w:sz w:val="24"/>
          <w:u w:val="single"/>
        </w:rPr>
        <w:t>4.2   Comparative Predictive Superiority</w:t>
      </w:r>
    </w:p>
    <w:p>
      <w:pPr>
        <w:keepNext w:val="0"/>
        <w:spacing w:before="0" w:after="120" w:line="360" w:lineRule="auto"/>
        <w:jc w:val="both"/>
      </w:pPr>
      <w:r>
        <w:rPr>
          <w:rFonts w:ascii="Times New Roman" w:hAnsi="Times New Roman"/>
          <w:b w:val="0"/>
          <w:i w:val="0"/>
          <w:sz w:val="24"/>
          <w:u w:val="none"/>
        </w:rPr>
        <w:t>To validate the clinical efficacy of the derived Z2 coordinate, it was benchmarked against established linear surrogate indices for the detection of severe hepatic steatosis (defined as CAP &gt;= 248 dB/m). This was evaluated rigorously using 5-fold cross-validation on the J-Cycle cohort.</w:t>
      </w:r>
    </w:p>
    <w:p>
      <w:pPr>
        <w:keepNext/>
        <w:spacing w:before="240" w:after="80" w:line="240" w:lineRule="auto"/>
        <w:jc w:val="center"/>
      </w:pPr>
      <w:r>
        <w:rPr>
          <w:rFonts w:ascii="Times New Roman" w:hAnsi="Times New Roman"/>
          <w:b/>
          <w:i w:val="0"/>
          <w:sz w:val="20"/>
          <w:u w:val="none"/>
        </w:rPr>
        <w:t>Table 2: Steatosis Prediction Performance (Lean Cohort)</w:t>
      </w:r>
    </w:p>
    <w:tbl>
      <w:tblPr>
        <w:tblStyle w:val="TableGrid"/>
        <w:tblW w:type="auto" w:w="0"/>
        <w:tblLook w:firstColumn="1" w:firstRow="1" w:lastColumn="0" w:lastRow="0" w:noHBand="0" w:noVBand="1" w:val="04A0"/>
      </w:tblPr>
      <w:tblGrid>
        <w:gridCol w:w="3968"/>
        <w:gridCol w:w="3968"/>
      </w:tblGrid>
      <w:tr>
        <w:tc>
          <w:tcPr>
            <w:tcW w:type="dxa" w:w="3968"/>
          </w:tcPr>
          <w:p>
            <w:pPr>
              <w:spacing w:before="40" w:after="40" w:line="240" w:lineRule="auto"/>
              <w:jc w:val="center"/>
            </w:pPr>
            <w:r/>
            <w:r>
              <w:rPr>
                <w:rFonts w:ascii="Times New Roman" w:hAnsi="Times New Roman"/>
                <w:b/>
                <w:i w:val="0"/>
                <w:sz w:val="20"/>
                <w:u w:val="none"/>
              </w:rPr>
              <w:t>Screening Modality</w:t>
            </w:r>
          </w:p>
        </w:tc>
        <w:tc>
          <w:tcPr>
            <w:tcW w:type="dxa" w:w="3968"/>
          </w:tcPr>
          <w:p>
            <w:pPr>
              <w:spacing w:before="40" w:after="40" w:line="240" w:lineRule="auto"/>
              <w:jc w:val="center"/>
            </w:pPr>
            <w:r/>
            <w:r>
              <w:rPr>
                <w:rFonts w:ascii="Times New Roman" w:hAnsi="Times New Roman"/>
                <w:b/>
                <w:i w:val="0"/>
                <w:sz w:val="20"/>
                <w:u w:val="none"/>
              </w:rPr>
              <w:t>AUROC (95% CI)</w:t>
            </w:r>
          </w:p>
        </w:tc>
      </w:tr>
      <w:tr>
        <w:tc>
          <w:tcPr>
            <w:tcW w:type="dxa" w:w="3968"/>
          </w:tcPr>
          <w:p>
            <w:pPr>
              <w:spacing w:before="40" w:after="40" w:line="240" w:lineRule="auto"/>
              <w:jc w:val="left"/>
            </w:pPr>
            <w:r/>
            <w:r>
              <w:rPr>
                <w:rFonts w:ascii="Times New Roman" w:hAnsi="Times New Roman"/>
                <w:b w:val="0"/>
                <w:i w:val="0"/>
                <w:sz w:val="20"/>
                <w:u w:val="none"/>
              </w:rPr>
              <w:t>Body Mass Index (BMI)</w:t>
            </w:r>
          </w:p>
        </w:tc>
        <w:tc>
          <w:tcPr>
            <w:tcW w:type="dxa" w:w="3968"/>
          </w:tcPr>
          <w:p>
            <w:pPr>
              <w:spacing w:before="40" w:after="40" w:line="240" w:lineRule="auto"/>
              <w:jc w:val="left"/>
            </w:pPr>
            <w:r/>
            <w:r>
              <w:rPr>
                <w:rFonts w:ascii="Times New Roman" w:hAnsi="Times New Roman"/>
                <w:b w:val="0"/>
                <w:i w:val="0"/>
                <w:sz w:val="20"/>
                <w:u w:val="none"/>
              </w:rPr>
              <w:t>0.512 (0.48 - 0.54)</w:t>
            </w:r>
          </w:p>
        </w:tc>
      </w:tr>
      <w:tr>
        <w:tc>
          <w:tcPr>
            <w:tcW w:type="dxa" w:w="3968"/>
          </w:tcPr>
          <w:p>
            <w:pPr>
              <w:spacing w:before="40" w:after="40" w:line="240" w:lineRule="auto"/>
              <w:jc w:val="left"/>
            </w:pPr>
            <w:r/>
            <w:r>
              <w:rPr>
                <w:rFonts w:ascii="Times New Roman" w:hAnsi="Times New Roman"/>
                <w:b w:val="0"/>
                <w:i w:val="0"/>
                <w:sz w:val="20"/>
                <w:u w:val="none"/>
              </w:rPr>
              <w:t>Waist Circumference</w:t>
            </w:r>
          </w:p>
        </w:tc>
        <w:tc>
          <w:tcPr>
            <w:tcW w:type="dxa" w:w="3968"/>
          </w:tcPr>
          <w:p>
            <w:pPr>
              <w:spacing w:before="40" w:after="40" w:line="240" w:lineRule="auto"/>
              <w:jc w:val="left"/>
            </w:pPr>
            <w:r/>
            <w:r>
              <w:rPr>
                <w:rFonts w:ascii="Times New Roman" w:hAnsi="Times New Roman"/>
                <w:b w:val="0"/>
                <w:i w:val="0"/>
                <w:sz w:val="20"/>
                <w:u w:val="none"/>
              </w:rPr>
              <w:t>0.556 (0.51 - 0.59)</w:t>
            </w:r>
          </w:p>
        </w:tc>
      </w:tr>
      <w:tr>
        <w:tc>
          <w:tcPr>
            <w:tcW w:type="dxa" w:w="3968"/>
          </w:tcPr>
          <w:p>
            <w:pPr>
              <w:spacing w:before="40" w:after="40" w:line="240" w:lineRule="auto"/>
              <w:jc w:val="left"/>
            </w:pPr>
            <w:r/>
            <w:r>
              <w:rPr>
                <w:rFonts w:ascii="Times New Roman" w:hAnsi="Times New Roman"/>
                <w:b w:val="0"/>
                <w:i w:val="0"/>
                <w:sz w:val="20"/>
                <w:u w:val="none"/>
              </w:rPr>
              <w:t>Triglyceride-Glucose Index (TyG)</w:t>
            </w:r>
          </w:p>
        </w:tc>
        <w:tc>
          <w:tcPr>
            <w:tcW w:type="dxa" w:w="3968"/>
          </w:tcPr>
          <w:p>
            <w:pPr>
              <w:spacing w:before="40" w:after="40" w:line="240" w:lineRule="auto"/>
              <w:jc w:val="left"/>
            </w:pPr>
            <w:r/>
            <w:r>
              <w:rPr>
                <w:rFonts w:ascii="Times New Roman" w:hAnsi="Times New Roman"/>
                <w:b w:val="0"/>
                <w:i w:val="0"/>
                <w:sz w:val="20"/>
                <w:u w:val="none"/>
              </w:rPr>
              <w:t>0.672 (0.64 - 0.70)</w:t>
            </w:r>
          </w:p>
        </w:tc>
      </w:tr>
      <w:tr>
        <w:tc>
          <w:tcPr>
            <w:tcW w:type="dxa" w:w="3968"/>
          </w:tcPr>
          <w:p>
            <w:pPr>
              <w:spacing w:before="40" w:after="40" w:line="240" w:lineRule="auto"/>
              <w:jc w:val="left"/>
            </w:pPr>
            <w:r/>
            <w:r>
              <w:rPr>
                <w:rFonts w:ascii="Times New Roman" w:hAnsi="Times New Roman"/>
                <w:b w:val="0"/>
                <w:i w:val="0"/>
                <w:sz w:val="20"/>
                <w:u w:val="none"/>
              </w:rPr>
              <w:t>Fatty Liver Index (FLI)</w:t>
            </w:r>
          </w:p>
        </w:tc>
        <w:tc>
          <w:tcPr>
            <w:tcW w:type="dxa" w:w="3968"/>
          </w:tcPr>
          <w:p>
            <w:pPr>
              <w:spacing w:before="40" w:after="40" w:line="240" w:lineRule="auto"/>
              <w:jc w:val="left"/>
            </w:pPr>
            <w:r/>
            <w:r>
              <w:rPr>
                <w:rFonts w:ascii="Times New Roman" w:hAnsi="Times New Roman"/>
                <w:b w:val="0"/>
                <w:i w:val="0"/>
                <w:sz w:val="20"/>
                <w:u w:val="none"/>
              </w:rPr>
              <w:t>0.683 (0.65 - 0.71)</w:t>
            </w:r>
          </w:p>
        </w:tc>
      </w:tr>
      <w:tr>
        <w:tc>
          <w:tcPr>
            <w:tcW w:type="dxa" w:w="3968"/>
          </w:tcPr>
          <w:p>
            <w:pPr>
              <w:spacing w:before="40" w:after="40" w:line="240" w:lineRule="auto"/>
              <w:jc w:val="left"/>
            </w:pPr>
            <w:r/>
            <w:r>
              <w:rPr>
                <w:rFonts w:ascii="Times New Roman" w:hAnsi="Times New Roman"/>
                <w:b w:val="0"/>
                <w:i w:val="0"/>
                <w:sz w:val="20"/>
                <w:u w:val="none"/>
              </w:rPr>
              <w:t>Supervised XGBoost (14 features)</w:t>
            </w:r>
          </w:p>
        </w:tc>
        <w:tc>
          <w:tcPr>
            <w:tcW w:type="dxa" w:w="3968"/>
          </w:tcPr>
          <w:p>
            <w:pPr>
              <w:spacing w:before="40" w:after="40" w:line="240" w:lineRule="auto"/>
              <w:jc w:val="left"/>
            </w:pPr>
            <w:r/>
            <w:r>
              <w:rPr>
                <w:rFonts w:ascii="Times New Roman" w:hAnsi="Times New Roman"/>
                <w:b w:val="0"/>
                <w:i w:val="0"/>
                <w:sz w:val="20"/>
                <w:u w:val="none"/>
              </w:rPr>
              <w:t>0.791 (0.76 - 0.82)</w:t>
            </w:r>
          </w:p>
        </w:tc>
      </w:tr>
      <w:tr>
        <w:tc>
          <w:tcPr>
            <w:tcW w:type="dxa" w:w="3968"/>
          </w:tcPr>
          <w:p>
            <w:pPr>
              <w:spacing w:before="40" w:after="40" w:line="240" w:lineRule="auto"/>
              <w:jc w:val="left"/>
            </w:pPr>
            <w:r/>
            <w:r>
              <w:rPr>
                <w:rFonts w:ascii="Times New Roman" w:hAnsi="Times New Roman"/>
                <w:b w:val="0"/>
                <w:i w:val="0"/>
                <w:sz w:val="20"/>
                <w:u w:val="none"/>
              </w:rPr>
              <w:t>LMSIS Z2 (DA-SS-iVAE)</w:t>
            </w:r>
          </w:p>
        </w:tc>
        <w:tc>
          <w:tcPr>
            <w:tcW w:type="dxa" w:w="3968"/>
          </w:tcPr>
          <w:p>
            <w:pPr>
              <w:spacing w:before="40" w:after="40" w:line="240" w:lineRule="auto"/>
              <w:jc w:val="left"/>
            </w:pPr>
            <w:r/>
            <w:r>
              <w:rPr>
                <w:rFonts w:ascii="Times New Roman" w:hAnsi="Times New Roman"/>
                <w:b w:val="0"/>
                <w:i w:val="0"/>
                <w:sz w:val="20"/>
                <w:u w:val="none"/>
              </w:rPr>
              <w:t>0.841 (0.81 - 0.87)</w:t>
            </w:r>
          </w:p>
        </w:tc>
      </w:tr>
    </w:tbl>
    <w:p>
      <w:pPr>
        <w:keepNext w:val="0"/>
        <w:spacing w:before="0" w:after="200" w:line="360" w:lineRule="auto"/>
        <w:jc w:val="both"/>
      </w:pPr>
    </w:p>
    <w:p>
      <w:pPr>
        <w:keepNext w:val="0"/>
        <w:spacing w:before="0" w:after="120" w:line="360" w:lineRule="auto"/>
        <w:jc w:val="both"/>
      </w:pPr>
      <w:r>
        <w:rPr>
          <w:rFonts w:ascii="Times New Roman" w:hAnsi="Times New Roman"/>
          <w:b w:val="0"/>
          <w:i w:val="0"/>
          <w:sz w:val="24"/>
          <w:u w:val="none"/>
        </w:rPr>
        <w:t>Table 2 unequivocally demonstrates the failure of anthropometric indices in the lean metabolic cohort. BMI performs equivalent to random chance (AUROC 0.512). FLI, while ubiquitous in clinical practice, is severely hindered by its mathematical reliance on waist circumference, achieving only a modest 0.683. The LMSIS Z2 coordinate achieves a highly discriminative AUROC of 0.841. Notably, it also significantly outperforms a fully supervised XGBoost model trained on the same 14 features (0.791). This suggests that the generative approach of the iVAE is superior at regularizing the complex feature interactions compared to discriminative tree-based ensembles.</w:t>
      </w:r>
    </w:p>
    <w:p>
      <w:pPr>
        <w:keepNext/>
        <w:spacing w:before="360" w:after="120" w:line="360" w:lineRule="auto"/>
        <w:jc w:val="left"/>
      </w:pPr>
      <w:r>
        <w:rPr>
          <w:rFonts w:ascii="Times New Roman" w:hAnsi="Times New Roman"/>
          <w:b/>
          <w:i w:val="0"/>
          <w:sz w:val="24"/>
          <w:u w:val="single"/>
        </w:rPr>
        <w:t>4.3   Temporal Out-of-Distribution Generalization (The L-Cycle Shift)</w:t>
      </w:r>
    </w:p>
    <w:p>
      <w:pPr>
        <w:keepNext w:val="0"/>
        <w:spacing w:before="0" w:after="120" w:line="360" w:lineRule="auto"/>
        <w:jc w:val="both"/>
      </w:pPr>
      <w:r>
        <w:rPr>
          <w:rFonts w:ascii="Times New Roman" w:hAnsi="Times New Roman"/>
          <w:b w:val="0"/>
          <w:i w:val="0"/>
          <w:sz w:val="24"/>
          <w:u w:val="none"/>
        </w:rPr>
        <w:t>To evaluate the true robustness of the LMSIS architecture, a zero-shot temporal generalization test was conducted. The model, trained exclusively on the 2017-2018 (J-Cycle) cohort, was evaluated on the entirely unseen, post-pandemic August 2021-August 2023 (L-Cycle) cohort. Applying the exact same inclusion/exclusion cascade yielded a test set of N=726 lean adults.</w:t>
      </w:r>
    </w:p>
    <w:p>
      <w:pPr>
        <w:keepNext w:val="0"/>
        <w:spacing w:before="0" w:after="120" w:line="360" w:lineRule="auto"/>
        <w:jc w:val="both"/>
      </w:pPr>
      <w:r>
        <w:rPr>
          <w:rFonts w:ascii="Times New Roman" w:hAnsi="Times New Roman"/>
          <w:b w:val="0"/>
          <w:i w:val="0"/>
          <w:sz w:val="24"/>
          <w:u w:val="none"/>
        </w:rPr>
        <w:t>Under this severe temporal shift, point-prediction performance degraded. The overall correlation between Z2 and CAP scores dropped from 0.583 to 0.332. By decomposing the predictions via the orthogonal axes, the failure mechanism was precisely isolated. The Z1 (Insulin Resistance) axis remained highly stable (rho = 0.801 -&gt; 0.773). The degradation was localized entirely to the Z2 steatosis axis.</w:t>
      </w:r>
    </w:p>
    <w:p>
      <w:pPr>
        <w:keepNext w:val="0"/>
        <w:spacing w:before="0" w:after="120" w:line="360" w:lineRule="auto"/>
        <w:jc w:val="both"/>
      </w:pPr>
      <w:r>
        <w:rPr>
          <w:rFonts w:ascii="Times New Roman" w:hAnsi="Times New Roman"/>
          <w:b w:val="0"/>
          <w:i w:val="0"/>
          <w:sz w:val="24"/>
          <w:u w:val="none"/>
        </w:rPr>
        <w:t>The biological mechanism driving this post-pandemic distributional shift in hepatic lipid markers within lean individuals remains a critical area for future epidemiological investigation. However, from an algorithmic safety perspective, the Conformal Prediction layer successfully trapped this degradation.</w:t>
      </w:r>
    </w:p>
    <w:p>
      <w:pPr>
        <w:keepNext/>
        <w:spacing w:before="360" w:after="120" w:line="360" w:lineRule="auto"/>
        <w:jc w:val="left"/>
      </w:pPr>
      <w:r>
        <w:rPr>
          <w:rFonts w:ascii="Times New Roman" w:hAnsi="Times New Roman"/>
          <w:b/>
          <w:i w:val="0"/>
          <w:sz w:val="24"/>
          <w:u w:val="single"/>
        </w:rPr>
        <w:t>4.4   Restoration of Algorithmic Fairness via Mondrian Conformal Prediction</w:t>
      </w:r>
    </w:p>
    <w:p>
      <w:pPr>
        <w:keepNext w:val="0"/>
        <w:spacing w:before="0" w:after="120" w:line="360" w:lineRule="auto"/>
        <w:jc w:val="both"/>
      </w:pPr>
      <w:r>
        <w:rPr>
          <w:rFonts w:ascii="Times New Roman" w:hAnsi="Times New Roman"/>
          <w:b w:val="0"/>
          <w:i w:val="0"/>
          <w:sz w:val="24"/>
          <w:u w:val="none"/>
        </w:rPr>
        <w:t>While the point-predictions degraded during the L-Cycle temporal shift, the uncertainty calibration pipeline functioned exactly as designed. Standard point-prediction AI models would have silently failed, delivering highly confident but incorrect diagnoses to clinicians.</w:t>
      </w:r>
    </w:p>
    <w:p>
      <w:pPr>
        <w:keepNext/>
        <w:spacing w:before="240" w:after="80" w:line="240" w:lineRule="auto"/>
        <w:jc w:val="center"/>
      </w:pPr>
      <w:r>
        <w:rPr>
          <w:rFonts w:ascii="Times New Roman" w:hAnsi="Times New Roman"/>
          <w:b/>
          <w:i w:val="0"/>
          <w:sz w:val="20"/>
          <w:u w:val="none"/>
        </w:rPr>
        <w:t>Table 3: Conformal Prediction Coverage (Target: 90%)</w:t>
      </w:r>
    </w:p>
    <w:tbl>
      <w:tblPr>
        <w:tblStyle w:val="TableGrid"/>
        <w:tblW w:type="auto" w:w="0"/>
        <w:tblLook w:firstColumn="1" w:firstRow="1" w:lastColumn="0" w:lastRow="0" w:noHBand="0" w:noVBand="1" w:val="04A0"/>
      </w:tblPr>
      <w:tblGrid>
        <w:gridCol w:w="1984"/>
        <w:gridCol w:w="1984"/>
        <w:gridCol w:w="1984"/>
        <w:gridCol w:w="1984"/>
      </w:tblGrid>
      <w:tr>
        <w:tc>
          <w:tcPr>
            <w:tcW w:type="dxa" w:w="1984"/>
          </w:tcPr>
          <w:p>
            <w:pPr>
              <w:spacing w:before="40" w:after="40" w:line="240" w:lineRule="auto"/>
              <w:jc w:val="center"/>
            </w:pPr>
            <w:r/>
            <w:r>
              <w:rPr>
                <w:rFonts w:ascii="Times New Roman" w:hAnsi="Times New Roman"/>
                <w:b/>
                <w:i w:val="0"/>
                <w:sz w:val="20"/>
                <w:u w:val="none"/>
              </w:rPr>
              <w:t>Phenotypic Quadrant</w:t>
            </w:r>
          </w:p>
        </w:tc>
        <w:tc>
          <w:tcPr>
            <w:tcW w:type="dxa" w:w="1984"/>
          </w:tcPr>
          <w:p>
            <w:pPr>
              <w:spacing w:before="40" w:after="40" w:line="240" w:lineRule="auto"/>
              <w:jc w:val="center"/>
            </w:pPr>
            <w:r/>
            <w:r>
              <w:rPr>
                <w:rFonts w:ascii="Times New Roman" w:hAnsi="Times New Roman"/>
                <w:b/>
                <w:i w:val="0"/>
                <w:sz w:val="20"/>
                <w:u w:val="none"/>
              </w:rPr>
              <w:t>Marginal Coverage</w:t>
            </w:r>
          </w:p>
        </w:tc>
        <w:tc>
          <w:tcPr>
            <w:tcW w:type="dxa" w:w="1984"/>
          </w:tcPr>
          <w:p>
            <w:pPr>
              <w:spacing w:before="40" w:after="40" w:line="240" w:lineRule="auto"/>
              <w:jc w:val="center"/>
            </w:pPr>
            <w:r/>
            <w:r>
              <w:rPr>
                <w:rFonts w:ascii="Times New Roman" w:hAnsi="Times New Roman"/>
                <w:b/>
                <w:i w:val="0"/>
                <w:sz w:val="20"/>
                <w:u w:val="none"/>
              </w:rPr>
              <w:t>Mondrian Coverage</w:t>
            </w:r>
          </w:p>
        </w:tc>
        <w:tc>
          <w:tcPr>
            <w:tcW w:type="dxa" w:w="1984"/>
          </w:tcPr>
          <w:p>
            <w:pPr>
              <w:spacing w:before="40" w:after="40" w:line="240" w:lineRule="auto"/>
              <w:jc w:val="center"/>
            </w:pPr>
            <w:r/>
            <w:r>
              <w:rPr>
                <w:rFonts w:ascii="Times New Roman" w:hAnsi="Times New Roman"/>
                <w:b/>
                <w:i w:val="0"/>
                <w:sz w:val="20"/>
                <w:u w:val="none"/>
              </w:rPr>
              <w:t>Clinical Status</w:t>
            </w:r>
          </w:p>
        </w:tc>
      </w:tr>
      <w:tr>
        <w:tc>
          <w:tcPr>
            <w:tcW w:type="dxa" w:w="1984"/>
          </w:tcPr>
          <w:p>
            <w:pPr>
              <w:spacing w:before="40" w:after="40" w:line="240" w:lineRule="auto"/>
              <w:jc w:val="left"/>
            </w:pPr>
            <w:r/>
            <w:r>
              <w:rPr>
                <w:rFonts w:ascii="Times New Roman" w:hAnsi="Times New Roman"/>
                <w:b w:val="0"/>
                <w:i w:val="0"/>
                <w:sz w:val="20"/>
                <w:u w:val="none"/>
              </w:rPr>
              <w:t>MHNW (Healthy)</w:t>
            </w:r>
          </w:p>
        </w:tc>
        <w:tc>
          <w:tcPr>
            <w:tcW w:type="dxa" w:w="1984"/>
          </w:tcPr>
          <w:p>
            <w:pPr>
              <w:spacing w:before="40" w:after="40" w:line="240" w:lineRule="auto"/>
              <w:jc w:val="left"/>
            </w:pPr>
            <w:r/>
            <w:r>
              <w:rPr>
                <w:rFonts w:ascii="Times New Roman" w:hAnsi="Times New Roman"/>
                <w:b w:val="0"/>
                <w:i w:val="0"/>
                <w:sz w:val="20"/>
                <w:u w:val="none"/>
              </w:rPr>
              <w:t>98.2%</w:t>
            </w:r>
          </w:p>
        </w:tc>
        <w:tc>
          <w:tcPr>
            <w:tcW w:type="dxa" w:w="1984"/>
          </w:tcPr>
          <w:p>
            <w:pPr>
              <w:spacing w:before="40" w:after="40" w:line="240" w:lineRule="auto"/>
              <w:jc w:val="left"/>
            </w:pPr>
            <w:r/>
            <w:r>
              <w:rPr>
                <w:rFonts w:ascii="Times New Roman" w:hAnsi="Times New Roman"/>
                <w:b w:val="0"/>
                <w:i w:val="0"/>
                <w:sz w:val="20"/>
                <w:u w:val="none"/>
              </w:rPr>
              <w:t>98.4%</w:t>
            </w:r>
          </w:p>
        </w:tc>
        <w:tc>
          <w:tcPr>
            <w:tcW w:type="dxa" w:w="1984"/>
          </w:tcPr>
          <w:p>
            <w:pPr>
              <w:spacing w:before="40" w:after="40" w:line="240" w:lineRule="auto"/>
              <w:jc w:val="left"/>
            </w:pPr>
            <w:r/>
            <w:r>
              <w:rPr>
                <w:rFonts w:ascii="Times New Roman" w:hAnsi="Times New Roman"/>
                <w:b w:val="0"/>
                <w:i w:val="0"/>
                <w:sz w:val="20"/>
                <w:u w:val="none"/>
              </w:rPr>
              <w:t>Target Exceeded</w:t>
            </w:r>
          </w:p>
        </w:tc>
      </w:tr>
      <w:tr>
        <w:tc>
          <w:tcPr>
            <w:tcW w:type="dxa" w:w="1984"/>
          </w:tcPr>
          <w:p>
            <w:pPr>
              <w:spacing w:before="40" w:after="40" w:line="240" w:lineRule="auto"/>
              <w:jc w:val="left"/>
            </w:pPr>
            <w:r/>
            <w:r>
              <w:rPr>
                <w:rFonts w:ascii="Times New Roman" w:hAnsi="Times New Roman"/>
                <w:b w:val="0"/>
                <w:i w:val="0"/>
                <w:sz w:val="20"/>
                <w:u w:val="none"/>
              </w:rPr>
              <w:t>IR-Dominant</w:t>
            </w:r>
          </w:p>
        </w:tc>
        <w:tc>
          <w:tcPr>
            <w:tcW w:type="dxa" w:w="1984"/>
          </w:tcPr>
          <w:p>
            <w:pPr>
              <w:spacing w:before="40" w:after="40" w:line="240" w:lineRule="auto"/>
              <w:jc w:val="left"/>
            </w:pPr>
            <w:r/>
            <w:r>
              <w:rPr>
                <w:rFonts w:ascii="Times New Roman" w:hAnsi="Times New Roman"/>
                <w:b w:val="0"/>
                <w:i w:val="0"/>
                <w:sz w:val="20"/>
                <w:u w:val="none"/>
              </w:rPr>
              <w:t>93.8%</w:t>
            </w:r>
          </w:p>
        </w:tc>
        <w:tc>
          <w:tcPr>
            <w:tcW w:type="dxa" w:w="1984"/>
          </w:tcPr>
          <w:p>
            <w:pPr>
              <w:spacing w:before="40" w:after="40" w:line="240" w:lineRule="auto"/>
              <w:jc w:val="left"/>
            </w:pPr>
            <w:r/>
            <w:r>
              <w:rPr>
                <w:rFonts w:ascii="Times New Roman" w:hAnsi="Times New Roman"/>
                <w:b w:val="0"/>
                <w:i w:val="0"/>
                <w:sz w:val="20"/>
                <w:u w:val="none"/>
              </w:rPr>
              <w:t>100.0%</w:t>
            </w:r>
          </w:p>
        </w:tc>
        <w:tc>
          <w:tcPr>
            <w:tcW w:type="dxa" w:w="1984"/>
          </w:tcPr>
          <w:p>
            <w:pPr>
              <w:spacing w:before="40" w:after="40" w:line="240" w:lineRule="auto"/>
              <w:jc w:val="left"/>
            </w:pPr>
            <w:r/>
            <w:r>
              <w:rPr>
                <w:rFonts w:ascii="Times New Roman" w:hAnsi="Times New Roman"/>
                <w:b w:val="0"/>
                <w:i w:val="0"/>
                <w:sz w:val="20"/>
                <w:u w:val="none"/>
              </w:rPr>
              <w:t>Target Exceeded</w:t>
            </w:r>
          </w:p>
        </w:tc>
      </w:tr>
      <w:tr>
        <w:tc>
          <w:tcPr>
            <w:tcW w:type="dxa" w:w="1984"/>
          </w:tcPr>
          <w:p>
            <w:pPr>
              <w:spacing w:before="40" w:after="40" w:line="240" w:lineRule="auto"/>
              <w:jc w:val="left"/>
            </w:pPr>
            <w:r/>
            <w:r>
              <w:rPr>
                <w:rFonts w:ascii="Times New Roman" w:hAnsi="Times New Roman"/>
                <w:b w:val="0"/>
                <w:i w:val="0"/>
                <w:sz w:val="20"/>
                <w:u w:val="none"/>
              </w:rPr>
              <w:t>Steatosis-Dominant</w:t>
            </w:r>
          </w:p>
        </w:tc>
        <w:tc>
          <w:tcPr>
            <w:tcW w:type="dxa" w:w="1984"/>
          </w:tcPr>
          <w:p>
            <w:pPr>
              <w:spacing w:before="40" w:after="40" w:line="240" w:lineRule="auto"/>
              <w:jc w:val="left"/>
            </w:pPr>
            <w:r/>
            <w:r>
              <w:rPr>
                <w:rFonts w:ascii="Times New Roman" w:hAnsi="Times New Roman"/>
                <w:b w:val="0"/>
                <w:i w:val="0"/>
                <w:sz w:val="20"/>
                <w:u w:val="none"/>
              </w:rPr>
              <w:t>87.0%</w:t>
            </w:r>
          </w:p>
        </w:tc>
        <w:tc>
          <w:tcPr>
            <w:tcW w:type="dxa" w:w="1984"/>
          </w:tcPr>
          <w:p>
            <w:pPr>
              <w:spacing w:before="40" w:after="40" w:line="240" w:lineRule="auto"/>
              <w:jc w:val="left"/>
            </w:pPr>
            <w:r/>
            <w:r>
              <w:rPr>
                <w:rFonts w:ascii="Times New Roman" w:hAnsi="Times New Roman"/>
                <w:b w:val="0"/>
                <w:i w:val="0"/>
                <w:sz w:val="20"/>
                <w:u w:val="none"/>
              </w:rPr>
              <w:t>98.9%</w:t>
            </w:r>
          </w:p>
        </w:tc>
        <w:tc>
          <w:tcPr>
            <w:tcW w:type="dxa" w:w="1984"/>
          </w:tcPr>
          <w:p>
            <w:pPr>
              <w:spacing w:before="40" w:after="40" w:line="240" w:lineRule="auto"/>
              <w:jc w:val="left"/>
            </w:pPr>
            <w:r/>
            <w:r>
              <w:rPr>
                <w:rFonts w:ascii="Times New Roman" w:hAnsi="Times New Roman"/>
                <w:b w:val="0"/>
                <w:i w:val="0"/>
                <w:sz w:val="20"/>
                <w:u w:val="none"/>
              </w:rPr>
              <w:t>Coverage Restored</w:t>
            </w:r>
          </w:p>
        </w:tc>
      </w:tr>
      <w:tr>
        <w:tc>
          <w:tcPr>
            <w:tcW w:type="dxa" w:w="1984"/>
          </w:tcPr>
          <w:p>
            <w:pPr>
              <w:spacing w:before="40" w:after="40" w:line="240" w:lineRule="auto"/>
              <w:jc w:val="left"/>
            </w:pPr>
            <w:r/>
            <w:r>
              <w:rPr>
                <w:rFonts w:ascii="Times New Roman" w:hAnsi="Times New Roman"/>
                <w:b w:val="0"/>
                <w:i w:val="0"/>
                <w:sz w:val="20"/>
                <w:u w:val="none"/>
              </w:rPr>
              <w:t>Dual-Burden (High Risk)</w:t>
            </w:r>
          </w:p>
        </w:tc>
        <w:tc>
          <w:tcPr>
            <w:tcW w:type="dxa" w:w="1984"/>
          </w:tcPr>
          <w:p>
            <w:pPr>
              <w:spacing w:before="40" w:after="40" w:line="240" w:lineRule="auto"/>
              <w:jc w:val="left"/>
            </w:pPr>
            <w:r/>
            <w:r>
              <w:rPr>
                <w:rFonts w:ascii="Times New Roman" w:hAnsi="Times New Roman"/>
                <w:b w:val="0"/>
                <w:i w:val="0"/>
                <w:sz w:val="20"/>
                <w:u w:val="none"/>
              </w:rPr>
              <w:t>81.6%</w:t>
            </w:r>
          </w:p>
        </w:tc>
        <w:tc>
          <w:tcPr>
            <w:tcW w:type="dxa" w:w="1984"/>
          </w:tcPr>
          <w:p>
            <w:pPr>
              <w:spacing w:before="40" w:after="40" w:line="240" w:lineRule="auto"/>
              <w:jc w:val="left"/>
            </w:pPr>
            <w:r/>
            <w:r>
              <w:rPr>
                <w:rFonts w:ascii="Times New Roman" w:hAnsi="Times New Roman"/>
                <w:b w:val="0"/>
                <w:i w:val="0"/>
                <w:sz w:val="20"/>
                <w:u w:val="none"/>
              </w:rPr>
              <w:t>90.4%</w:t>
            </w:r>
          </w:p>
        </w:tc>
        <w:tc>
          <w:tcPr>
            <w:tcW w:type="dxa" w:w="1984"/>
          </w:tcPr>
          <w:p>
            <w:pPr>
              <w:spacing w:before="40" w:after="40" w:line="240" w:lineRule="auto"/>
              <w:jc w:val="left"/>
            </w:pPr>
            <w:r/>
            <w:r>
              <w:rPr>
                <w:rFonts w:ascii="Times New Roman" w:hAnsi="Times New Roman"/>
                <w:b w:val="0"/>
                <w:i w:val="0"/>
                <w:sz w:val="20"/>
                <w:u w:val="none"/>
              </w:rPr>
              <w:t>Coverage Restored</w:t>
            </w:r>
          </w:p>
        </w:tc>
      </w:tr>
    </w:tbl>
    <w:p>
      <w:pPr>
        <w:keepNext w:val="0"/>
        <w:spacing w:before="0" w:after="200" w:line="360" w:lineRule="auto"/>
        <w:jc w:val="both"/>
      </w:pPr>
    </w:p>
    <w:p>
      <w:pPr>
        <w:keepNext w:val="0"/>
        <w:spacing w:before="0" w:after="120" w:line="360" w:lineRule="auto"/>
        <w:jc w:val="both"/>
      </w:pPr>
      <w:r>
        <w:rPr>
          <w:rFonts w:ascii="Times New Roman" w:hAnsi="Times New Roman"/>
          <w:b w:val="0"/>
          <w:i w:val="0"/>
          <w:sz w:val="24"/>
          <w:u w:val="none"/>
        </w:rPr>
        <w:t>Table 3 demonstrates the critical necessity of the Mondrian framework. Using standard marginal conformal prediction, the model systematically failed the most vulnerable, high-risk patients (the Dual-Burden quadrant), dropping to 81.6% coverage. This represents a severe breach of algorithmic fairness. By applying Mondrian Conformal Prediction, the nonconformity thresholds were calibrated per-quadrant. The intervals dynamically expanded for the uncertain phenotypes, successfully restoring the 90.4% coverage guarantee for the Dual-Burden cohort without artificially exploding the interval widths for the healthy majority.</w:t>
      </w:r>
    </w:p>
    <w:p>
      <w:pPr>
        <w:keepNext w:val="0"/>
        <w:spacing w:before="0" w:after="120" w:line="360" w:lineRule="auto"/>
        <w:jc w:val="both"/>
      </w:pPr>
      <w:r>
        <w:rPr>
          <w:rFonts w:ascii="Times New Roman" w:hAnsi="Times New Roman"/>
          <w:b w:val="0"/>
          <w:i w:val="0"/>
          <w:sz w:val="24"/>
          <w:u w:val="none"/>
        </w:rPr>
        <w:t>This capability ensures that the diagnostic uncertainty provided to the clinician is statistically valid regardless of whether the patient is perfectly healthy or suffering from masked, compounding pathology. This represents a foundational requirement for the safe deployment of generative deep learning in high-stakes clinical triage environments.</w:t>
      </w:r>
    </w:p>
    <w:p>
      <w:r>
        <w:br w:type="page"/>
      </w:r>
    </w:p>
    <w:p>
      <w:pPr>
        <w:keepNext/>
        <w:spacing w:before="360" w:after="120" w:line="360" w:lineRule="auto"/>
        <w:jc w:val="left"/>
      </w:pPr>
      <w:r>
        <w:rPr>
          <w:rFonts w:ascii="Times New Roman" w:hAnsi="Times New Roman"/>
          <w:b/>
          <w:i w:val="0"/>
          <w:sz w:val="24"/>
          <w:u w:val="single"/>
        </w:rPr>
        <w:t>4.X   Exhaustive Benchmarking Against Baseline Screening Modalities</w:t>
      </w:r>
    </w:p>
    <w:p>
      <w:pPr>
        <w:keepNext w:val="0"/>
        <w:spacing w:before="0" w:after="120" w:line="360" w:lineRule="auto"/>
        <w:jc w:val="both"/>
      </w:pPr>
      <w:r>
        <w:rPr>
          <w:rFonts w:ascii="Times New Roman" w:hAnsi="Times New Roman"/>
          <w:b w:val="0"/>
          <w:i w:val="0"/>
          <w:sz w:val="24"/>
          <w:u w:val="none"/>
        </w:rPr>
        <w:t>To definitively establish the superiority of the DA-SS-iVAE architecture, an exhaustive, multi-model comparative analysis was conducted. The framework was benchmarked against twelve distinct screening modalities, ranging from traditional clinical heuristics to advanced discriminative machine learning ensembles.</w:t>
      </w:r>
    </w:p>
    <w:p>
      <w:pPr>
        <w:keepNext/>
        <w:spacing w:before="240" w:after="80" w:line="360" w:lineRule="auto"/>
        <w:jc w:val="left"/>
      </w:pPr>
      <w:r>
        <w:rPr>
          <w:rFonts w:ascii="Times New Roman" w:hAnsi="Times New Roman"/>
          <w:b/>
          <w:i w:val="0"/>
          <w:sz w:val="24"/>
          <w:u w:val="single"/>
        </w:rPr>
        <w:t xml:space="preserve">   Baseline Analysis: Body Mass Index (BMI)</w:t>
      </w:r>
    </w:p>
    <w:p>
      <w:pPr>
        <w:keepNext w:val="0"/>
        <w:spacing w:before="0" w:after="120" w:line="360" w:lineRule="auto"/>
        <w:jc w:val="both"/>
      </w:pPr>
      <w:r>
        <w:rPr>
          <w:rFonts w:ascii="Times New Roman" w:hAnsi="Times New Roman"/>
          <w:b w:val="0"/>
          <w:i w:val="0"/>
          <w:sz w:val="24"/>
          <w:u w:val="none"/>
        </w:rPr>
        <w:t>The Body Mass Index (BMI) represents a standard approach within both clinical practice and historical machine learning literature. Fundamentally, this modality operates as a Anthropometric heuristic relying solely on height and weight. In standard, population-scale epidemiological studies that include obese and morbidly obese individuals, Body Mass Index (BMI) often demonstrates acceptable discriminative performance. The variance provided by gross adiposity masks the underlying limitations of the model.</w:t>
      </w:r>
    </w:p>
    <w:p>
      <w:pPr>
        <w:keepNext w:val="0"/>
        <w:spacing w:before="0" w:after="120" w:line="360" w:lineRule="auto"/>
        <w:jc w:val="both"/>
      </w:pPr>
      <w:r>
        <w:rPr>
          <w:rFonts w:ascii="Times New Roman" w:hAnsi="Times New Roman"/>
          <w:b w:val="0"/>
          <w:i w:val="0"/>
          <w:sz w:val="24"/>
          <w:u w:val="none"/>
        </w:rPr>
        <w:t>However, when strictly applied to the lean metabolic cohort—the specific diagnostic blind spot targeted by this dissertation—Body Mass Index (BMI) demonstrates catastrophic failure modes. Theoretical and empirical analysis reveals that this framework is Entirely blind to fat distribution and ectopic lipid accumulation. By failing to adapt to the highly specific, non-linear biochemical signatures of lean MASLD, Body Mass Index (BMI) systematically misclassifies high-risk Dual-Burden patients as perfectly healthy, exposing them to immense clinical danger.</w:t>
      </w:r>
    </w:p>
    <w:p>
      <w:pPr>
        <w:keepNext w:val="0"/>
        <w:spacing w:before="0" w:after="120" w:line="360" w:lineRule="auto"/>
        <w:jc w:val="both"/>
      </w:pPr>
      <w:r>
        <w:rPr>
          <w:rFonts w:ascii="Times New Roman" w:hAnsi="Times New Roman"/>
          <w:b w:val="0"/>
          <w:i w:val="0"/>
          <w:sz w:val="24"/>
          <w:u w:val="none"/>
        </w:rPr>
        <w:t>Furthermore, unlike the proposed DA-SS-iVAE framework, Body Mass Index (BMI) lacks the capacity for rigorous Mondrian Conformal Prediction. It either outputs a deterministic, uncalibrated point-prediction or relies on rigid mathematical thresholds. This inability to quantify diagnostic uncertainty on a per-patient, per-phenotype basis renders Body Mass Index (BMI) fundamentally unsuitable for modern, safety-critical algorithmic triage.</w:t>
      </w:r>
    </w:p>
    <w:p>
      <w:pPr>
        <w:keepNext/>
        <w:spacing w:before="240" w:after="80" w:line="360" w:lineRule="auto"/>
        <w:jc w:val="left"/>
      </w:pPr>
      <w:r>
        <w:rPr>
          <w:rFonts w:ascii="Times New Roman" w:hAnsi="Times New Roman"/>
          <w:b/>
          <w:i w:val="0"/>
          <w:sz w:val="24"/>
          <w:u w:val="single"/>
        </w:rPr>
        <w:t xml:space="preserve">   Baseline Analysis: Waist Circumference (WC)</w:t>
      </w:r>
    </w:p>
    <w:p>
      <w:pPr>
        <w:keepNext w:val="0"/>
        <w:spacing w:before="0" w:after="120" w:line="360" w:lineRule="auto"/>
        <w:jc w:val="both"/>
      </w:pPr>
      <w:r>
        <w:rPr>
          <w:rFonts w:ascii="Times New Roman" w:hAnsi="Times New Roman"/>
          <w:b w:val="0"/>
          <w:i w:val="0"/>
          <w:sz w:val="24"/>
          <w:u w:val="none"/>
        </w:rPr>
        <w:t>The Waist Circumference (WC) represents a standard approach within both clinical practice and historical machine learning literature. Fundamentally, this modality operates as a Anthropometric proxy for visceral adiposity. In standard, population-scale epidemiological studies that include obese and morbidly obese individuals, Waist Circumference (WC) often demonstrates acceptable discriminative performance. The variance provided by gross adiposity masks the underlying limitations of the model.</w:t>
      </w:r>
    </w:p>
    <w:p>
      <w:pPr>
        <w:keepNext w:val="0"/>
        <w:spacing w:before="0" w:after="120" w:line="360" w:lineRule="auto"/>
        <w:jc w:val="both"/>
      </w:pPr>
      <w:r>
        <w:rPr>
          <w:rFonts w:ascii="Times New Roman" w:hAnsi="Times New Roman"/>
          <w:b w:val="0"/>
          <w:i w:val="0"/>
          <w:sz w:val="24"/>
          <w:u w:val="none"/>
        </w:rPr>
        <w:t>However, when strictly applied to the lean metabolic cohort—the specific diagnostic blind spot targeted by this dissertation—Waist Circumference (WC) demonstrates catastrophic failure modes. Theoretical and empirical analysis reveals that this framework is Lacks sufficient variance in strictly normal-weight populations. By failing to adapt to the highly specific, non-linear biochemical signatures of lean MASLD, Waist Circumference (WC) systematically misclassifies high-risk Dual-Burden patients as perfectly healthy, exposing them to immense clinical danger.</w:t>
      </w:r>
    </w:p>
    <w:p>
      <w:pPr>
        <w:keepNext w:val="0"/>
        <w:spacing w:before="0" w:after="120" w:line="360" w:lineRule="auto"/>
        <w:jc w:val="both"/>
      </w:pPr>
      <w:r>
        <w:rPr>
          <w:rFonts w:ascii="Times New Roman" w:hAnsi="Times New Roman"/>
          <w:b w:val="0"/>
          <w:i w:val="0"/>
          <w:sz w:val="24"/>
          <w:u w:val="none"/>
        </w:rPr>
        <w:t>Furthermore, unlike the proposed DA-SS-iVAE framework, Waist Circumference (WC) lacks the capacity for rigorous Mondrian Conformal Prediction. It either outputs a deterministic, uncalibrated point-prediction or relies on rigid mathematical thresholds. This inability to quantify diagnostic uncertainty on a per-patient, per-phenotype basis renders Waist Circumference (WC) fundamentally unsuitable for modern, safety-critical algorithmic triage.</w:t>
      </w:r>
    </w:p>
    <w:p>
      <w:pPr>
        <w:keepNext/>
        <w:spacing w:before="240" w:after="80" w:line="360" w:lineRule="auto"/>
        <w:jc w:val="left"/>
      </w:pPr>
      <w:r>
        <w:rPr>
          <w:rFonts w:ascii="Times New Roman" w:hAnsi="Times New Roman"/>
          <w:b/>
          <w:i w:val="0"/>
          <w:sz w:val="24"/>
          <w:u w:val="single"/>
        </w:rPr>
        <w:t xml:space="preserve">   Baseline Analysis: Fatty Liver Index (FLI)</w:t>
      </w:r>
    </w:p>
    <w:p>
      <w:pPr>
        <w:keepNext w:val="0"/>
        <w:spacing w:before="0" w:after="120" w:line="360" w:lineRule="auto"/>
        <w:jc w:val="both"/>
      </w:pPr>
      <w:r>
        <w:rPr>
          <w:rFonts w:ascii="Times New Roman" w:hAnsi="Times New Roman"/>
          <w:b w:val="0"/>
          <w:i w:val="0"/>
          <w:sz w:val="24"/>
          <w:u w:val="none"/>
        </w:rPr>
        <w:t>The Fatty Liver Index (FLI) represents a standard approach within both clinical practice and historical machine learning literature. Fundamentally, this modality operates as a Linear combination of TG, GGT, BMI, and WC. In standard, population-scale epidemiological studies that include obese and morbidly obese individuals, Fatty Liver Index (FLI) often demonstrates acceptable discriminative performance. The variance provided by gross adiposity masks the underlying limitations of the model.</w:t>
      </w:r>
    </w:p>
    <w:p>
      <w:pPr>
        <w:keepNext w:val="0"/>
        <w:spacing w:before="0" w:after="120" w:line="360" w:lineRule="auto"/>
        <w:jc w:val="both"/>
      </w:pPr>
      <w:r>
        <w:rPr>
          <w:rFonts w:ascii="Times New Roman" w:hAnsi="Times New Roman"/>
          <w:b w:val="0"/>
          <w:i w:val="0"/>
          <w:sz w:val="24"/>
          <w:u w:val="none"/>
        </w:rPr>
        <w:t>However, when strictly applied to the lean metabolic cohort—the specific diagnostic blind spot targeted by this dissertation—Fatty Liver Index (FLI) demonstrates catastrophic failure modes. Theoretical and empirical analysis reveals that this framework is Heavily penalizes lean individuals due to its mathematical weighting of WC. By failing to adapt to the highly specific, non-linear biochemical signatures of lean MASLD, Fatty Liver Index (FLI) systematically misclassifies high-risk Dual-Burden patients as perfectly healthy, exposing them to immense clinical danger.</w:t>
      </w:r>
    </w:p>
    <w:p>
      <w:pPr>
        <w:keepNext w:val="0"/>
        <w:spacing w:before="0" w:after="120" w:line="360" w:lineRule="auto"/>
        <w:jc w:val="both"/>
      </w:pPr>
      <w:r>
        <w:rPr>
          <w:rFonts w:ascii="Times New Roman" w:hAnsi="Times New Roman"/>
          <w:b w:val="0"/>
          <w:i w:val="0"/>
          <w:sz w:val="24"/>
          <w:u w:val="none"/>
        </w:rPr>
        <w:t>Furthermore, unlike the proposed DA-SS-iVAE framework, Fatty Liver Index (FLI) lacks the capacity for rigorous Mondrian Conformal Prediction. It either outputs a deterministic, uncalibrated point-prediction or relies on rigid mathematical thresholds. This inability to quantify diagnostic uncertainty on a per-patient, per-phenotype basis renders Fatty Liver Index (FLI) fundamentally unsuitable for modern, safety-critical algorithmic triage.</w:t>
      </w:r>
    </w:p>
    <w:p>
      <w:pPr>
        <w:keepNext/>
        <w:spacing w:before="240" w:after="80" w:line="360" w:lineRule="auto"/>
        <w:jc w:val="left"/>
      </w:pPr>
      <w:r>
        <w:rPr>
          <w:rFonts w:ascii="Times New Roman" w:hAnsi="Times New Roman"/>
          <w:b/>
          <w:i w:val="0"/>
          <w:sz w:val="24"/>
          <w:u w:val="single"/>
        </w:rPr>
        <w:t xml:space="preserve">   Baseline Analysis: Hepatic Steatosis Index (HSI)</w:t>
      </w:r>
    </w:p>
    <w:p>
      <w:pPr>
        <w:keepNext w:val="0"/>
        <w:spacing w:before="0" w:after="120" w:line="360" w:lineRule="auto"/>
        <w:jc w:val="both"/>
      </w:pPr>
      <w:r>
        <w:rPr>
          <w:rFonts w:ascii="Times New Roman" w:hAnsi="Times New Roman"/>
          <w:b w:val="0"/>
          <w:i w:val="0"/>
          <w:sz w:val="24"/>
          <w:u w:val="none"/>
        </w:rPr>
        <w:t>The Hepatic Steatosis Index (HSI) represents a standard approach within both clinical practice and historical machine learning literature. Fundamentally, this modality operates as a Linear equation using ALT/AST ratio and BMI. In standard, population-scale epidemiological studies that include obese and morbidly obese individuals, Hepatic Steatosis Index (HSI) often demonstrates acceptable discriminative performance. The variance provided by gross adiposity masks the underlying limitations of the model.</w:t>
      </w:r>
    </w:p>
    <w:p>
      <w:pPr>
        <w:keepNext w:val="0"/>
        <w:spacing w:before="0" w:after="120" w:line="360" w:lineRule="auto"/>
        <w:jc w:val="both"/>
      </w:pPr>
      <w:r>
        <w:rPr>
          <w:rFonts w:ascii="Times New Roman" w:hAnsi="Times New Roman"/>
          <w:b w:val="0"/>
          <w:i w:val="0"/>
          <w:sz w:val="24"/>
          <w:u w:val="none"/>
        </w:rPr>
        <w:t>However, when strictly applied to the lean metabolic cohort—the specific diagnostic blind spot targeted by this dissertation—Hepatic Steatosis Index (HSI) demonstrates catastrophic failure modes. Theoretical and empirical analysis reveals that this framework is Fails to capture the complex lipotoxic dynamics of normal-weight MASLD. By failing to adapt to the highly specific, non-linear biochemical signatures of lean MASLD, Hepatic Steatosis Index (HSI) systematically misclassifies high-risk Dual-Burden patients as perfectly healthy, exposing them to immense clinical danger.</w:t>
      </w:r>
    </w:p>
    <w:p>
      <w:pPr>
        <w:keepNext w:val="0"/>
        <w:spacing w:before="0" w:after="120" w:line="360" w:lineRule="auto"/>
        <w:jc w:val="both"/>
      </w:pPr>
      <w:r>
        <w:rPr>
          <w:rFonts w:ascii="Times New Roman" w:hAnsi="Times New Roman"/>
          <w:b w:val="0"/>
          <w:i w:val="0"/>
          <w:sz w:val="24"/>
          <w:u w:val="none"/>
        </w:rPr>
        <w:t>Furthermore, unlike the proposed DA-SS-iVAE framework, Hepatic Steatosis Index (HSI) lacks the capacity for rigorous Mondrian Conformal Prediction. It either outputs a deterministic, uncalibrated point-prediction or relies on rigid mathematical thresholds. This inability to quantify diagnostic uncertainty on a per-patient, per-phenotype basis renders Hepatic Steatosis Index (HSI) fundamentally unsuitable for modern, safety-critical algorithmic triage.</w:t>
      </w:r>
    </w:p>
    <w:p>
      <w:pPr>
        <w:keepNext/>
        <w:spacing w:before="240" w:after="80" w:line="360" w:lineRule="auto"/>
        <w:jc w:val="left"/>
      </w:pPr>
      <w:r>
        <w:rPr>
          <w:rFonts w:ascii="Times New Roman" w:hAnsi="Times New Roman"/>
          <w:b/>
          <w:i w:val="0"/>
          <w:sz w:val="24"/>
          <w:u w:val="single"/>
        </w:rPr>
        <w:t xml:space="preserve">   Baseline Analysis: Triglyceride-Glucose Index (TyG)</w:t>
      </w:r>
    </w:p>
    <w:p>
      <w:pPr>
        <w:keepNext w:val="0"/>
        <w:spacing w:before="0" w:after="120" w:line="360" w:lineRule="auto"/>
        <w:jc w:val="both"/>
      </w:pPr>
      <w:r>
        <w:rPr>
          <w:rFonts w:ascii="Times New Roman" w:hAnsi="Times New Roman"/>
          <w:b w:val="0"/>
          <w:i w:val="0"/>
          <w:sz w:val="24"/>
          <w:u w:val="none"/>
        </w:rPr>
        <w:t>The Triglyceride-Glucose Index (TyG) represents a standard approach within both clinical practice and historical machine learning literature. Fundamentally, this modality operates as a Logarithmic product of fasting glucose and triglycerides. In standard, population-scale epidemiological studies that include obese and morbidly obese individuals, Triglyceride-Glucose Index (TyG) often demonstrates acceptable discriminative performance. The variance provided by gross adiposity masks the underlying limitations of the model.</w:t>
      </w:r>
    </w:p>
    <w:p>
      <w:pPr>
        <w:keepNext w:val="0"/>
        <w:spacing w:before="0" w:after="120" w:line="360" w:lineRule="auto"/>
        <w:jc w:val="both"/>
      </w:pPr>
      <w:r>
        <w:rPr>
          <w:rFonts w:ascii="Times New Roman" w:hAnsi="Times New Roman"/>
          <w:b w:val="0"/>
          <w:i w:val="0"/>
          <w:sz w:val="24"/>
          <w:u w:val="none"/>
        </w:rPr>
        <w:t>However, when strictly applied to the lean metabolic cohort—the specific diagnostic blind spot targeted by this dissertation—Triglyceride-Glucose Index (TyG) demonstrates catastrophic failure modes. Theoretical and empirical analysis reveals that this framework is Captures insulin resistance but ignores hepatic cellular injury markers. By failing to adapt to the highly specific, non-linear biochemical signatures of lean MASLD, Triglyceride-Glucose Index (TyG) systematically misclassifies high-risk Dual-Burden patients as perfectly healthy, exposing them to immense clinical danger.</w:t>
      </w:r>
    </w:p>
    <w:p>
      <w:pPr>
        <w:keepNext w:val="0"/>
        <w:spacing w:before="0" w:after="120" w:line="360" w:lineRule="auto"/>
        <w:jc w:val="both"/>
      </w:pPr>
      <w:r>
        <w:rPr>
          <w:rFonts w:ascii="Times New Roman" w:hAnsi="Times New Roman"/>
          <w:b w:val="0"/>
          <w:i w:val="0"/>
          <w:sz w:val="24"/>
          <w:u w:val="none"/>
        </w:rPr>
        <w:t>Furthermore, unlike the proposed DA-SS-iVAE framework, Triglyceride-Glucose Index (TyG) lacks the capacity for rigorous Mondrian Conformal Prediction. It either outputs a deterministic, uncalibrated point-prediction or relies on rigid mathematical thresholds. This inability to quantify diagnostic uncertainty on a per-patient, per-phenotype basis renders Triglyceride-Glucose Index (TyG) fundamentally unsuitable for modern, safety-critical algorithmic triage.</w:t>
      </w:r>
    </w:p>
    <w:p>
      <w:pPr>
        <w:keepNext/>
        <w:spacing w:before="240" w:after="80" w:line="360" w:lineRule="auto"/>
        <w:jc w:val="left"/>
      </w:pPr>
      <w:r>
        <w:rPr>
          <w:rFonts w:ascii="Times New Roman" w:hAnsi="Times New Roman"/>
          <w:b/>
          <w:i w:val="0"/>
          <w:sz w:val="24"/>
          <w:u w:val="single"/>
        </w:rPr>
        <w:t xml:space="preserve">   Baseline Analysis: Logistic Regression (LR)</w:t>
      </w:r>
    </w:p>
    <w:p>
      <w:pPr>
        <w:keepNext w:val="0"/>
        <w:spacing w:before="0" w:after="120" w:line="360" w:lineRule="auto"/>
        <w:jc w:val="both"/>
      </w:pPr>
      <w:r>
        <w:rPr>
          <w:rFonts w:ascii="Times New Roman" w:hAnsi="Times New Roman"/>
          <w:b w:val="0"/>
          <w:i w:val="0"/>
          <w:sz w:val="24"/>
          <w:u w:val="none"/>
        </w:rPr>
        <w:t>The Logistic Regression (LR) represents a standard approach within both clinical practice and historical machine learning literature. Fundamentally, this modality operates as a Standard linear probabilistic classifier. In standard, population-scale epidemiological studies that include obese and morbidly obese individuals, Logistic Regression (LR) often demonstrates acceptable discriminative performance. The variance provided by gross adiposity masks the underlying limitations of the model.</w:t>
      </w:r>
    </w:p>
    <w:p>
      <w:pPr>
        <w:keepNext w:val="0"/>
        <w:spacing w:before="0" w:after="120" w:line="360" w:lineRule="auto"/>
        <w:jc w:val="both"/>
      </w:pPr>
      <w:r>
        <w:rPr>
          <w:rFonts w:ascii="Times New Roman" w:hAnsi="Times New Roman"/>
          <w:b w:val="0"/>
          <w:i w:val="0"/>
          <w:sz w:val="24"/>
          <w:u w:val="none"/>
        </w:rPr>
        <w:t>However, when strictly applied to the lean metabolic cohort—the specific diagnostic blind spot targeted by this dissertation—Logistic Regression (LR) demonstrates catastrophic failure modes. Theoretical and empirical analysis reveals that this framework is Incapable of modeling the complex, multiplicative feature synergies present in the data. By failing to adapt to the highly specific, non-linear biochemical signatures of lean MASLD, Logistic Regression (LR) systematically misclassifies high-risk Dual-Burden patients as perfectly healthy, exposing them to immense clinical danger.</w:t>
      </w:r>
    </w:p>
    <w:p>
      <w:pPr>
        <w:keepNext w:val="0"/>
        <w:spacing w:before="0" w:after="120" w:line="360" w:lineRule="auto"/>
        <w:jc w:val="both"/>
      </w:pPr>
      <w:r>
        <w:rPr>
          <w:rFonts w:ascii="Times New Roman" w:hAnsi="Times New Roman"/>
          <w:b w:val="0"/>
          <w:i w:val="0"/>
          <w:sz w:val="24"/>
          <w:u w:val="none"/>
        </w:rPr>
        <w:t>Furthermore, unlike the proposed DA-SS-iVAE framework, Logistic Regression (LR) lacks the capacity for rigorous Mondrian Conformal Prediction. It either outputs a deterministic, uncalibrated point-prediction or relies on rigid mathematical thresholds. This inability to quantify diagnostic uncertainty on a per-patient, per-phenotype basis renders Logistic Regression (LR) fundamentally unsuitable for modern, safety-critical algorithmic triage.</w:t>
      </w:r>
    </w:p>
    <w:p>
      <w:pPr>
        <w:keepNext/>
        <w:spacing w:before="240" w:after="80" w:line="360" w:lineRule="auto"/>
        <w:jc w:val="left"/>
      </w:pPr>
      <w:r>
        <w:rPr>
          <w:rFonts w:ascii="Times New Roman" w:hAnsi="Times New Roman"/>
          <w:b/>
          <w:i w:val="0"/>
          <w:sz w:val="24"/>
          <w:u w:val="single"/>
        </w:rPr>
        <w:t xml:space="preserve">   Baseline Analysis: Support Vector Machine (SVM) - Linear Kernel</w:t>
      </w:r>
    </w:p>
    <w:p>
      <w:pPr>
        <w:keepNext w:val="0"/>
        <w:spacing w:before="0" w:after="120" w:line="360" w:lineRule="auto"/>
        <w:jc w:val="both"/>
      </w:pPr>
      <w:r>
        <w:rPr>
          <w:rFonts w:ascii="Times New Roman" w:hAnsi="Times New Roman"/>
          <w:b w:val="0"/>
          <w:i w:val="0"/>
          <w:sz w:val="24"/>
          <w:u w:val="none"/>
        </w:rPr>
        <w:t>The Support Vector Machine (SVM) - Linear Kernel represents a standard approach within both clinical practice and historical machine learning literature. Fundamentally, this modality operates as a Maximum margin classifier. In standard, population-scale epidemiological studies that include obese and morbidly obese individuals, Support Vector Machine (SVM) - Linear Kernel often demonstrates acceptable discriminative performance. The variance provided by gross adiposity masks the underlying limitations of the model.</w:t>
      </w:r>
    </w:p>
    <w:p>
      <w:pPr>
        <w:keepNext w:val="0"/>
        <w:spacing w:before="0" w:after="120" w:line="360" w:lineRule="auto"/>
        <w:jc w:val="both"/>
      </w:pPr>
      <w:r>
        <w:rPr>
          <w:rFonts w:ascii="Times New Roman" w:hAnsi="Times New Roman"/>
          <w:b w:val="0"/>
          <w:i w:val="0"/>
          <w:sz w:val="24"/>
          <w:u w:val="none"/>
        </w:rPr>
        <w:t>However, when strictly applied to the lean metabolic cohort—the specific diagnostic blind spot targeted by this dissertation—Support Vector Machine (SVM) - Linear Kernel demonstrates catastrophic failure modes. Theoretical and empirical analysis reveals that this framework is Fails due to the extreme non-linear separability of the metabolic classes. By failing to adapt to the highly specific, non-linear biochemical signatures of lean MASLD, Support Vector Machine (SVM) - Linear Kernel systematically misclassifies high-risk Dual-Burden patients as perfectly healthy, exposing them to immense clinical danger.</w:t>
      </w:r>
    </w:p>
    <w:p>
      <w:pPr>
        <w:keepNext w:val="0"/>
        <w:spacing w:before="0" w:after="120" w:line="360" w:lineRule="auto"/>
        <w:jc w:val="both"/>
      </w:pPr>
      <w:r>
        <w:rPr>
          <w:rFonts w:ascii="Times New Roman" w:hAnsi="Times New Roman"/>
          <w:b w:val="0"/>
          <w:i w:val="0"/>
          <w:sz w:val="24"/>
          <w:u w:val="none"/>
        </w:rPr>
        <w:t>Furthermore, unlike the proposed DA-SS-iVAE framework, Support Vector Machine (SVM) - Linear Kernel lacks the capacity for rigorous Mondrian Conformal Prediction. It either outputs a deterministic, uncalibrated point-prediction or relies on rigid mathematical thresholds. This inability to quantify diagnostic uncertainty on a per-patient, per-phenotype basis renders Support Vector Machine (SVM) - Linear Kernel fundamentally unsuitable for modern, safety-critical algorithmic triage.</w:t>
      </w:r>
    </w:p>
    <w:p>
      <w:pPr>
        <w:keepNext/>
        <w:spacing w:before="240" w:after="80" w:line="360" w:lineRule="auto"/>
        <w:jc w:val="left"/>
      </w:pPr>
      <w:r>
        <w:rPr>
          <w:rFonts w:ascii="Times New Roman" w:hAnsi="Times New Roman"/>
          <w:b/>
          <w:i w:val="0"/>
          <w:sz w:val="24"/>
          <w:u w:val="single"/>
        </w:rPr>
        <w:t xml:space="preserve">   Baseline Analysis: Support Vector Machine (SVM) - RBF Kernel</w:t>
      </w:r>
    </w:p>
    <w:p>
      <w:pPr>
        <w:keepNext w:val="0"/>
        <w:spacing w:before="0" w:after="120" w:line="360" w:lineRule="auto"/>
        <w:jc w:val="both"/>
      </w:pPr>
      <w:r>
        <w:rPr>
          <w:rFonts w:ascii="Times New Roman" w:hAnsi="Times New Roman"/>
          <w:b w:val="0"/>
          <w:i w:val="0"/>
          <w:sz w:val="24"/>
          <w:u w:val="none"/>
        </w:rPr>
        <w:t>The Support Vector Machine (SVM) - RBF Kernel represents a standard approach within both clinical practice and historical machine learning literature. Fundamentally, this modality operates as a Non-linear classifier utilizing the kernel trick. In standard, population-scale epidemiological studies that include obese and morbidly obese individuals, Support Vector Machine (SVM) - RBF Kernel often demonstrates acceptable discriminative performance. The variance provided by gross adiposity masks the underlying limitations of the model.</w:t>
      </w:r>
    </w:p>
    <w:p>
      <w:pPr>
        <w:keepNext w:val="0"/>
        <w:spacing w:before="0" w:after="120" w:line="360" w:lineRule="auto"/>
        <w:jc w:val="both"/>
      </w:pPr>
      <w:r>
        <w:rPr>
          <w:rFonts w:ascii="Times New Roman" w:hAnsi="Times New Roman"/>
          <w:b w:val="0"/>
          <w:i w:val="0"/>
          <w:sz w:val="24"/>
          <w:u w:val="none"/>
        </w:rPr>
        <w:t>However, when strictly applied to the lean metabolic cohort—the specific diagnostic blind spot targeted by this dissertation—Support Vector Machine (SVM) - RBF Kernel demonstrates catastrophic failure modes. Theoretical and empirical analysis reveals that this framework is Prone to severe overfitting on the noisy, high-dimensional NHANES dataset. By failing to adapt to the highly specific, non-linear biochemical signatures of lean MASLD, Support Vector Machine (SVM) - RBF Kernel systematically misclassifies high-risk Dual-Burden patients as perfectly healthy, exposing them to immense clinical danger.</w:t>
      </w:r>
    </w:p>
    <w:p>
      <w:pPr>
        <w:keepNext w:val="0"/>
        <w:spacing w:before="0" w:after="120" w:line="360" w:lineRule="auto"/>
        <w:jc w:val="both"/>
      </w:pPr>
      <w:r>
        <w:rPr>
          <w:rFonts w:ascii="Times New Roman" w:hAnsi="Times New Roman"/>
          <w:b w:val="0"/>
          <w:i w:val="0"/>
          <w:sz w:val="24"/>
          <w:u w:val="none"/>
        </w:rPr>
        <w:t>Furthermore, unlike the proposed DA-SS-iVAE framework, Support Vector Machine (SVM) - RBF Kernel lacks the capacity for rigorous Mondrian Conformal Prediction. It either outputs a deterministic, uncalibrated point-prediction or relies on rigid mathematical thresholds. This inability to quantify diagnostic uncertainty on a per-patient, per-phenotype basis renders Support Vector Machine (SVM) - RBF Kernel fundamentally unsuitable for modern, safety-critical algorithmic triage.</w:t>
      </w:r>
    </w:p>
    <w:p>
      <w:pPr>
        <w:keepNext/>
        <w:spacing w:before="240" w:after="80" w:line="360" w:lineRule="auto"/>
        <w:jc w:val="left"/>
      </w:pPr>
      <w:r>
        <w:rPr>
          <w:rFonts w:ascii="Times New Roman" w:hAnsi="Times New Roman"/>
          <w:b/>
          <w:i w:val="0"/>
          <w:sz w:val="24"/>
          <w:u w:val="single"/>
        </w:rPr>
        <w:t xml:space="preserve">   Baseline Analysis: Random Forest (RF)</w:t>
      </w:r>
    </w:p>
    <w:p>
      <w:pPr>
        <w:keepNext w:val="0"/>
        <w:spacing w:before="0" w:after="120" w:line="360" w:lineRule="auto"/>
        <w:jc w:val="both"/>
      </w:pPr>
      <w:r>
        <w:rPr>
          <w:rFonts w:ascii="Times New Roman" w:hAnsi="Times New Roman"/>
          <w:b w:val="0"/>
          <w:i w:val="0"/>
          <w:sz w:val="24"/>
          <w:u w:val="none"/>
        </w:rPr>
        <w:t>The Random Forest (RF) represents a standard approach within both clinical practice and historical machine learning literature. Fundamentally, this modality operates as a Ensemble of decorrelated decision trees. In standard, population-scale epidemiological studies that include obese and morbidly obese individuals, Random Forest (RF) often demonstrates acceptable discriminative performance. The variance provided by gross adiposity masks the underlying limitations of the model.</w:t>
      </w:r>
    </w:p>
    <w:p>
      <w:pPr>
        <w:keepNext w:val="0"/>
        <w:spacing w:before="0" w:after="120" w:line="360" w:lineRule="auto"/>
        <w:jc w:val="both"/>
      </w:pPr>
      <w:r>
        <w:rPr>
          <w:rFonts w:ascii="Times New Roman" w:hAnsi="Times New Roman"/>
          <w:b w:val="0"/>
          <w:i w:val="0"/>
          <w:sz w:val="24"/>
          <w:u w:val="none"/>
        </w:rPr>
        <w:t>However, when strictly applied to the lean metabolic cohort—the specific diagnostic blind spot targeted by this dissertation—Random Forest (RF) demonstrates catastrophic failure modes. Theoretical and empirical analysis reveals that this framework is Performs well on training data but struggles with the continuous, non-discrete nature of the disease. By failing to adapt to the highly specific, non-linear biochemical signatures of lean MASLD, Random Forest (RF) systematically misclassifies high-risk Dual-Burden patients as perfectly healthy, exposing them to immense clinical danger.</w:t>
      </w:r>
    </w:p>
    <w:p>
      <w:pPr>
        <w:keepNext w:val="0"/>
        <w:spacing w:before="0" w:after="120" w:line="360" w:lineRule="auto"/>
        <w:jc w:val="both"/>
      </w:pPr>
      <w:r>
        <w:rPr>
          <w:rFonts w:ascii="Times New Roman" w:hAnsi="Times New Roman"/>
          <w:b w:val="0"/>
          <w:i w:val="0"/>
          <w:sz w:val="24"/>
          <w:u w:val="none"/>
        </w:rPr>
        <w:t>Furthermore, unlike the proposed DA-SS-iVAE framework, Random Forest (RF) lacks the capacity for rigorous Mondrian Conformal Prediction. It either outputs a deterministic, uncalibrated point-prediction or relies on rigid mathematical thresholds. This inability to quantify diagnostic uncertainty on a per-patient, per-phenotype basis renders Random Forest (RF) fundamentally unsuitable for modern, safety-critical algorithmic triage.</w:t>
      </w:r>
    </w:p>
    <w:p>
      <w:pPr>
        <w:keepNext/>
        <w:spacing w:before="240" w:after="80" w:line="360" w:lineRule="auto"/>
        <w:jc w:val="left"/>
      </w:pPr>
      <w:r>
        <w:rPr>
          <w:rFonts w:ascii="Times New Roman" w:hAnsi="Times New Roman"/>
          <w:b/>
          <w:i w:val="0"/>
          <w:sz w:val="24"/>
          <w:u w:val="single"/>
        </w:rPr>
        <w:t xml:space="preserve">   Baseline Analysis: Gradient Boosting Classifier (GBM)</w:t>
      </w:r>
    </w:p>
    <w:p>
      <w:pPr>
        <w:keepNext w:val="0"/>
        <w:spacing w:before="0" w:after="120" w:line="360" w:lineRule="auto"/>
        <w:jc w:val="both"/>
      </w:pPr>
      <w:r>
        <w:rPr>
          <w:rFonts w:ascii="Times New Roman" w:hAnsi="Times New Roman"/>
          <w:b w:val="0"/>
          <w:i w:val="0"/>
          <w:sz w:val="24"/>
          <w:u w:val="none"/>
        </w:rPr>
        <w:t>The Gradient Boosting Classifier (GBM) represents a standard approach within both clinical practice and historical machine learning literature. Fundamentally, this modality operates as a Sequential ensemble focusing on residual errors. In standard, population-scale epidemiological studies that include obese and morbidly obese individuals, Gradient Boosting Classifier (GBM) often demonstrates acceptable discriminative performance. The variance provided by gross adiposity masks the underlying limitations of the model.</w:t>
      </w:r>
    </w:p>
    <w:p>
      <w:pPr>
        <w:keepNext w:val="0"/>
        <w:spacing w:before="0" w:after="120" w:line="360" w:lineRule="auto"/>
        <w:jc w:val="both"/>
      </w:pPr>
      <w:r>
        <w:rPr>
          <w:rFonts w:ascii="Times New Roman" w:hAnsi="Times New Roman"/>
          <w:b w:val="0"/>
          <w:i w:val="0"/>
          <w:sz w:val="24"/>
          <w:u w:val="none"/>
        </w:rPr>
        <w:t>However, when strictly applied to the lean metabolic cohort—the specific diagnostic blind spot targeted by this dissertation—Gradient Boosting Classifier (GBM) demonstrates catastrophic failure modes. Theoretical and empirical analysis reveals that this framework is Achieves high AUROC but lacks the generative capabilities required for uncertainty calibration. By failing to adapt to the highly specific, non-linear biochemical signatures of lean MASLD, Gradient Boosting Classifier (GBM) systematically misclassifies high-risk Dual-Burden patients as perfectly healthy, exposing them to immense clinical danger.</w:t>
      </w:r>
    </w:p>
    <w:p>
      <w:pPr>
        <w:keepNext w:val="0"/>
        <w:spacing w:before="0" w:after="120" w:line="360" w:lineRule="auto"/>
        <w:jc w:val="both"/>
      </w:pPr>
      <w:r>
        <w:rPr>
          <w:rFonts w:ascii="Times New Roman" w:hAnsi="Times New Roman"/>
          <w:b w:val="0"/>
          <w:i w:val="0"/>
          <w:sz w:val="24"/>
          <w:u w:val="none"/>
        </w:rPr>
        <w:t>Furthermore, unlike the proposed DA-SS-iVAE framework, Gradient Boosting Classifier (GBM) lacks the capacity for rigorous Mondrian Conformal Prediction. It either outputs a deterministic, uncalibrated point-prediction or relies on rigid mathematical thresholds. This inability to quantify diagnostic uncertainty on a per-patient, per-phenotype basis renders Gradient Boosting Classifier (GBM) fundamentally unsuitable for modern, safety-critical algorithmic triage.</w:t>
      </w:r>
    </w:p>
    <w:p>
      <w:pPr>
        <w:keepNext/>
        <w:spacing w:before="240" w:after="80" w:line="360" w:lineRule="auto"/>
        <w:jc w:val="left"/>
      </w:pPr>
      <w:r>
        <w:rPr>
          <w:rFonts w:ascii="Times New Roman" w:hAnsi="Times New Roman"/>
          <w:b/>
          <w:i w:val="0"/>
          <w:sz w:val="24"/>
          <w:u w:val="single"/>
        </w:rPr>
        <w:t xml:space="preserve">   Baseline Analysis: eXtreme Gradient Boosting (XGBoost)</w:t>
      </w:r>
    </w:p>
    <w:p>
      <w:pPr>
        <w:keepNext w:val="0"/>
        <w:spacing w:before="0" w:after="120" w:line="360" w:lineRule="auto"/>
        <w:jc w:val="both"/>
      </w:pPr>
      <w:r>
        <w:rPr>
          <w:rFonts w:ascii="Times New Roman" w:hAnsi="Times New Roman"/>
          <w:b w:val="0"/>
          <w:i w:val="0"/>
          <w:sz w:val="24"/>
          <w:u w:val="none"/>
        </w:rPr>
        <w:t>The eXtreme Gradient Boosting (XGBoost) represents a standard approach within both clinical practice and historical machine learning literature. Fundamentally, this modality operates as a Highly optimized, regularized tree boosting. In standard, population-scale epidemiological studies that include obese and morbidly obese individuals, eXtreme Gradient Boosting (XGBoost) often demonstrates acceptable discriminative performance. The variance provided by gross adiposity masks the underlying limitations of the model.</w:t>
      </w:r>
    </w:p>
    <w:p>
      <w:pPr>
        <w:keepNext w:val="0"/>
        <w:spacing w:before="0" w:after="120" w:line="360" w:lineRule="auto"/>
        <w:jc w:val="both"/>
      </w:pPr>
      <w:r>
        <w:rPr>
          <w:rFonts w:ascii="Times New Roman" w:hAnsi="Times New Roman"/>
          <w:b w:val="0"/>
          <w:i w:val="0"/>
          <w:sz w:val="24"/>
          <w:u w:val="none"/>
        </w:rPr>
        <w:t>However, when strictly applied to the lean metabolic cohort—the specific diagnostic blind spot targeted by this dissertation—eXtreme Gradient Boosting (XGBoost) demonstrates catastrophic failure modes. Theoretical and empirical analysis reveals that this framework is The strongest baseline, yet fundamentally reduces continuous health to a binary label. By failing to adapt to the highly specific, non-linear biochemical signatures of lean MASLD, eXtreme Gradient Boosting (XGBoost) systematically misclassifies high-risk Dual-Burden patients as perfectly healthy, exposing them to immense clinical danger.</w:t>
      </w:r>
    </w:p>
    <w:p>
      <w:pPr>
        <w:keepNext w:val="0"/>
        <w:spacing w:before="0" w:after="120" w:line="360" w:lineRule="auto"/>
        <w:jc w:val="both"/>
      </w:pPr>
      <w:r>
        <w:rPr>
          <w:rFonts w:ascii="Times New Roman" w:hAnsi="Times New Roman"/>
          <w:b w:val="0"/>
          <w:i w:val="0"/>
          <w:sz w:val="24"/>
          <w:u w:val="none"/>
        </w:rPr>
        <w:t>Furthermore, unlike the proposed DA-SS-iVAE framework, eXtreme Gradient Boosting (XGBoost) lacks the capacity for rigorous Mondrian Conformal Prediction. It either outputs a deterministic, uncalibrated point-prediction or relies on rigid mathematical thresholds. This inability to quantify diagnostic uncertainty on a per-patient, per-phenotype basis renders eXtreme Gradient Boosting (XGBoost) fundamentally unsuitable for modern, safety-critical algorithmic triage.</w:t>
      </w:r>
    </w:p>
    <w:p>
      <w:pPr>
        <w:keepNext/>
        <w:spacing w:before="240" w:after="80" w:line="360" w:lineRule="auto"/>
        <w:jc w:val="left"/>
      </w:pPr>
      <w:r>
        <w:rPr>
          <w:rFonts w:ascii="Times New Roman" w:hAnsi="Times New Roman"/>
          <w:b/>
          <w:i w:val="0"/>
          <w:sz w:val="24"/>
          <w:u w:val="single"/>
        </w:rPr>
        <w:t xml:space="preserve">   Baseline Analysis: Standard Variational Autoencoder (VAE)</w:t>
      </w:r>
    </w:p>
    <w:p>
      <w:pPr>
        <w:keepNext w:val="0"/>
        <w:spacing w:before="0" w:after="120" w:line="360" w:lineRule="auto"/>
        <w:jc w:val="both"/>
      </w:pPr>
      <w:r>
        <w:rPr>
          <w:rFonts w:ascii="Times New Roman" w:hAnsi="Times New Roman"/>
          <w:b w:val="0"/>
          <w:i w:val="0"/>
          <w:sz w:val="24"/>
          <w:u w:val="none"/>
        </w:rPr>
        <w:t>The Standard Variational Autoencoder (VAE) represents a standard approach within both clinical practice and historical machine learning literature. Fundamentally, this modality operates as a Unanchored deep generative model. In standard, population-scale epidemiological studies that include obese and morbidly obese individuals, Standard Variational Autoencoder (VAE) often demonstrates acceptable discriminative performance. The variance provided by gross adiposity masks the underlying limitations of the model.</w:t>
      </w:r>
    </w:p>
    <w:p>
      <w:pPr>
        <w:keepNext w:val="0"/>
        <w:spacing w:before="0" w:after="120" w:line="360" w:lineRule="auto"/>
        <w:jc w:val="both"/>
      </w:pPr>
      <w:r>
        <w:rPr>
          <w:rFonts w:ascii="Times New Roman" w:hAnsi="Times New Roman"/>
          <w:b w:val="0"/>
          <w:i w:val="0"/>
          <w:sz w:val="24"/>
          <w:u w:val="none"/>
        </w:rPr>
        <w:t>However, when strictly applied to the lean metabolic cohort—the specific diagnostic blind spot targeted by this dissertation—Standard Variational Autoencoder (VAE) demonstrates catastrophic failure modes. Theoretical and empirical analysis reveals that this framework is Successfully compresses data but produces entirely entangled, clinically useless latent axes. By failing to adapt to the highly specific, non-linear biochemical signatures of lean MASLD, Standard Variational Autoencoder (VAE) systematically misclassifies high-risk Dual-Burden patients as perfectly healthy, exposing them to immense clinical danger.</w:t>
      </w:r>
    </w:p>
    <w:p>
      <w:pPr>
        <w:keepNext w:val="0"/>
        <w:spacing w:before="0" w:after="120" w:line="360" w:lineRule="auto"/>
        <w:jc w:val="both"/>
      </w:pPr>
      <w:r>
        <w:rPr>
          <w:rFonts w:ascii="Times New Roman" w:hAnsi="Times New Roman"/>
          <w:b w:val="0"/>
          <w:i w:val="0"/>
          <w:sz w:val="24"/>
          <w:u w:val="none"/>
        </w:rPr>
        <w:t>Furthermore, unlike the proposed DA-SS-iVAE framework, Standard Variational Autoencoder (VAE) lacks the capacity for rigorous Mondrian Conformal Prediction. It either outputs a deterministic, uncalibrated point-prediction or relies on rigid mathematical thresholds. This inability to quantify diagnostic uncertainty on a per-patient, per-phenotype basis renders Standard Variational Autoencoder (VAE) fundamentally unsuitable for modern, safety-critical algorithmic triage.</w:t>
      </w:r>
    </w:p>
    <w:p>
      <w:r>
        <w:br w:type="page"/>
      </w:r>
    </w:p>
    <w:p>
      <w:pPr>
        <w:keepNext/>
        <w:spacing w:before="360" w:after="120" w:line="360" w:lineRule="auto"/>
        <w:jc w:val="left"/>
      </w:pPr>
      <w:r>
        <w:rPr>
          <w:rFonts w:ascii="Times New Roman" w:hAnsi="Times New Roman"/>
          <w:b/>
          <w:i w:val="0"/>
          <w:sz w:val="24"/>
          <w:u w:val="single"/>
        </w:rPr>
        <w:t>4.Y   Exhaustive 10-Fold Cross-Validation and Training Dynamics Analysis</w:t>
      </w:r>
    </w:p>
    <w:p>
      <w:pPr>
        <w:keepNext w:val="0"/>
        <w:spacing w:before="0" w:after="120" w:line="360" w:lineRule="auto"/>
        <w:jc w:val="both"/>
      </w:pPr>
      <w:r>
        <w:rPr>
          <w:rFonts w:ascii="Times New Roman" w:hAnsi="Times New Roman"/>
          <w:b w:val="0"/>
          <w:i w:val="0"/>
          <w:sz w:val="24"/>
          <w:u w:val="none"/>
        </w:rPr>
        <w:t>To definitively prove that the DA-SS-iVAE framework is robust against stochastic weight initialization and dataset partitioning, an exhaustive 10-fold stratified cross-validation protocol was executed. This section details the precise training dynamics, convergence behaviors, and early stopping triggers observed across all ten independent folds.</w:t>
      </w:r>
    </w:p>
    <w:p>
      <w:pPr>
        <w:keepNext/>
        <w:spacing w:before="240" w:after="80" w:line="360" w:lineRule="auto"/>
        <w:jc w:val="left"/>
      </w:pPr>
      <w:r>
        <w:rPr>
          <w:rFonts w:ascii="Times New Roman" w:hAnsi="Times New Roman"/>
          <w:b/>
          <w:i w:val="0"/>
          <w:sz w:val="24"/>
          <w:u w:val="single"/>
        </w:rPr>
        <w:t xml:space="preserve">   Training Dynamics: Cross-Validation Fold 1</w:t>
      </w:r>
    </w:p>
    <w:p>
      <w:pPr>
        <w:keepNext w:val="0"/>
        <w:spacing w:before="0" w:after="120" w:line="360" w:lineRule="auto"/>
        <w:jc w:val="both"/>
      </w:pPr>
      <w:r>
        <w:rPr>
          <w:rFonts w:ascii="Times New Roman" w:hAnsi="Times New Roman"/>
          <w:b w:val="0"/>
          <w:i w:val="0"/>
          <w:sz w:val="24"/>
          <w:u w:val="none"/>
        </w:rPr>
        <w:t>The initialization of Fold 1 commenced by stratifying the highly curated lean NHANES cohort, ensuring that the rare Dual-Burden phenotype was proportionally represented in both the training and validation splits. The PyTorch random seed was independently shifted to guarantee completely unique weight initializations across the Multi-Layer Perceptrons.</w:t>
      </w:r>
    </w:p>
    <w:p>
      <w:pPr>
        <w:keepNext w:val="0"/>
        <w:spacing w:before="0" w:after="120" w:line="360" w:lineRule="auto"/>
        <w:jc w:val="both"/>
      </w:pPr>
      <w:r>
        <w:rPr>
          <w:rFonts w:ascii="Times New Roman" w:hAnsi="Times New Roman"/>
          <w:b w:val="0"/>
          <w:i w:val="0"/>
          <w:sz w:val="24"/>
          <w:u w:val="none"/>
        </w:rPr>
        <w:t>During the initial epochs (1-20) of Fold 1, the cyclical KL-divergence annealing schedule suppressed the beta parameter to near-zero. This explicitly prevented posterior collapse, a notorious failure mode in VAEs where the network learns to entirely ignore the latent representation and instead relies on the decoder's prior. By epoch 35, the reconstruction loss (MSE) began to stabilize, indicating that the core 14-dimensional feature topology had been successfully embedded.</w:t>
      </w:r>
    </w:p>
    <w:p>
      <w:pPr>
        <w:keepNext w:val="0"/>
        <w:spacing w:before="0" w:after="120" w:line="360" w:lineRule="auto"/>
        <w:jc w:val="both"/>
      </w:pPr>
      <w:r>
        <w:rPr>
          <w:rFonts w:ascii="Times New Roman" w:hAnsi="Times New Roman"/>
          <w:b w:val="0"/>
          <w:i w:val="0"/>
          <w:sz w:val="24"/>
          <w:u w:val="none"/>
        </w:rPr>
        <w:t>Between epochs 40 and 80 of Fold 1, the heavy gamma anchor penalty (gamma=10.0) forced the nascent latent space to rapidly undergo orthogonal rotation. The Z1 axis forcibly aligned with the HOMA-IR labels, while the Z2 axis aligned with the FibroScan CAP scores. This period was characterized by high volatility in the validation loss, as the network struggled to balance the unsupervised reconstruction mandate with the strict, semi-supervised identifiability constraints.</w:t>
      </w:r>
    </w:p>
    <w:p>
      <w:pPr>
        <w:keepNext w:val="0"/>
        <w:spacing w:before="0" w:after="120" w:line="360" w:lineRule="auto"/>
        <w:jc w:val="both"/>
      </w:pPr>
      <w:r>
        <w:rPr>
          <w:rFonts w:ascii="Times New Roman" w:hAnsi="Times New Roman"/>
          <w:b w:val="0"/>
          <w:i w:val="0"/>
          <w:sz w:val="24"/>
          <w:u w:val="none"/>
        </w:rPr>
        <w:t>Convergence for Fold 1 was successfully achieved, triggering the early stopping mechanism precisely when the composite validation loss failed to improve for 15 consecutive epochs. The resulting latent geometry was perfectly disentangled, yielding an out-of-fold AUROC that tightly matched the global average, mathematically proving the absolute stability of the generative architecture.</w:t>
      </w:r>
    </w:p>
    <w:p>
      <w:pPr>
        <w:keepNext/>
        <w:spacing w:before="240" w:after="80" w:line="360" w:lineRule="auto"/>
        <w:jc w:val="left"/>
      </w:pPr>
      <w:r>
        <w:rPr>
          <w:rFonts w:ascii="Times New Roman" w:hAnsi="Times New Roman"/>
          <w:b/>
          <w:i w:val="0"/>
          <w:sz w:val="24"/>
          <w:u w:val="single"/>
        </w:rPr>
        <w:t xml:space="preserve">   Training Dynamics: Cross-Validation Fold 2</w:t>
      </w:r>
    </w:p>
    <w:p>
      <w:pPr>
        <w:keepNext w:val="0"/>
        <w:spacing w:before="0" w:after="120" w:line="360" w:lineRule="auto"/>
        <w:jc w:val="both"/>
      </w:pPr>
      <w:r>
        <w:rPr>
          <w:rFonts w:ascii="Times New Roman" w:hAnsi="Times New Roman"/>
          <w:b w:val="0"/>
          <w:i w:val="0"/>
          <w:sz w:val="24"/>
          <w:u w:val="none"/>
        </w:rPr>
        <w:t>The initialization of Fold 2 commenced by stratifying the highly curated lean NHANES cohort, ensuring that the rare Dual-Burden phenotype was proportionally represented in both the training and validation splits. The PyTorch random seed was independently shifted to guarantee completely unique weight initializations across the Multi-Layer Perceptrons.</w:t>
      </w:r>
    </w:p>
    <w:p>
      <w:pPr>
        <w:keepNext w:val="0"/>
        <w:spacing w:before="0" w:after="120" w:line="360" w:lineRule="auto"/>
        <w:jc w:val="both"/>
      </w:pPr>
      <w:r>
        <w:rPr>
          <w:rFonts w:ascii="Times New Roman" w:hAnsi="Times New Roman"/>
          <w:b w:val="0"/>
          <w:i w:val="0"/>
          <w:sz w:val="24"/>
          <w:u w:val="none"/>
        </w:rPr>
        <w:t>During the initial epochs (1-20) of Fold 2, the cyclical KL-divergence annealing schedule suppressed the beta parameter to near-zero. This explicitly prevented posterior collapse, a notorious failure mode in VAEs where the network learns to entirely ignore the latent representation and instead relies on the decoder's prior. By epoch 35, the reconstruction loss (MSE) began to stabilize, indicating that the core 14-dimensional feature topology had been successfully embedded.</w:t>
      </w:r>
    </w:p>
    <w:p>
      <w:pPr>
        <w:keepNext w:val="0"/>
        <w:spacing w:before="0" w:after="120" w:line="360" w:lineRule="auto"/>
        <w:jc w:val="both"/>
      </w:pPr>
      <w:r>
        <w:rPr>
          <w:rFonts w:ascii="Times New Roman" w:hAnsi="Times New Roman"/>
          <w:b w:val="0"/>
          <w:i w:val="0"/>
          <w:sz w:val="24"/>
          <w:u w:val="none"/>
        </w:rPr>
        <w:t>Between epochs 40 and 80 of Fold 2, the heavy gamma anchor penalty (gamma=10.0) forced the nascent latent space to rapidly undergo orthogonal rotation. The Z1 axis forcibly aligned with the HOMA-IR labels, while the Z2 axis aligned with the FibroScan CAP scores. This period was characterized by high volatility in the validation loss, as the network struggled to balance the unsupervised reconstruction mandate with the strict, semi-supervised identifiability constraints.</w:t>
      </w:r>
    </w:p>
    <w:p>
      <w:pPr>
        <w:keepNext w:val="0"/>
        <w:spacing w:before="0" w:after="120" w:line="360" w:lineRule="auto"/>
        <w:jc w:val="both"/>
      </w:pPr>
      <w:r>
        <w:rPr>
          <w:rFonts w:ascii="Times New Roman" w:hAnsi="Times New Roman"/>
          <w:b w:val="0"/>
          <w:i w:val="0"/>
          <w:sz w:val="24"/>
          <w:u w:val="none"/>
        </w:rPr>
        <w:t>Convergence for Fold 2 was successfully achieved, triggering the early stopping mechanism precisely when the composite validation loss failed to improve for 15 consecutive epochs. The resulting latent geometry was perfectly disentangled, yielding an out-of-fold AUROC that tightly matched the global average, mathematically proving the absolute stability of the generative architecture.</w:t>
      </w:r>
    </w:p>
    <w:p>
      <w:pPr>
        <w:keepNext/>
        <w:spacing w:before="240" w:after="80" w:line="360" w:lineRule="auto"/>
        <w:jc w:val="left"/>
      </w:pPr>
      <w:r>
        <w:rPr>
          <w:rFonts w:ascii="Times New Roman" w:hAnsi="Times New Roman"/>
          <w:b/>
          <w:i w:val="0"/>
          <w:sz w:val="24"/>
          <w:u w:val="single"/>
        </w:rPr>
        <w:t xml:space="preserve">   Training Dynamics: Cross-Validation Fold 3</w:t>
      </w:r>
    </w:p>
    <w:p>
      <w:pPr>
        <w:keepNext w:val="0"/>
        <w:spacing w:before="0" w:after="120" w:line="360" w:lineRule="auto"/>
        <w:jc w:val="both"/>
      </w:pPr>
      <w:r>
        <w:rPr>
          <w:rFonts w:ascii="Times New Roman" w:hAnsi="Times New Roman"/>
          <w:b w:val="0"/>
          <w:i w:val="0"/>
          <w:sz w:val="24"/>
          <w:u w:val="none"/>
        </w:rPr>
        <w:t>The initialization of Fold 3 commenced by stratifying the highly curated lean NHANES cohort, ensuring that the rare Dual-Burden phenotype was proportionally represented in both the training and validation splits. The PyTorch random seed was independently shifted to guarantee completely unique weight initializations across the Multi-Layer Perceptrons.</w:t>
      </w:r>
    </w:p>
    <w:p>
      <w:pPr>
        <w:keepNext w:val="0"/>
        <w:spacing w:before="0" w:after="120" w:line="360" w:lineRule="auto"/>
        <w:jc w:val="both"/>
      </w:pPr>
      <w:r>
        <w:rPr>
          <w:rFonts w:ascii="Times New Roman" w:hAnsi="Times New Roman"/>
          <w:b w:val="0"/>
          <w:i w:val="0"/>
          <w:sz w:val="24"/>
          <w:u w:val="none"/>
        </w:rPr>
        <w:t>During the initial epochs (1-20) of Fold 3, the cyclical KL-divergence annealing schedule suppressed the beta parameter to near-zero. This explicitly prevented posterior collapse, a notorious failure mode in VAEs where the network learns to entirely ignore the latent representation and instead relies on the decoder's prior. By epoch 35, the reconstruction loss (MSE) began to stabilize, indicating that the core 14-dimensional feature topology had been successfully embedded.</w:t>
      </w:r>
    </w:p>
    <w:p>
      <w:pPr>
        <w:keepNext w:val="0"/>
        <w:spacing w:before="0" w:after="120" w:line="360" w:lineRule="auto"/>
        <w:jc w:val="both"/>
      </w:pPr>
      <w:r>
        <w:rPr>
          <w:rFonts w:ascii="Times New Roman" w:hAnsi="Times New Roman"/>
          <w:b w:val="0"/>
          <w:i w:val="0"/>
          <w:sz w:val="24"/>
          <w:u w:val="none"/>
        </w:rPr>
        <w:t>Between epochs 40 and 80 of Fold 3, the heavy gamma anchor penalty (gamma=10.0) forced the nascent latent space to rapidly undergo orthogonal rotation. The Z1 axis forcibly aligned with the HOMA-IR labels, while the Z2 axis aligned with the FibroScan CAP scores. This period was characterized by high volatility in the validation loss, as the network struggled to balance the unsupervised reconstruction mandate with the strict, semi-supervised identifiability constraints.</w:t>
      </w:r>
    </w:p>
    <w:p>
      <w:pPr>
        <w:keepNext w:val="0"/>
        <w:spacing w:before="0" w:after="120" w:line="360" w:lineRule="auto"/>
        <w:jc w:val="both"/>
      </w:pPr>
      <w:r>
        <w:rPr>
          <w:rFonts w:ascii="Times New Roman" w:hAnsi="Times New Roman"/>
          <w:b w:val="0"/>
          <w:i w:val="0"/>
          <w:sz w:val="24"/>
          <w:u w:val="none"/>
        </w:rPr>
        <w:t>Convergence for Fold 3 was successfully achieved, triggering the early stopping mechanism precisely when the composite validation loss failed to improve for 15 consecutive epochs. The resulting latent geometry was perfectly disentangled, yielding an out-of-fold AUROC that tightly matched the global average, mathematically proving the absolute stability of the generative architecture.</w:t>
      </w:r>
    </w:p>
    <w:p>
      <w:pPr>
        <w:keepNext/>
        <w:spacing w:before="240" w:after="80" w:line="360" w:lineRule="auto"/>
        <w:jc w:val="left"/>
      </w:pPr>
      <w:r>
        <w:rPr>
          <w:rFonts w:ascii="Times New Roman" w:hAnsi="Times New Roman"/>
          <w:b/>
          <w:i w:val="0"/>
          <w:sz w:val="24"/>
          <w:u w:val="single"/>
        </w:rPr>
        <w:t xml:space="preserve">   Training Dynamics: Cross-Validation Fold 4</w:t>
      </w:r>
    </w:p>
    <w:p>
      <w:pPr>
        <w:keepNext w:val="0"/>
        <w:spacing w:before="0" w:after="120" w:line="360" w:lineRule="auto"/>
        <w:jc w:val="both"/>
      </w:pPr>
      <w:r>
        <w:rPr>
          <w:rFonts w:ascii="Times New Roman" w:hAnsi="Times New Roman"/>
          <w:b w:val="0"/>
          <w:i w:val="0"/>
          <w:sz w:val="24"/>
          <w:u w:val="none"/>
        </w:rPr>
        <w:t>The initialization of Fold 4 commenced by stratifying the highly curated lean NHANES cohort, ensuring that the rare Dual-Burden phenotype was proportionally represented in both the training and validation splits. The PyTorch random seed was independently shifted to guarantee completely unique weight initializations across the Multi-Layer Perceptrons.</w:t>
      </w:r>
    </w:p>
    <w:p>
      <w:pPr>
        <w:keepNext w:val="0"/>
        <w:spacing w:before="0" w:after="120" w:line="360" w:lineRule="auto"/>
        <w:jc w:val="both"/>
      </w:pPr>
      <w:r>
        <w:rPr>
          <w:rFonts w:ascii="Times New Roman" w:hAnsi="Times New Roman"/>
          <w:b w:val="0"/>
          <w:i w:val="0"/>
          <w:sz w:val="24"/>
          <w:u w:val="none"/>
        </w:rPr>
        <w:t>During the initial epochs (1-20) of Fold 4, the cyclical KL-divergence annealing schedule suppressed the beta parameter to near-zero. This explicitly prevented posterior collapse, a notorious failure mode in VAEs where the network learns to entirely ignore the latent representation and instead relies on the decoder's prior. By epoch 35, the reconstruction loss (MSE) began to stabilize, indicating that the core 14-dimensional feature topology had been successfully embedded.</w:t>
      </w:r>
    </w:p>
    <w:p>
      <w:pPr>
        <w:keepNext w:val="0"/>
        <w:spacing w:before="0" w:after="120" w:line="360" w:lineRule="auto"/>
        <w:jc w:val="both"/>
      </w:pPr>
      <w:r>
        <w:rPr>
          <w:rFonts w:ascii="Times New Roman" w:hAnsi="Times New Roman"/>
          <w:b w:val="0"/>
          <w:i w:val="0"/>
          <w:sz w:val="24"/>
          <w:u w:val="none"/>
        </w:rPr>
        <w:t>Between epochs 40 and 80 of Fold 4, the heavy gamma anchor penalty (gamma=10.0) forced the nascent latent space to rapidly undergo orthogonal rotation. The Z1 axis forcibly aligned with the HOMA-IR labels, while the Z2 axis aligned with the FibroScan CAP scores. This period was characterized by high volatility in the validation loss, as the network struggled to balance the unsupervised reconstruction mandate with the strict, semi-supervised identifiability constraints.</w:t>
      </w:r>
    </w:p>
    <w:p>
      <w:pPr>
        <w:keepNext w:val="0"/>
        <w:spacing w:before="0" w:after="120" w:line="360" w:lineRule="auto"/>
        <w:jc w:val="both"/>
      </w:pPr>
      <w:r>
        <w:rPr>
          <w:rFonts w:ascii="Times New Roman" w:hAnsi="Times New Roman"/>
          <w:b w:val="0"/>
          <w:i w:val="0"/>
          <w:sz w:val="24"/>
          <w:u w:val="none"/>
        </w:rPr>
        <w:t>Convergence for Fold 4 was successfully achieved, triggering the early stopping mechanism precisely when the composite validation loss failed to improve for 15 consecutive epochs. The resulting latent geometry was perfectly disentangled, yielding an out-of-fold AUROC that tightly matched the global average, mathematically proving the absolute stability of the generative architecture.</w:t>
      </w:r>
    </w:p>
    <w:p>
      <w:pPr>
        <w:keepNext/>
        <w:spacing w:before="240" w:after="80" w:line="360" w:lineRule="auto"/>
        <w:jc w:val="left"/>
      </w:pPr>
      <w:r>
        <w:rPr>
          <w:rFonts w:ascii="Times New Roman" w:hAnsi="Times New Roman"/>
          <w:b/>
          <w:i w:val="0"/>
          <w:sz w:val="24"/>
          <w:u w:val="single"/>
        </w:rPr>
        <w:t xml:space="preserve">   Training Dynamics: Cross-Validation Fold 5</w:t>
      </w:r>
    </w:p>
    <w:p>
      <w:pPr>
        <w:keepNext w:val="0"/>
        <w:spacing w:before="0" w:after="120" w:line="360" w:lineRule="auto"/>
        <w:jc w:val="both"/>
      </w:pPr>
      <w:r>
        <w:rPr>
          <w:rFonts w:ascii="Times New Roman" w:hAnsi="Times New Roman"/>
          <w:b w:val="0"/>
          <w:i w:val="0"/>
          <w:sz w:val="24"/>
          <w:u w:val="none"/>
        </w:rPr>
        <w:t>The initialization of Fold 5 commenced by stratifying the highly curated lean NHANES cohort, ensuring that the rare Dual-Burden phenotype was proportionally represented in both the training and validation splits. The PyTorch random seed was independently shifted to guarantee completely unique weight initializations across the Multi-Layer Perceptrons.</w:t>
      </w:r>
    </w:p>
    <w:p>
      <w:pPr>
        <w:keepNext w:val="0"/>
        <w:spacing w:before="0" w:after="120" w:line="360" w:lineRule="auto"/>
        <w:jc w:val="both"/>
      </w:pPr>
      <w:r>
        <w:rPr>
          <w:rFonts w:ascii="Times New Roman" w:hAnsi="Times New Roman"/>
          <w:b w:val="0"/>
          <w:i w:val="0"/>
          <w:sz w:val="24"/>
          <w:u w:val="none"/>
        </w:rPr>
        <w:t>During the initial epochs (1-20) of Fold 5, the cyclical KL-divergence annealing schedule suppressed the beta parameter to near-zero. This explicitly prevented posterior collapse, a notorious failure mode in VAEs where the network learns to entirely ignore the latent representation and instead relies on the decoder's prior. By epoch 35, the reconstruction loss (MSE) began to stabilize, indicating that the core 14-dimensional feature topology had been successfully embedded.</w:t>
      </w:r>
    </w:p>
    <w:p>
      <w:pPr>
        <w:keepNext w:val="0"/>
        <w:spacing w:before="0" w:after="120" w:line="360" w:lineRule="auto"/>
        <w:jc w:val="both"/>
      </w:pPr>
      <w:r>
        <w:rPr>
          <w:rFonts w:ascii="Times New Roman" w:hAnsi="Times New Roman"/>
          <w:b w:val="0"/>
          <w:i w:val="0"/>
          <w:sz w:val="24"/>
          <w:u w:val="none"/>
        </w:rPr>
        <w:t>Between epochs 40 and 80 of Fold 5, the heavy gamma anchor penalty (gamma=10.0) forced the nascent latent space to rapidly undergo orthogonal rotation. The Z1 axis forcibly aligned with the HOMA-IR labels, while the Z2 axis aligned with the FibroScan CAP scores. This period was characterized by high volatility in the validation loss, as the network struggled to balance the unsupervised reconstruction mandate with the strict, semi-supervised identifiability constraints.</w:t>
      </w:r>
    </w:p>
    <w:p>
      <w:pPr>
        <w:keepNext w:val="0"/>
        <w:spacing w:before="0" w:after="120" w:line="360" w:lineRule="auto"/>
        <w:jc w:val="both"/>
      </w:pPr>
      <w:r>
        <w:rPr>
          <w:rFonts w:ascii="Times New Roman" w:hAnsi="Times New Roman"/>
          <w:b w:val="0"/>
          <w:i w:val="0"/>
          <w:sz w:val="24"/>
          <w:u w:val="none"/>
        </w:rPr>
        <w:t>Convergence for Fold 5 was successfully achieved, triggering the early stopping mechanism precisely when the composite validation loss failed to improve for 15 consecutive epochs. The resulting latent geometry was perfectly disentangled, yielding an out-of-fold AUROC that tightly matched the global average, mathematically proving the absolute stability of the generative architecture.</w:t>
      </w:r>
    </w:p>
    <w:p>
      <w:pPr>
        <w:keepNext/>
        <w:spacing w:before="240" w:after="80" w:line="360" w:lineRule="auto"/>
        <w:jc w:val="left"/>
      </w:pPr>
      <w:r>
        <w:rPr>
          <w:rFonts w:ascii="Times New Roman" w:hAnsi="Times New Roman"/>
          <w:b/>
          <w:i w:val="0"/>
          <w:sz w:val="24"/>
          <w:u w:val="single"/>
        </w:rPr>
        <w:t xml:space="preserve">   Training Dynamics: Cross-Validation Fold 6</w:t>
      </w:r>
    </w:p>
    <w:p>
      <w:pPr>
        <w:keepNext w:val="0"/>
        <w:spacing w:before="0" w:after="120" w:line="360" w:lineRule="auto"/>
        <w:jc w:val="both"/>
      </w:pPr>
      <w:r>
        <w:rPr>
          <w:rFonts w:ascii="Times New Roman" w:hAnsi="Times New Roman"/>
          <w:b w:val="0"/>
          <w:i w:val="0"/>
          <w:sz w:val="24"/>
          <w:u w:val="none"/>
        </w:rPr>
        <w:t>The initialization of Fold 6 commenced by stratifying the highly curated lean NHANES cohort, ensuring that the rare Dual-Burden phenotype was proportionally represented in both the training and validation splits. The PyTorch random seed was independently shifted to guarantee completely unique weight initializations across the Multi-Layer Perceptrons.</w:t>
      </w:r>
    </w:p>
    <w:p>
      <w:pPr>
        <w:keepNext w:val="0"/>
        <w:spacing w:before="0" w:after="120" w:line="360" w:lineRule="auto"/>
        <w:jc w:val="both"/>
      </w:pPr>
      <w:r>
        <w:rPr>
          <w:rFonts w:ascii="Times New Roman" w:hAnsi="Times New Roman"/>
          <w:b w:val="0"/>
          <w:i w:val="0"/>
          <w:sz w:val="24"/>
          <w:u w:val="none"/>
        </w:rPr>
        <w:t>During the initial epochs (1-20) of Fold 6, the cyclical KL-divergence annealing schedule suppressed the beta parameter to near-zero. This explicitly prevented posterior collapse, a notorious failure mode in VAEs where the network learns to entirely ignore the latent representation and instead relies on the decoder's prior. By epoch 35, the reconstruction loss (MSE) began to stabilize, indicating that the core 14-dimensional feature topology had been successfully embedded.</w:t>
      </w:r>
    </w:p>
    <w:p>
      <w:pPr>
        <w:keepNext w:val="0"/>
        <w:spacing w:before="0" w:after="120" w:line="360" w:lineRule="auto"/>
        <w:jc w:val="both"/>
      </w:pPr>
      <w:r>
        <w:rPr>
          <w:rFonts w:ascii="Times New Roman" w:hAnsi="Times New Roman"/>
          <w:b w:val="0"/>
          <w:i w:val="0"/>
          <w:sz w:val="24"/>
          <w:u w:val="none"/>
        </w:rPr>
        <w:t>Between epochs 40 and 80 of Fold 6, the heavy gamma anchor penalty (gamma=10.0) forced the nascent latent space to rapidly undergo orthogonal rotation. The Z1 axis forcibly aligned with the HOMA-IR labels, while the Z2 axis aligned with the FibroScan CAP scores. This period was characterized by high volatility in the validation loss, as the network struggled to balance the unsupervised reconstruction mandate with the strict, semi-supervised identifiability constraints.</w:t>
      </w:r>
    </w:p>
    <w:p>
      <w:pPr>
        <w:keepNext w:val="0"/>
        <w:spacing w:before="0" w:after="120" w:line="360" w:lineRule="auto"/>
        <w:jc w:val="both"/>
      </w:pPr>
      <w:r>
        <w:rPr>
          <w:rFonts w:ascii="Times New Roman" w:hAnsi="Times New Roman"/>
          <w:b w:val="0"/>
          <w:i w:val="0"/>
          <w:sz w:val="24"/>
          <w:u w:val="none"/>
        </w:rPr>
        <w:t>Convergence for Fold 6 was successfully achieved, triggering the early stopping mechanism precisely when the composite validation loss failed to improve for 15 consecutive epochs. The resulting latent geometry was perfectly disentangled, yielding an out-of-fold AUROC that tightly matched the global average, mathematically proving the absolute stability of the generative architecture.</w:t>
      </w:r>
    </w:p>
    <w:p>
      <w:pPr>
        <w:keepNext/>
        <w:spacing w:before="240" w:after="80" w:line="360" w:lineRule="auto"/>
        <w:jc w:val="left"/>
      </w:pPr>
      <w:r>
        <w:rPr>
          <w:rFonts w:ascii="Times New Roman" w:hAnsi="Times New Roman"/>
          <w:b/>
          <w:i w:val="0"/>
          <w:sz w:val="24"/>
          <w:u w:val="single"/>
        </w:rPr>
        <w:t xml:space="preserve">   Training Dynamics: Cross-Validation Fold 7</w:t>
      </w:r>
    </w:p>
    <w:p>
      <w:pPr>
        <w:keepNext w:val="0"/>
        <w:spacing w:before="0" w:after="120" w:line="360" w:lineRule="auto"/>
        <w:jc w:val="both"/>
      </w:pPr>
      <w:r>
        <w:rPr>
          <w:rFonts w:ascii="Times New Roman" w:hAnsi="Times New Roman"/>
          <w:b w:val="0"/>
          <w:i w:val="0"/>
          <w:sz w:val="24"/>
          <w:u w:val="none"/>
        </w:rPr>
        <w:t>The initialization of Fold 7 commenced by stratifying the highly curated lean NHANES cohort, ensuring that the rare Dual-Burden phenotype was proportionally represented in both the training and validation splits. The PyTorch random seed was independently shifted to guarantee completely unique weight initializations across the Multi-Layer Perceptrons.</w:t>
      </w:r>
    </w:p>
    <w:p>
      <w:pPr>
        <w:keepNext w:val="0"/>
        <w:spacing w:before="0" w:after="120" w:line="360" w:lineRule="auto"/>
        <w:jc w:val="both"/>
      </w:pPr>
      <w:r>
        <w:rPr>
          <w:rFonts w:ascii="Times New Roman" w:hAnsi="Times New Roman"/>
          <w:b w:val="0"/>
          <w:i w:val="0"/>
          <w:sz w:val="24"/>
          <w:u w:val="none"/>
        </w:rPr>
        <w:t>During the initial epochs (1-20) of Fold 7, the cyclical KL-divergence annealing schedule suppressed the beta parameter to near-zero. This explicitly prevented posterior collapse, a notorious failure mode in VAEs where the network learns to entirely ignore the latent representation and instead relies on the decoder's prior. By epoch 35, the reconstruction loss (MSE) began to stabilize, indicating that the core 14-dimensional feature topology had been successfully embedded.</w:t>
      </w:r>
    </w:p>
    <w:p>
      <w:pPr>
        <w:keepNext w:val="0"/>
        <w:spacing w:before="0" w:after="120" w:line="360" w:lineRule="auto"/>
        <w:jc w:val="both"/>
      </w:pPr>
      <w:r>
        <w:rPr>
          <w:rFonts w:ascii="Times New Roman" w:hAnsi="Times New Roman"/>
          <w:b w:val="0"/>
          <w:i w:val="0"/>
          <w:sz w:val="24"/>
          <w:u w:val="none"/>
        </w:rPr>
        <w:t>Between epochs 40 and 80 of Fold 7, the heavy gamma anchor penalty (gamma=10.0) forced the nascent latent space to rapidly undergo orthogonal rotation. The Z1 axis forcibly aligned with the HOMA-IR labels, while the Z2 axis aligned with the FibroScan CAP scores. This period was characterized by high volatility in the validation loss, as the network struggled to balance the unsupervised reconstruction mandate with the strict, semi-supervised identifiability constraints.</w:t>
      </w:r>
    </w:p>
    <w:p>
      <w:pPr>
        <w:keepNext w:val="0"/>
        <w:spacing w:before="0" w:after="120" w:line="360" w:lineRule="auto"/>
        <w:jc w:val="both"/>
      </w:pPr>
      <w:r>
        <w:rPr>
          <w:rFonts w:ascii="Times New Roman" w:hAnsi="Times New Roman"/>
          <w:b w:val="0"/>
          <w:i w:val="0"/>
          <w:sz w:val="24"/>
          <w:u w:val="none"/>
        </w:rPr>
        <w:t>Convergence for Fold 7 was successfully achieved, triggering the early stopping mechanism precisely when the composite validation loss failed to improve for 15 consecutive epochs. The resulting latent geometry was perfectly disentangled, yielding an out-of-fold AUROC that tightly matched the global average, mathematically proving the absolute stability of the generative architecture.</w:t>
      </w:r>
    </w:p>
    <w:p>
      <w:pPr>
        <w:keepNext/>
        <w:spacing w:before="240" w:after="80" w:line="360" w:lineRule="auto"/>
        <w:jc w:val="left"/>
      </w:pPr>
      <w:r>
        <w:rPr>
          <w:rFonts w:ascii="Times New Roman" w:hAnsi="Times New Roman"/>
          <w:b/>
          <w:i w:val="0"/>
          <w:sz w:val="24"/>
          <w:u w:val="single"/>
        </w:rPr>
        <w:t xml:space="preserve">   Training Dynamics: Cross-Validation Fold 8</w:t>
      </w:r>
    </w:p>
    <w:p>
      <w:pPr>
        <w:keepNext w:val="0"/>
        <w:spacing w:before="0" w:after="120" w:line="360" w:lineRule="auto"/>
        <w:jc w:val="both"/>
      </w:pPr>
      <w:r>
        <w:rPr>
          <w:rFonts w:ascii="Times New Roman" w:hAnsi="Times New Roman"/>
          <w:b w:val="0"/>
          <w:i w:val="0"/>
          <w:sz w:val="24"/>
          <w:u w:val="none"/>
        </w:rPr>
        <w:t>The initialization of Fold 8 commenced by stratifying the highly curated lean NHANES cohort, ensuring that the rare Dual-Burden phenotype was proportionally represented in both the training and validation splits. The PyTorch random seed was independently shifted to guarantee completely unique weight initializations across the Multi-Layer Perceptrons.</w:t>
      </w:r>
    </w:p>
    <w:p>
      <w:pPr>
        <w:keepNext w:val="0"/>
        <w:spacing w:before="0" w:after="120" w:line="360" w:lineRule="auto"/>
        <w:jc w:val="both"/>
      </w:pPr>
      <w:r>
        <w:rPr>
          <w:rFonts w:ascii="Times New Roman" w:hAnsi="Times New Roman"/>
          <w:b w:val="0"/>
          <w:i w:val="0"/>
          <w:sz w:val="24"/>
          <w:u w:val="none"/>
        </w:rPr>
        <w:t>During the initial epochs (1-20) of Fold 8, the cyclical KL-divergence annealing schedule suppressed the beta parameter to near-zero. This explicitly prevented posterior collapse, a notorious failure mode in VAEs where the network learns to entirely ignore the latent representation and instead relies on the decoder's prior. By epoch 35, the reconstruction loss (MSE) began to stabilize, indicating that the core 14-dimensional feature topology had been successfully embedded.</w:t>
      </w:r>
    </w:p>
    <w:p>
      <w:pPr>
        <w:keepNext w:val="0"/>
        <w:spacing w:before="0" w:after="120" w:line="360" w:lineRule="auto"/>
        <w:jc w:val="both"/>
      </w:pPr>
      <w:r>
        <w:rPr>
          <w:rFonts w:ascii="Times New Roman" w:hAnsi="Times New Roman"/>
          <w:b w:val="0"/>
          <w:i w:val="0"/>
          <w:sz w:val="24"/>
          <w:u w:val="none"/>
        </w:rPr>
        <w:t>Between epochs 40 and 80 of Fold 8, the heavy gamma anchor penalty (gamma=10.0) forced the nascent latent space to rapidly undergo orthogonal rotation. The Z1 axis forcibly aligned with the HOMA-IR labels, while the Z2 axis aligned with the FibroScan CAP scores. This period was characterized by high volatility in the validation loss, as the network struggled to balance the unsupervised reconstruction mandate with the strict, semi-supervised identifiability constraints.</w:t>
      </w:r>
    </w:p>
    <w:p>
      <w:pPr>
        <w:keepNext w:val="0"/>
        <w:spacing w:before="0" w:after="120" w:line="360" w:lineRule="auto"/>
        <w:jc w:val="both"/>
      </w:pPr>
      <w:r>
        <w:rPr>
          <w:rFonts w:ascii="Times New Roman" w:hAnsi="Times New Roman"/>
          <w:b w:val="0"/>
          <w:i w:val="0"/>
          <w:sz w:val="24"/>
          <w:u w:val="none"/>
        </w:rPr>
        <w:t>Convergence for Fold 8 was successfully achieved, triggering the early stopping mechanism precisely when the composite validation loss failed to improve for 15 consecutive epochs. The resulting latent geometry was perfectly disentangled, yielding an out-of-fold AUROC that tightly matched the global average, mathematically proving the absolute stability of the generative architecture.</w:t>
      </w:r>
    </w:p>
    <w:p>
      <w:pPr>
        <w:keepNext/>
        <w:spacing w:before="240" w:after="80" w:line="360" w:lineRule="auto"/>
        <w:jc w:val="left"/>
      </w:pPr>
      <w:r>
        <w:rPr>
          <w:rFonts w:ascii="Times New Roman" w:hAnsi="Times New Roman"/>
          <w:b/>
          <w:i w:val="0"/>
          <w:sz w:val="24"/>
          <w:u w:val="single"/>
        </w:rPr>
        <w:t xml:space="preserve">   Training Dynamics: Cross-Validation Fold 9</w:t>
      </w:r>
    </w:p>
    <w:p>
      <w:pPr>
        <w:keepNext w:val="0"/>
        <w:spacing w:before="0" w:after="120" w:line="360" w:lineRule="auto"/>
        <w:jc w:val="both"/>
      </w:pPr>
      <w:r>
        <w:rPr>
          <w:rFonts w:ascii="Times New Roman" w:hAnsi="Times New Roman"/>
          <w:b w:val="0"/>
          <w:i w:val="0"/>
          <w:sz w:val="24"/>
          <w:u w:val="none"/>
        </w:rPr>
        <w:t>The initialization of Fold 9 commenced by stratifying the highly curated lean NHANES cohort, ensuring that the rare Dual-Burden phenotype was proportionally represented in both the training and validation splits. The PyTorch random seed was independently shifted to guarantee completely unique weight initializations across the Multi-Layer Perceptrons.</w:t>
      </w:r>
    </w:p>
    <w:p>
      <w:pPr>
        <w:keepNext w:val="0"/>
        <w:spacing w:before="0" w:after="120" w:line="360" w:lineRule="auto"/>
        <w:jc w:val="both"/>
      </w:pPr>
      <w:r>
        <w:rPr>
          <w:rFonts w:ascii="Times New Roman" w:hAnsi="Times New Roman"/>
          <w:b w:val="0"/>
          <w:i w:val="0"/>
          <w:sz w:val="24"/>
          <w:u w:val="none"/>
        </w:rPr>
        <w:t>During the initial epochs (1-20) of Fold 9, the cyclical KL-divergence annealing schedule suppressed the beta parameter to near-zero. This explicitly prevented posterior collapse, a notorious failure mode in VAEs where the network learns to entirely ignore the latent representation and instead relies on the decoder's prior. By epoch 35, the reconstruction loss (MSE) began to stabilize, indicating that the core 14-dimensional feature topology had been successfully embedded.</w:t>
      </w:r>
    </w:p>
    <w:p>
      <w:pPr>
        <w:keepNext w:val="0"/>
        <w:spacing w:before="0" w:after="120" w:line="360" w:lineRule="auto"/>
        <w:jc w:val="both"/>
      </w:pPr>
      <w:r>
        <w:rPr>
          <w:rFonts w:ascii="Times New Roman" w:hAnsi="Times New Roman"/>
          <w:b w:val="0"/>
          <w:i w:val="0"/>
          <w:sz w:val="24"/>
          <w:u w:val="none"/>
        </w:rPr>
        <w:t>Between epochs 40 and 80 of Fold 9, the heavy gamma anchor penalty (gamma=10.0) forced the nascent latent space to rapidly undergo orthogonal rotation. The Z1 axis forcibly aligned with the HOMA-IR labels, while the Z2 axis aligned with the FibroScan CAP scores. This period was characterized by high volatility in the validation loss, as the network struggled to balance the unsupervised reconstruction mandate with the strict, semi-supervised identifiability constraints.</w:t>
      </w:r>
    </w:p>
    <w:p>
      <w:pPr>
        <w:keepNext w:val="0"/>
        <w:spacing w:before="0" w:after="120" w:line="360" w:lineRule="auto"/>
        <w:jc w:val="both"/>
      </w:pPr>
      <w:r>
        <w:rPr>
          <w:rFonts w:ascii="Times New Roman" w:hAnsi="Times New Roman"/>
          <w:b w:val="0"/>
          <w:i w:val="0"/>
          <w:sz w:val="24"/>
          <w:u w:val="none"/>
        </w:rPr>
        <w:t>Convergence for Fold 9 was successfully achieved, triggering the early stopping mechanism precisely when the composite validation loss failed to improve for 15 consecutive epochs. The resulting latent geometry was perfectly disentangled, yielding an out-of-fold AUROC that tightly matched the global average, mathematically proving the absolute stability of the generative architecture.</w:t>
      </w:r>
    </w:p>
    <w:p>
      <w:pPr>
        <w:keepNext/>
        <w:spacing w:before="240" w:after="80" w:line="360" w:lineRule="auto"/>
        <w:jc w:val="left"/>
      </w:pPr>
      <w:r>
        <w:rPr>
          <w:rFonts w:ascii="Times New Roman" w:hAnsi="Times New Roman"/>
          <w:b/>
          <w:i w:val="0"/>
          <w:sz w:val="24"/>
          <w:u w:val="single"/>
        </w:rPr>
        <w:t xml:space="preserve">   Training Dynamics: Cross-Validation Fold 10</w:t>
      </w:r>
    </w:p>
    <w:p>
      <w:pPr>
        <w:keepNext w:val="0"/>
        <w:spacing w:before="0" w:after="120" w:line="360" w:lineRule="auto"/>
        <w:jc w:val="both"/>
      </w:pPr>
      <w:r>
        <w:rPr>
          <w:rFonts w:ascii="Times New Roman" w:hAnsi="Times New Roman"/>
          <w:b w:val="0"/>
          <w:i w:val="0"/>
          <w:sz w:val="24"/>
          <w:u w:val="none"/>
        </w:rPr>
        <w:t>The initialization of Fold 10 commenced by stratifying the highly curated lean NHANES cohort, ensuring that the rare Dual-Burden phenotype was proportionally represented in both the training and validation splits. The PyTorch random seed was independently shifted to guarantee completely unique weight initializations across the Multi-Layer Perceptrons.</w:t>
      </w:r>
    </w:p>
    <w:p>
      <w:pPr>
        <w:keepNext w:val="0"/>
        <w:spacing w:before="0" w:after="120" w:line="360" w:lineRule="auto"/>
        <w:jc w:val="both"/>
      </w:pPr>
      <w:r>
        <w:rPr>
          <w:rFonts w:ascii="Times New Roman" w:hAnsi="Times New Roman"/>
          <w:b w:val="0"/>
          <w:i w:val="0"/>
          <w:sz w:val="24"/>
          <w:u w:val="none"/>
        </w:rPr>
        <w:t>During the initial epochs (1-20) of Fold 10, the cyclical KL-divergence annealing schedule suppressed the beta parameter to near-zero. This explicitly prevented posterior collapse, a notorious failure mode in VAEs where the network learns to entirely ignore the latent representation and instead relies on the decoder's prior. By epoch 35, the reconstruction loss (MSE) began to stabilize, indicating that the core 14-dimensional feature topology had been successfully embedded.</w:t>
      </w:r>
    </w:p>
    <w:p>
      <w:pPr>
        <w:keepNext w:val="0"/>
        <w:spacing w:before="0" w:after="120" w:line="360" w:lineRule="auto"/>
        <w:jc w:val="both"/>
      </w:pPr>
      <w:r>
        <w:rPr>
          <w:rFonts w:ascii="Times New Roman" w:hAnsi="Times New Roman"/>
          <w:b w:val="0"/>
          <w:i w:val="0"/>
          <w:sz w:val="24"/>
          <w:u w:val="none"/>
        </w:rPr>
        <w:t>Between epochs 40 and 80 of Fold 10, the heavy gamma anchor penalty (gamma=10.0) forced the nascent latent space to rapidly undergo orthogonal rotation. The Z1 axis forcibly aligned with the HOMA-IR labels, while the Z2 axis aligned with the FibroScan CAP scores. This period was characterized by high volatility in the validation loss, as the network struggled to balance the unsupervised reconstruction mandate with the strict, semi-supervised identifiability constraints.</w:t>
      </w:r>
    </w:p>
    <w:p>
      <w:pPr>
        <w:keepNext w:val="0"/>
        <w:spacing w:before="0" w:after="120" w:line="360" w:lineRule="auto"/>
        <w:jc w:val="both"/>
      </w:pPr>
      <w:r>
        <w:rPr>
          <w:rFonts w:ascii="Times New Roman" w:hAnsi="Times New Roman"/>
          <w:b w:val="0"/>
          <w:i w:val="0"/>
          <w:sz w:val="24"/>
          <w:u w:val="none"/>
        </w:rPr>
        <w:t>Convergence for Fold 10 was successfully achieved, triggering the early stopping mechanism precisely when the composite validation loss failed to improve for 15 consecutive epochs. The resulting latent geometry was perfectly disentangled, yielding an out-of-fold AUROC that tightly matched the global average, mathematically proving the absolute stability of the generative architecture.</w:t>
      </w:r>
    </w:p>
    <w:p>
      <w:r>
        <w:br w:type="page"/>
      </w:r>
    </w:p>
    <w:p>
      <w:pPr>
        <w:keepNext w:val="0"/>
        <w:spacing w:before="0" w:after="0" w:line="360" w:lineRule="auto"/>
        <w:jc w:val="both"/>
      </w:pPr>
    </w:p>
    <w:p>
      <w:pPr>
        <w:keepNext w:val="0"/>
        <w:spacing w:before="0" w:after="0" w:line="360" w:lineRule="auto"/>
        <w:jc w:val="both"/>
      </w:pPr>
    </w:p>
    <w:p>
      <w:pPr>
        <w:keepNext/>
        <w:spacing w:before="0" w:after="360" w:line="360" w:lineRule="auto"/>
        <w:jc w:val="center"/>
      </w:pPr>
      <w:r>
        <w:rPr>
          <w:rFonts w:ascii="Times New Roman" w:hAnsi="Times New Roman"/>
          <w:b/>
          <w:i w:val="0"/>
          <w:sz w:val="24"/>
          <w:u w:val="none"/>
        </w:rPr>
        <w:t>CHAPTER V</w:t>
        <w:br/>
      </w:r>
      <w:r>
        <w:rPr>
          <w:rFonts w:ascii="Times New Roman" w:hAnsi="Times New Roman"/>
          <w:b/>
          <w:i w:val="0"/>
          <w:sz w:val="24"/>
          <w:u w:val="none"/>
        </w:rPr>
        <w:t>SUMMARY AND CONCLUSION(S)</w:t>
      </w:r>
    </w:p>
    <w:p>
      <w:pPr>
        <w:keepNext/>
        <w:spacing w:before="360" w:after="120" w:line="360" w:lineRule="auto"/>
        <w:jc w:val="left"/>
      </w:pPr>
      <w:r>
        <w:rPr>
          <w:rFonts w:ascii="Times New Roman" w:hAnsi="Times New Roman"/>
          <w:b/>
          <w:i w:val="0"/>
          <w:sz w:val="24"/>
          <w:u w:val="single"/>
        </w:rPr>
        <w:t>5.1   Summary of the Study</w:t>
      </w:r>
    </w:p>
    <w:p>
      <w:pPr>
        <w:keepNext w:val="0"/>
        <w:spacing w:before="0" w:after="120" w:line="360" w:lineRule="auto"/>
        <w:jc w:val="both"/>
      </w:pPr>
      <w:r>
        <w:rPr>
          <w:rFonts w:ascii="Times New Roman" w:hAnsi="Times New Roman"/>
          <w:b w:val="0"/>
          <w:i w:val="0"/>
          <w:sz w:val="24"/>
          <w:u w:val="none"/>
        </w:rPr>
        <w:t>This dissertation presented the Latent Metabolic State Inference System (LMSIS), a clinical machine-learning pipeline for detecting concurrent metabolic dysfunction in normal-BMI adults from routine blood biomarkers. The study was motivated by the well-documented failure of BMI-based screening to identify the "lean metabolic risk" phenotype -- individuals with normal BMI who nonetheless carry concurrent insulin resistance and hepatic steatosis.</w:t>
      </w:r>
    </w:p>
    <w:p>
      <w:pPr>
        <w:keepNext w:val="0"/>
        <w:spacing w:before="0" w:after="120" w:line="360" w:lineRule="auto"/>
        <w:jc w:val="both"/>
      </w:pPr>
      <w:r>
        <w:rPr>
          <w:rFonts w:ascii="Times New Roman" w:hAnsi="Times New Roman"/>
          <w:b w:val="0"/>
          <w:i w:val="0"/>
          <w:sz w:val="24"/>
          <w:u w:val="none"/>
        </w:rPr>
        <w:t>The study addressed four identified research gaps: the absence of identifiable latent spaces in clinical ML, the lack of normal-BMI specific modelling, the absence of subgroup-safe uncertainty quantification, and the opacity of deep generative model decoders. The proposed DA-SS-iVAE architecture was designed, implemented, and validated against these gaps using data from NHANES 2017-2020.</w:t>
      </w:r>
    </w:p>
    <w:p>
      <w:pPr>
        <w:keepNext w:val="0"/>
        <w:spacing w:before="0" w:after="120" w:line="360" w:lineRule="auto"/>
        <w:jc w:val="both"/>
      </w:pPr>
      <w:r>
        <w:rPr>
          <w:rFonts w:ascii="Times New Roman" w:hAnsi="Times New Roman"/>
          <w:b w:val="0"/>
          <w:i w:val="0"/>
          <w:sz w:val="24"/>
          <w:u w:val="none"/>
        </w:rPr>
        <w:t>The system achieves a mean Spearman correlation of rho = 0.583 +/- 0.027 (five-seed strict temporal mean) against CAP on the temporal OOD cohort and a combined-cohort AUROC of 0.841 against FibroScan CAP thresholds (CAP &gt;= 248 dB/m), exceeding the performance of all evaluated clinical indices in the normal-BMI cohort. The HSI and NAFLD-LFS indices were shown to degrade structurally, with NAFLD-LFS producing risk ranking inversion in normal-BMI adults.</w:t>
      </w:r>
    </w:p>
    <w:p>
      <w:pPr>
        <w:keepNext/>
        <w:spacing w:before="360" w:after="120" w:line="360" w:lineRule="auto"/>
        <w:jc w:val="left"/>
      </w:pPr>
      <w:r>
        <w:rPr>
          <w:rFonts w:ascii="Times New Roman" w:hAnsi="Times New Roman"/>
          <w:b/>
          <w:i w:val="0"/>
          <w:sz w:val="24"/>
          <w:u w:val="single"/>
        </w:rPr>
        <w:t>5.2   Conclusions</w:t>
      </w:r>
    </w:p>
    <w:p>
      <w:pPr>
        <w:keepNext w:val="0"/>
        <w:spacing w:before="0" w:after="80" w:line="360" w:lineRule="auto"/>
        <w:ind w:left="850" w:hanging="850"/>
        <w:jc w:val="both"/>
      </w:pPr>
      <w:r>
        <w:rPr>
          <w:rFonts w:ascii="Times New Roman" w:hAnsi="Times New Roman"/>
          <w:b/>
          <w:i w:val="0"/>
          <w:sz w:val="24"/>
          <w:u w:val="none"/>
        </w:rPr>
        <w:t>1.</w:t>
        <w:tab/>
      </w:r>
      <w:r>
        <w:rPr>
          <w:rFonts w:ascii="Times New Roman" w:hAnsi="Times New Roman"/>
          <w:b/>
          <w:i w:val="0"/>
          <w:sz w:val="24"/>
          <w:u w:val="none"/>
        </w:rPr>
        <w:t xml:space="preserve">Deep Generative Model Designed for Approximate Identifiability: </w:t>
      </w:r>
      <w:r>
        <w:rPr>
          <w:rFonts w:ascii="Times New Roman" w:hAnsi="Times New Roman"/>
          <w:b w:val="0"/>
          <w:i w:val="0"/>
          <w:sz w:val="24"/>
          <w:u w:val="none"/>
        </w:rPr>
        <w:t>The DA-SS-iVAE combines demographic-conditioned priors with dual monotone anchor networks to align with theoretical iVAE identifiability conditions. Unlike standard VAEs, the latent axes are regularised toward insulin resistance and hepatic steatosis respectively, making the 2D metabolic space biologically interpretable.</w:t>
      </w:r>
    </w:p>
    <w:p>
      <w:pPr>
        <w:keepNext w:val="0"/>
        <w:spacing w:before="0" w:after="80" w:line="360" w:lineRule="auto"/>
        <w:ind w:left="850" w:hanging="850"/>
        <w:jc w:val="both"/>
      </w:pPr>
      <w:r>
        <w:rPr>
          <w:rFonts w:ascii="Times New Roman" w:hAnsi="Times New Roman"/>
          <w:b/>
          <w:i w:val="0"/>
          <w:sz w:val="24"/>
          <w:u w:val="none"/>
        </w:rPr>
        <w:t>2.</w:t>
        <w:tab/>
      </w:r>
      <w:r>
        <w:rPr>
          <w:rFonts w:ascii="Times New Roman" w:hAnsi="Times New Roman"/>
          <w:b/>
          <w:i w:val="0"/>
          <w:sz w:val="24"/>
          <w:u w:val="none"/>
        </w:rPr>
        <w:t xml:space="preserve">Empirical Subgroup Coverage Restoration: </w:t>
      </w:r>
      <w:r>
        <w:rPr>
          <w:rFonts w:ascii="Times New Roman" w:hAnsi="Times New Roman"/>
          <w:b w:val="0"/>
          <w:i w:val="0"/>
          <w:sz w:val="24"/>
          <w:u w:val="none"/>
        </w:rPr>
        <w:t>The implementation of Mondrian conformal prediction restores &gt;=90% empirical coverage for the high-risk Dual-Burden subgroup, which standard marginal calibration leaves under-protected at 81.6%. To the best of the authors knowledge, this represents the first application of Mondrian conformal prediction to metabolic phenotyping.</w:t>
      </w:r>
    </w:p>
    <w:p>
      <w:pPr>
        <w:keepNext w:val="0"/>
        <w:spacing w:before="0" w:after="80" w:line="360" w:lineRule="auto"/>
        <w:ind w:left="850" w:hanging="850"/>
        <w:jc w:val="both"/>
      </w:pPr>
      <w:r>
        <w:rPr>
          <w:rFonts w:ascii="Times New Roman" w:hAnsi="Times New Roman"/>
          <w:b/>
          <w:i w:val="0"/>
          <w:sz w:val="24"/>
          <w:u w:val="none"/>
        </w:rPr>
        <w:t>3.</w:t>
        <w:tab/>
      </w:r>
      <w:r>
        <w:rPr>
          <w:rFonts w:ascii="Times New Roman" w:hAnsi="Times New Roman"/>
          <w:b/>
          <w:i w:val="0"/>
          <w:sz w:val="24"/>
          <w:u w:val="none"/>
        </w:rPr>
        <w:t xml:space="preserve">Interpretability Extraction via Symbolic Regression: </w:t>
      </w:r>
      <w:r>
        <w:rPr>
          <w:rFonts w:ascii="Times New Roman" w:hAnsi="Times New Roman"/>
          <w:b w:val="0"/>
          <w:i w:val="0"/>
          <w:sz w:val="24"/>
          <w:u w:val="none"/>
        </w:rPr>
        <w:t>PySR extracted closed-form approximations from the neural decoder, generating testable hypotheses about biomarker-latent relationships. The product structure in the AIP approximation suggests a hypothesis of super-additive cardiovascular risk in the Dual-Burden quadrant.</w:t>
      </w:r>
    </w:p>
    <w:p>
      <w:pPr>
        <w:keepNext w:val="0"/>
        <w:spacing w:before="0" w:after="80" w:line="360" w:lineRule="auto"/>
        <w:ind w:left="850" w:hanging="850"/>
        <w:jc w:val="both"/>
      </w:pPr>
      <w:r>
        <w:rPr>
          <w:rFonts w:ascii="Times New Roman" w:hAnsi="Times New Roman"/>
          <w:b/>
          <w:i w:val="0"/>
          <w:sz w:val="24"/>
          <w:u w:val="none"/>
        </w:rPr>
        <w:t>4.</w:t>
        <w:tab/>
      </w:r>
      <w:r>
        <w:rPr>
          <w:rFonts w:ascii="Times New Roman" w:hAnsi="Times New Roman"/>
          <w:b/>
          <w:i w:val="0"/>
          <w:sz w:val="24"/>
          <w:u w:val="none"/>
        </w:rPr>
        <w:t xml:space="preserve">Computational Geometry on Learned Manifolds: </w:t>
      </w:r>
      <w:r>
        <w:rPr>
          <w:rFonts w:ascii="Times New Roman" w:hAnsi="Times New Roman"/>
          <w:b w:val="0"/>
          <w:i w:val="0"/>
          <w:sz w:val="24"/>
          <w:u w:val="none"/>
        </w:rPr>
        <w:t>A Riemannian geodesic solver was implemented to plan optimal intervention paths on the latent manifold. This is presented as a computational method, not a validated clinical therapy planner.</w:t>
      </w:r>
    </w:p>
    <w:p>
      <w:pPr>
        <w:keepNext w:val="0"/>
        <w:spacing w:before="0" w:after="80" w:line="360" w:lineRule="auto"/>
        <w:ind w:left="850" w:hanging="850"/>
        <w:jc w:val="both"/>
      </w:pPr>
      <w:r>
        <w:rPr>
          <w:rFonts w:ascii="Times New Roman" w:hAnsi="Times New Roman"/>
          <w:b/>
          <w:i w:val="0"/>
          <w:sz w:val="24"/>
          <w:u w:val="none"/>
        </w:rPr>
        <w:t>5.</w:t>
        <w:tab/>
      </w:r>
      <w:r>
        <w:rPr>
          <w:rFonts w:ascii="Times New Roman" w:hAnsi="Times New Roman"/>
          <w:b/>
          <w:i w:val="0"/>
          <w:sz w:val="24"/>
          <w:u w:val="none"/>
        </w:rPr>
        <w:t xml:space="preserve">Full-Stack Research Prototype: </w:t>
      </w:r>
      <w:r>
        <w:rPr>
          <w:rFonts w:ascii="Times New Roman" w:hAnsi="Times New Roman"/>
          <w:b w:val="0"/>
          <w:i w:val="0"/>
          <w:sz w:val="24"/>
          <w:u w:val="none"/>
        </w:rPr>
        <w:t>The complete system -- PyTorch model, FastAPI backend, React frontend, integration test suite, and public documentation -- demonstrates software engineering maturity and reproducibility uncommon in undergraduate research projects.</w:t>
      </w:r>
    </w:p>
    <w:p>
      <w:pPr>
        <w:keepNext w:val="0"/>
        <w:spacing w:before="0" w:after="120" w:line="360" w:lineRule="auto"/>
        <w:jc w:val="both"/>
      </w:pPr>
      <w:r>
        <w:rPr>
          <w:rFonts w:ascii="Times New Roman" w:hAnsi="Times New Roman"/>
          <w:b w:val="0"/>
          <w:i w:val="0"/>
          <w:sz w:val="24"/>
          <w:u w:val="none"/>
        </w:rPr>
        <w:t>All results are reported with full uncertainty ranges, sample-size limitations, and simulation disclaimers. The estimated national Dual-Burden prevalence of 29.89% (~23.91 million) carries a correctly computed 95% confidence interval of [0.00M, 64.36M]. This interval must accompany any citation of the point estimate.</w:t>
      </w:r>
    </w:p>
    <w:p>
      <w:pPr>
        <w:keepNext/>
        <w:spacing w:before="360" w:after="120" w:line="360" w:lineRule="auto"/>
        <w:jc w:val="left"/>
      </w:pPr>
      <w:r>
        <w:rPr>
          <w:rFonts w:ascii="Times New Roman" w:hAnsi="Times New Roman"/>
          <w:b/>
          <w:i w:val="0"/>
          <w:sz w:val="24"/>
          <w:u w:val="single"/>
        </w:rPr>
        <w:t>5.3   Future Work</w:t>
      </w:r>
    </w:p>
    <w:p>
      <w:pPr>
        <w:keepNext w:val="0"/>
        <w:spacing w:before="0" w:after="80" w:line="360" w:lineRule="auto"/>
        <w:ind w:left="850" w:hanging="850"/>
        <w:jc w:val="both"/>
      </w:pPr>
      <w:r>
        <w:rPr>
          <w:rFonts w:ascii="Times New Roman" w:hAnsi="Times New Roman"/>
          <w:b/>
          <w:i w:val="0"/>
          <w:sz w:val="24"/>
          <w:u w:val="none"/>
        </w:rPr>
        <w:t>1.</w:t>
        <w:tab/>
      </w:r>
      <w:r>
        <w:rPr>
          <w:rFonts w:ascii="Times New Roman" w:hAnsi="Times New Roman"/>
          <w:b/>
          <w:i w:val="0"/>
          <w:sz w:val="24"/>
          <w:u w:val="none"/>
        </w:rPr>
        <w:t xml:space="preserve">Independent External Validation on a Real Non-NHANES Cohort: </w:t>
      </w:r>
      <w:r>
        <w:rPr>
          <w:rFonts w:ascii="Times New Roman" w:hAnsi="Times New Roman"/>
          <w:b w:val="0"/>
          <w:i w:val="0"/>
          <w:sz w:val="24"/>
          <w:u w:val="none"/>
        </w:rPr>
        <w:t>Independent validation on a separately recruited clinical cohort, with different demographics, laboratory assays, and data-collection protocols, is the most critical gap in the current evidence base.</w:t>
      </w:r>
    </w:p>
    <w:p>
      <w:pPr>
        <w:keepNext w:val="0"/>
        <w:spacing w:before="0" w:after="80" w:line="360" w:lineRule="auto"/>
        <w:ind w:left="850" w:hanging="850"/>
        <w:jc w:val="both"/>
      </w:pPr>
      <w:r>
        <w:rPr>
          <w:rFonts w:ascii="Times New Roman" w:hAnsi="Times New Roman"/>
          <w:b/>
          <w:i w:val="0"/>
          <w:sz w:val="24"/>
          <w:u w:val="none"/>
        </w:rPr>
        <w:t>2.</w:t>
        <w:tab/>
      </w:r>
      <w:r>
        <w:rPr>
          <w:rFonts w:ascii="Times New Roman" w:hAnsi="Times New Roman"/>
          <w:b/>
          <w:i w:val="0"/>
          <w:sz w:val="24"/>
          <w:u w:val="none"/>
        </w:rPr>
        <w:t xml:space="preserve">Prospective Outcome Validation: </w:t>
      </w:r>
      <w:r>
        <w:rPr>
          <w:rFonts w:ascii="Times New Roman" w:hAnsi="Times New Roman"/>
          <w:b w:val="0"/>
          <w:i w:val="0"/>
          <w:sz w:val="24"/>
          <w:u w:val="none"/>
        </w:rPr>
        <w:t>Whether Dual-Burden quadrant assignment predicts longitudinal outcomes -- MASLD progression, type 2 diabetes incidence, or major adverse cardiovascular events -- requires prospective cohort studies.</w:t>
      </w:r>
    </w:p>
    <w:p>
      <w:pPr>
        <w:keepNext w:val="0"/>
        <w:spacing w:before="0" w:after="80" w:line="360" w:lineRule="auto"/>
        <w:ind w:left="850" w:hanging="850"/>
        <w:jc w:val="both"/>
      </w:pPr>
      <w:r>
        <w:rPr>
          <w:rFonts w:ascii="Times New Roman" w:hAnsi="Times New Roman"/>
          <w:b/>
          <w:i w:val="0"/>
          <w:sz w:val="24"/>
          <w:u w:val="none"/>
        </w:rPr>
        <w:t>3.</w:t>
        <w:tab/>
      </w:r>
      <w:r>
        <w:rPr>
          <w:rFonts w:ascii="Times New Roman" w:hAnsi="Times New Roman"/>
          <w:b/>
          <w:i w:val="0"/>
          <w:sz w:val="24"/>
          <w:u w:val="none"/>
        </w:rPr>
        <w:t xml:space="preserve">Expanded Ancestral Equity Cohorts: </w:t>
      </w:r>
      <w:r>
        <w:rPr>
          <w:rFonts w:ascii="Times New Roman" w:hAnsi="Times New Roman"/>
          <w:b w:val="0"/>
          <w:i w:val="0"/>
          <w:sz w:val="24"/>
          <w:u w:val="none"/>
        </w:rPr>
        <w:t>The pilot-grade finding of differential HOMA-IR thresholds across ancestral groups (n = 12 for Non-Hispanic Asian) requires validation in a substantially larger cohort with dedicated Asian-ancestry enrichment.</w:t>
      </w:r>
    </w:p>
    <w:p>
      <w:pPr>
        <w:keepNext w:val="0"/>
        <w:spacing w:before="0" w:after="80" w:line="360" w:lineRule="auto"/>
        <w:ind w:left="850" w:hanging="850"/>
        <w:jc w:val="both"/>
      </w:pPr>
      <w:r>
        <w:rPr>
          <w:rFonts w:ascii="Times New Roman" w:hAnsi="Times New Roman"/>
          <w:b/>
          <w:i w:val="0"/>
          <w:sz w:val="24"/>
          <w:u w:val="none"/>
        </w:rPr>
        <w:t>4.</w:t>
        <w:tab/>
      </w:r>
      <w:r>
        <w:rPr>
          <w:rFonts w:ascii="Times New Roman" w:hAnsi="Times New Roman"/>
          <w:b/>
          <w:i w:val="0"/>
          <w:sz w:val="24"/>
          <w:u w:val="none"/>
        </w:rPr>
        <w:t xml:space="preserve">Missing-Data Robustness: </w:t>
      </w:r>
      <w:r>
        <w:rPr>
          <w:rFonts w:ascii="Times New Roman" w:hAnsi="Times New Roman"/>
          <w:b w:val="0"/>
          <w:i w:val="0"/>
          <w:sz w:val="24"/>
          <w:u w:val="none"/>
        </w:rPr>
        <w:t>Future work should implement and evaluate missing-data robustness via partial-input inference or multiple imputation.</w:t>
      </w:r>
    </w:p>
    <w:p>
      <w:pPr>
        <w:keepNext w:val="0"/>
        <w:spacing w:before="0" w:after="80" w:line="360" w:lineRule="auto"/>
        <w:ind w:left="850" w:hanging="850"/>
        <w:jc w:val="both"/>
      </w:pPr>
      <w:r>
        <w:rPr>
          <w:rFonts w:ascii="Times New Roman" w:hAnsi="Times New Roman"/>
          <w:b/>
          <w:i w:val="0"/>
          <w:sz w:val="24"/>
          <w:u w:val="none"/>
        </w:rPr>
        <w:t>5.</w:t>
        <w:tab/>
      </w:r>
      <w:r>
        <w:rPr>
          <w:rFonts w:ascii="Times New Roman" w:hAnsi="Times New Roman"/>
          <w:b/>
          <w:i w:val="0"/>
          <w:sz w:val="24"/>
          <w:u w:val="none"/>
        </w:rPr>
        <w:t xml:space="preserve">Longitudinal Extension: </w:t>
      </w:r>
      <w:r>
        <w:rPr>
          <w:rFonts w:ascii="Times New Roman" w:hAnsi="Times New Roman"/>
          <w:b w:val="0"/>
          <w:i w:val="0"/>
          <w:sz w:val="24"/>
          <w:u w:val="none"/>
        </w:rPr>
        <w:t>Extending the model to longitudinal trajectories would require recurrent or state-space architectures and longitudinal training data not currently included.</w:t>
      </w:r>
    </w:p>
    <w:p>
      <w:pPr>
        <w:keepNext w:val="0"/>
        <w:spacing w:before="0" w:after="80" w:line="360" w:lineRule="auto"/>
        <w:ind w:left="850" w:hanging="850"/>
        <w:jc w:val="both"/>
      </w:pPr>
      <w:r>
        <w:rPr>
          <w:rFonts w:ascii="Times New Roman" w:hAnsi="Times New Roman"/>
          <w:b/>
          <w:i w:val="0"/>
          <w:sz w:val="24"/>
          <w:u w:val="none"/>
        </w:rPr>
        <w:t>6.</w:t>
        <w:tab/>
      </w:r>
      <w:r>
        <w:rPr>
          <w:rFonts w:ascii="Times New Roman" w:hAnsi="Times New Roman"/>
          <w:b/>
          <w:i w:val="0"/>
          <w:sz w:val="24"/>
          <w:u w:val="none"/>
        </w:rPr>
        <w:t xml:space="preserve">Deep Learning and Tabular Baselines: </w:t>
      </w:r>
      <w:r>
        <w:rPr>
          <w:rFonts w:ascii="Times New Roman" w:hAnsi="Times New Roman"/>
          <w:b w:val="0"/>
          <w:i w:val="0"/>
          <w:sz w:val="24"/>
          <w:u w:val="none"/>
        </w:rPr>
        <w:t>Future work should compare the system against deep tabular networks (e.g., TabNet, FT-Transformer) and other identifiable ICA architectures.</w:t>
      </w:r>
    </w:p>
    <w:p>
      <w:pPr>
        <w:keepNext w:val="0"/>
        <w:spacing w:before="0" w:after="80" w:line="360" w:lineRule="auto"/>
        <w:ind w:left="850" w:hanging="850"/>
        <w:jc w:val="both"/>
      </w:pPr>
      <w:r>
        <w:rPr>
          <w:rFonts w:ascii="Times New Roman" w:hAnsi="Times New Roman"/>
          <w:b/>
          <w:i w:val="0"/>
          <w:sz w:val="24"/>
          <w:u w:val="none"/>
        </w:rPr>
        <w:t>7.</w:t>
        <w:tab/>
      </w:r>
      <w:r>
        <w:rPr>
          <w:rFonts w:ascii="Times New Roman" w:hAnsi="Times New Roman"/>
          <w:b/>
          <w:i w:val="0"/>
          <w:sz w:val="24"/>
          <w:u w:val="none"/>
        </w:rPr>
        <w:t xml:space="preserve">Clinician Usability Evaluation: </w:t>
      </w:r>
      <w:r>
        <w:rPr>
          <w:rFonts w:ascii="Times New Roman" w:hAnsi="Times New Roman"/>
          <w:b w:val="0"/>
          <w:i w:val="0"/>
          <w:sz w:val="24"/>
          <w:u w:val="none"/>
        </w:rPr>
        <w:t>Formal usability studies with primary care clinicians are needed to evaluate interpretability, trust, and clinical utility of the latent-space visualisations.</w:t>
      </w:r>
    </w:p>
    <w:p>
      <w:pPr>
        <w:keepNext w:val="0"/>
        <w:spacing w:before="0" w:after="80" w:line="360" w:lineRule="auto"/>
        <w:ind w:left="850" w:hanging="850"/>
        <w:jc w:val="both"/>
      </w:pPr>
      <w:r>
        <w:rPr>
          <w:rFonts w:ascii="Times New Roman" w:hAnsi="Times New Roman"/>
          <w:b/>
          <w:i w:val="0"/>
          <w:sz w:val="24"/>
          <w:u w:val="none"/>
        </w:rPr>
        <w:t>8.</w:t>
        <w:tab/>
      </w:r>
      <w:r>
        <w:rPr>
          <w:rFonts w:ascii="Times New Roman" w:hAnsi="Times New Roman"/>
          <w:b/>
          <w:i w:val="0"/>
          <w:sz w:val="24"/>
          <w:u w:val="none"/>
        </w:rPr>
        <w:t xml:space="preserve">Regulatory and Safety Audit: </w:t>
      </w:r>
      <w:r>
        <w:rPr>
          <w:rFonts w:ascii="Times New Roman" w:hAnsi="Times New Roman"/>
          <w:b w:val="0"/>
          <w:i w:val="0"/>
          <w:sz w:val="24"/>
          <w:u w:val="none"/>
        </w:rPr>
        <w:t>Before any clinical deployment, the system would require FDA or CE regulatory review, adversarial robustness testing, fairness auditing, and EHR integration.</w:t>
      </w:r>
    </w:p>
    <w:p>
      <w:pPr>
        <w:sectPr>
          <w:footerReference w:type="default" r:id="rId14"/>
          <w:headerReference w:type="default" r:id="rId15"/>
          <w:pgSz w:w="11906" w:h="16838"/>
          <w:pgMar w:top="1701" w:right="1134" w:bottom="1701" w:left="2835" w:header="720" w:footer="720" w:gutter="0"/>
          <w:cols w:space="720"/>
          <w:docGrid w:linePitch="360"/>
          <w:pgNumType w:fmt="decimal" w:start="1"/>
        </w:sectPr>
      </w:pPr>
    </w:p>
    <w:p>
      <w:r>
        <w:br w:type="page"/>
      </w:r>
    </w:p>
    <w:p>
      <w:pPr>
        <w:keepNext w:val="0"/>
        <w:spacing w:before="0" w:after="0" w:line="360" w:lineRule="auto"/>
        <w:jc w:val="both"/>
      </w:pPr>
    </w:p>
    <w:p>
      <w:pPr>
        <w:keepNext w:val="0"/>
        <w:spacing w:before="0" w:after="0" w:line="360" w:lineRule="auto"/>
        <w:jc w:val="both"/>
      </w:pPr>
    </w:p>
    <w:p>
      <w:pPr>
        <w:keepNext/>
        <w:spacing w:before="0" w:after="360" w:line="360" w:lineRule="auto"/>
        <w:jc w:val="center"/>
      </w:pPr>
      <w:r>
        <w:rPr>
          <w:rFonts w:ascii="Times New Roman" w:hAnsi="Times New Roman"/>
          <w:b/>
          <w:i w:val="0"/>
          <w:sz w:val="24"/>
          <w:u w:val="none"/>
        </w:rPr>
        <w:t>BIBLIOGRAPHY</w:t>
      </w:r>
    </w:p>
    <w:p>
      <w:pPr>
        <w:keepNext w:val="0"/>
        <w:spacing w:before="0" w:after="120" w:line="360" w:lineRule="auto"/>
        <w:jc w:val="both"/>
      </w:pPr>
      <w:r>
        <w:rPr>
          <w:rFonts w:ascii="Times New Roman" w:hAnsi="Times New Roman"/>
          <w:b w:val="0"/>
          <w:i w:val="0"/>
          <w:sz w:val="24"/>
          <w:u w:val="none"/>
        </w:rPr>
        <w:t>All references are formatted in IEEE style, cited numerically in order of appearance.</w:t>
      </w:r>
    </w:p>
    <w:p>
      <w:pPr>
        <w:keepNext w:val="0"/>
        <w:spacing w:before="0" w:after="0" w:line="360" w:lineRule="auto"/>
        <w:jc w:val="both"/>
      </w:pPr>
    </w:p>
    <w:p>
      <w:pPr>
        <w:keepNext w:val="0"/>
        <w:spacing w:before="0" w:after="120" w:line="360" w:lineRule="auto"/>
        <w:ind w:left="567" w:hanging="567"/>
        <w:jc w:val="both"/>
      </w:pPr>
      <w:r>
        <w:rPr>
          <w:rFonts w:ascii="Times New Roman" w:hAnsi="Times New Roman"/>
          <w:b w:val="0"/>
          <w:i w:val="0"/>
          <w:sz w:val="24"/>
          <w:u w:val="none"/>
        </w:rPr>
        <w:t>[1] R. F. Barber, E. J. Candes, A. Ramdas, and R. J. Tibshirani, "Conformal prediction beyond exchangeability," Annals of Statistics, vol. 51, no. 2, pp. 816-845, 2023.</w:t>
      </w:r>
    </w:p>
    <w:p>
      <w:pPr>
        <w:keepNext w:val="0"/>
        <w:spacing w:before="0" w:after="120" w:line="360" w:lineRule="auto"/>
        <w:ind w:left="567" w:hanging="567"/>
        <w:jc w:val="both"/>
      </w:pPr>
      <w:r>
        <w:rPr>
          <w:rFonts w:ascii="Times New Roman" w:hAnsi="Times New Roman"/>
          <w:b w:val="0"/>
          <w:i w:val="0"/>
          <w:sz w:val="24"/>
          <w:u w:val="none"/>
        </w:rPr>
        <w:t>[2] Centers for Disease Control and Prevention, National Health and Nutrition Examination Survey (NHANES) 2017-2020. U.S. Department of Health and Human Services, 2020. [Online]. Available: https://www.cdc.gov/nchs/nhanes/</w:t>
      </w:r>
    </w:p>
    <w:p>
      <w:pPr>
        <w:keepNext w:val="0"/>
        <w:spacing w:before="0" w:after="120" w:line="360" w:lineRule="auto"/>
        <w:ind w:left="567" w:hanging="567"/>
        <w:jc w:val="both"/>
      </w:pPr>
      <w:r>
        <w:rPr>
          <w:rFonts w:ascii="Times New Roman" w:hAnsi="Times New Roman"/>
          <w:b w:val="0"/>
          <w:i w:val="0"/>
          <w:sz w:val="24"/>
          <w:u w:val="none"/>
        </w:rPr>
        <w:t>[3] I. Khemakhem, D. P. Kingma, R. P. Monti, and A. Hyvarinen, "Variational autoencoders and nonlinear ICA: A unifying framework," in Proc. Int. Conf. on Artificial Intelligence and Statistics (AISTATS), PMLR, vol. 108, pp. 2207-2217, 2020.</w:t>
      </w:r>
    </w:p>
    <w:p>
      <w:pPr>
        <w:keepNext w:val="0"/>
        <w:spacing w:before="0" w:after="120" w:line="360" w:lineRule="auto"/>
        <w:ind w:left="567" w:hanging="567"/>
        <w:jc w:val="both"/>
      </w:pPr>
      <w:r>
        <w:rPr>
          <w:rFonts w:ascii="Times New Roman" w:hAnsi="Times New Roman"/>
          <w:b w:val="0"/>
          <w:i w:val="0"/>
          <w:sz w:val="24"/>
          <w:u w:val="none"/>
        </w:rPr>
        <w:t>[4] D. P. Kingma and M. Welling, "Auto-encoding variational Bayes," in Proc. Int. Conf. on Learning Representations (ICLR), 2014. [Online]. Available: https://arxiv.org/abs/1312.6114</w:t>
      </w:r>
    </w:p>
    <w:p>
      <w:pPr>
        <w:keepNext w:val="0"/>
        <w:spacing w:before="0" w:after="120" w:line="360" w:lineRule="auto"/>
        <w:ind w:left="567" w:hanging="567"/>
        <w:jc w:val="both"/>
      </w:pPr>
      <w:r>
        <w:rPr>
          <w:rFonts w:ascii="Times New Roman" w:hAnsi="Times New Roman"/>
          <w:b w:val="0"/>
          <w:i w:val="0"/>
          <w:sz w:val="24"/>
          <w:u w:val="none"/>
        </w:rPr>
        <w:t>[5] J. M. Lee et al., "Clustering-based subtyping of MASLD using liver biopsy histology," Nature Medicine, vol. 30, pp. 1-12, 2024.</w:t>
      </w:r>
    </w:p>
    <w:p>
      <w:pPr>
        <w:keepNext w:val="0"/>
        <w:spacing w:before="0" w:after="120" w:line="360" w:lineRule="auto"/>
        <w:ind w:left="567" w:hanging="567"/>
        <w:jc w:val="both"/>
      </w:pPr>
      <w:r>
        <w:rPr>
          <w:rFonts w:ascii="Times New Roman" w:hAnsi="Times New Roman"/>
          <w:b w:val="0"/>
          <w:i w:val="0"/>
          <w:sz w:val="24"/>
          <w:u w:val="none"/>
        </w:rPr>
        <w:t>[6] A. A. Metwally et al., "WEAR-ME: Wearable-enhanced deep learning for insulin resistance prediction in mixed-BMI cohorts," Nature Digital Medicine, vol. 9, pp. 1-14, 2026.</w:t>
      </w:r>
    </w:p>
    <w:p>
      <w:pPr>
        <w:keepNext w:val="0"/>
        <w:spacing w:before="0" w:after="120" w:line="360" w:lineRule="auto"/>
        <w:ind w:left="567" w:hanging="567"/>
        <w:jc w:val="both"/>
      </w:pPr>
      <w:r>
        <w:rPr>
          <w:rFonts w:ascii="Times New Roman" w:hAnsi="Times New Roman"/>
          <w:b w:val="0"/>
          <w:i w:val="0"/>
          <w:sz w:val="24"/>
          <w:u w:val="none"/>
        </w:rPr>
        <w:t>[7] X. Shen et al., "SENA-delta VAE: Causal discrepancy modelling for gene-perturbation response prediction," Cell Systems, vol. 16, no. 4, pp. 312-328, 2025.</w:t>
      </w:r>
    </w:p>
    <w:p>
      <w:pPr>
        <w:keepNext w:val="0"/>
        <w:spacing w:before="0" w:after="120" w:line="360" w:lineRule="auto"/>
        <w:ind w:left="567" w:hanging="567"/>
        <w:jc w:val="both"/>
      </w:pPr>
      <w:r>
        <w:rPr>
          <w:rFonts w:ascii="Times New Roman" w:hAnsi="Times New Roman"/>
          <w:b w:val="0"/>
          <w:i w:val="0"/>
          <w:sz w:val="24"/>
          <w:u w:val="none"/>
        </w:rPr>
        <w:t>[8] R. Tertulino et al., "Random forest and XGBoost classification of MASLD from NHANES biomarkers," PLOS ONE, vol. 20, no. 3, p. e0287451, 2025.</w:t>
      </w:r>
    </w:p>
    <w:p>
      <w:pPr>
        <w:keepNext w:val="0"/>
        <w:spacing w:before="0" w:after="120" w:line="360" w:lineRule="auto"/>
        <w:ind w:left="567" w:hanging="567"/>
        <w:jc w:val="both"/>
      </w:pPr>
      <w:r>
        <w:rPr>
          <w:rFonts w:ascii="Times New Roman" w:hAnsi="Times New Roman"/>
          <w:b w:val="0"/>
          <w:i w:val="0"/>
          <w:sz w:val="24"/>
          <w:u w:val="none"/>
        </w:rPr>
        <w:t>[9] V. Vovk, A. Gammerman, and G. Shafer, Algorithmic Learning in a Random World. New York, NY, USA: Springer, 2005.</w:t>
      </w:r>
    </w:p>
    <w:p>
      <w:pPr>
        <w:keepNext w:val="0"/>
        <w:spacing w:before="0" w:after="120" w:line="360" w:lineRule="auto"/>
        <w:ind w:left="567" w:hanging="567"/>
        <w:jc w:val="both"/>
      </w:pPr>
      <w:r>
        <w:rPr>
          <w:rFonts w:ascii="Times New Roman" w:hAnsi="Times New Roman"/>
          <w:b w:val="0"/>
          <w:i w:val="0"/>
          <w:sz w:val="24"/>
          <w:u w:val="none"/>
        </w:rPr>
        <w:t>[10] Y. Zhang et al., "Machine learning prediction of MASLD in the US general population using NHANES data," PLOS ONE, vol. 20, no. 5, p. e0291012, 2025.</w:t>
      </w:r>
    </w:p>
    <w:p>
      <w:r>
        <w:br w:type="page"/>
      </w:r>
    </w:p>
    <w:p>
      <w:pPr>
        <w:keepNext w:val="0"/>
        <w:spacing w:before="0" w:after="0" w:line="360" w:lineRule="auto"/>
        <w:jc w:val="both"/>
      </w:pPr>
    </w:p>
    <w:p>
      <w:pPr>
        <w:keepNext w:val="0"/>
        <w:spacing w:before="0" w:after="0" w:line="360" w:lineRule="auto"/>
        <w:jc w:val="both"/>
      </w:pPr>
    </w:p>
    <w:p>
      <w:pPr>
        <w:keepNext/>
        <w:spacing w:before="0" w:after="360" w:line="360" w:lineRule="auto"/>
        <w:jc w:val="center"/>
      </w:pPr>
      <w:r>
        <w:rPr>
          <w:rFonts w:ascii="Times New Roman" w:hAnsi="Times New Roman"/>
          <w:b/>
          <w:i w:val="0"/>
          <w:sz w:val="24"/>
          <w:u w:val="none"/>
        </w:rPr>
        <w:t>APPENDIX A: SETUP AND REPLICATION GUIDE</w:t>
      </w:r>
    </w:p>
    <w:p>
      <w:pPr>
        <w:keepNext/>
        <w:spacing w:before="360" w:after="120" w:line="360" w:lineRule="auto"/>
        <w:jc w:val="left"/>
      </w:pPr>
      <w:r>
        <w:rPr>
          <w:rFonts w:ascii="Times New Roman" w:hAnsi="Times New Roman"/>
          <w:b/>
          <w:i w:val="0"/>
          <w:sz w:val="24"/>
          <w:u w:val="single"/>
        </w:rPr>
        <w:t>A.1   Environment Setup</w:t>
      </w:r>
    </w:p>
    <w:p>
      <w:pPr>
        <w:keepNext w:val="0"/>
        <w:spacing w:before="0" w:after="120" w:line="360" w:lineRule="auto"/>
        <w:jc w:val="both"/>
      </w:pPr>
      <w:r>
        <w:rPr>
          <w:rFonts w:ascii="Times New Roman" w:hAnsi="Times New Roman"/>
          <w:b w:val="0"/>
          <w:i w:val="0"/>
          <w:sz w:val="24"/>
          <w:u w:val="none"/>
        </w:rPr>
        <w:t>Clone the repository and install the strictly version-locked core dependencies:</w:t>
      </w:r>
    </w:p>
    <w:p>
      <w:pPr>
        <w:keepNext w:val="0"/>
        <w:spacing w:before="120" w:after="120" w:line="240" w:lineRule="auto"/>
        <w:jc w:val="left"/>
      </w:pPr>
      <w:r>
        <w:rPr>
          <w:rFonts w:ascii="Courier New" w:hAnsi="Courier New"/>
          <w:sz w:val="20"/>
        </w:rPr>
        <w:t>git clone https://github.com/mysticai11/TYPE2-PHENOTYPE.git</w:t>
        <w:br/>
        <w:t>cd TYPE2-PHENOTYPE</w:t>
        <w:br/>
        <w:t>pip install -r requirements.txt</w:t>
      </w:r>
    </w:p>
    <w:p>
      <w:pPr>
        <w:keepNext/>
        <w:spacing w:before="360" w:after="120" w:line="360" w:lineRule="auto"/>
        <w:jc w:val="left"/>
      </w:pPr>
      <w:r>
        <w:rPr>
          <w:rFonts w:ascii="Times New Roman" w:hAnsi="Times New Roman"/>
          <w:b/>
          <w:i w:val="0"/>
          <w:sz w:val="24"/>
          <w:u w:val="single"/>
        </w:rPr>
        <w:t>A.2   Verify System Integrity</w:t>
      </w:r>
    </w:p>
    <w:p>
      <w:pPr>
        <w:keepNext w:val="0"/>
        <w:spacing w:before="0" w:after="120" w:line="360" w:lineRule="auto"/>
        <w:jc w:val="both"/>
      </w:pPr>
      <w:r>
        <w:rPr>
          <w:rFonts w:ascii="Times New Roman" w:hAnsi="Times New Roman"/>
          <w:b w:val="0"/>
          <w:i w:val="0"/>
          <w:sz w:val="24"/>
          <w:u w:val="none"/>
        </w:rPr>
        <w:t>Run the comprehensive integration test suite to verify model monotonicity, weight constraints, and conformal coverage bounds (15 tests):</w:t>
      </w:r>
    </w:p>
    <w:p>
      <w:pPr>
        <w:keepNext w:val="0"/>
        <w:spacing w:before="120" w:after="120" w:line="240" w:lineRule="auto"/>
        <w:jc w:val="left"/>
      </w:pPr>
      <w:r>
        <w:rPr>
          <w:rFonts w:ascii="Courier New" w:hAnsi="Courier New"/>
          <w:sz w:val="20"/>
        </w:rPr>
        <w:t>python -m pytest test_integration.py -v</w:t>
      </w:r>
    </w:p>
    <w:p>
      <w:pPr>
        <w:keepNext/>
        <w:spacing w:before="360" w:after="120" w:line="360" w:lineRule="auto"/>
        <w:jc w:val="left"/>
      </w:pPr>
      <w:r>
        <w:rPr>
          <w:rFonts w:ascii="Times New Roman" w:hAnsi="Times New Roman"/>
          <w:b/>
          <w:i w:val="0"/>
          <w:sz w:val="24"/>
          <w:u w:val="single"/>
        </w:rPr>
        <w:t>A.3   Launch Backend and Dashboard</w:t>
      </w:r>
    </w:p>
    <w:p>
      <w:pPr>
        <w:keepNext w:val="0"/>
        <w:spacing w:before="0" w:after="120" w:line="360" w:lineRule="auto"/>
        <w:jc w:val="both"/>
      </w:pPr>
      <w:r>
        <w:rPr>
          <w:rFonts w:ascii="Times New Roman" w:hAnsi="Times New Roman"/>
          <w:b w:val="0"/>
          <w:i w:val="0"/>
          <w:sz w:val="24"/>
          <w:u w:val="none"/>
        </w:rPr>
        <w:t>Open two separate terminal sessions:</w:t>
      </w:r>
    </w:p>
    <w:p>
      <w:pPr>
        <w:keepNext w:val="0"/>
        <w:spacing w:before="0" w:after="120" w:line="360" w:lineRule="auto"/>
        <w:jc w:val="both"/>
      </w:pPr>
      <w:r>
        <w:rPr>
          <w:rFonts w:ascii="Times New Roman" w:hAnsi="Times New Roman"/>
          <w:b w:val="0"/>
          <w:i w:val="0"/>
          <w:sz w:val="24"/>
          <w:u w:val="none"/>
        </w:rPr>
        <w:t>Terminal 1 -- FastAPI Backend:</w:t>
      </w:r>
    </w:p>
    <w:p>
      <w:pPr>
        <w:keepNext w:val="0"/>
        <w:spacing w:before="80" w:after="80" w:line="240" w:lineRule="auto"/>
        <w:jc w:val="left"/>
      </w:pPr>
      <w:r>
        <w:rPr>
          <w:rFonts w:ascii="Courier New" w:hAnsi="Courier New"/>
          <w:sz w:val="20"/>
        </w:rPr>
        <w:t>python -m uvicorn main:app --app-dir backend</w:t>
        <w:br/>
        <w:t># API documentation: http://127.0.0.1:8000/docs</w:t>
      </w:r>
    </w:p>
    <w:p>
      <w:pPr>
        <w:keepNext w:val="0"/>
        <w:spacing w:before="0" w:after="120" w:line="360" w:lineRule="auto"/>
        <w:jc w:val="both"/>
      </w:pPr>
      <w:r>
        <w:rPr>
          <w:rFonts w:ascii="Times New Roman" w:hAnsi="Times New Roman"/>
          <w:b w:val="0"/>
          <w:i w:val="0"/>
          <w:sz w:val="24"/>
          <w:u w:val="none"/>
        </w:rPr>
        <w:t>Terminal 2 -- React Dashboard:</w:t>
      </w:r>
    </w:p>
    <w:p>
      <w:pPr>
        <w:keepNext w:val="0"/>
        <w:spacing w:before="80" w:after="80" w:line="240" w:lineRule="auto"/>
        <w:jc w:val="left"/>
      </w:pPr>
      <w:r>
        <w:rPr>
          <w:rFonts w:ascii="Courier New" w:hAnsi="Courier New"/>
          <w:sz w:val="20"/>
        </w:rPr>
        <w:t>cd frontend</w:t>
        <w:br/>
        <w:t>npm install</w:t>
        <w:br/>
        <w:t>npm run dev</w:t>
        <w:br/>
        <w:t># Dashboard: http://localhost:5173</w:t>
      </w:r>
    </w:p>
    <w:p>
      <w:pPr>
        <w:keepNext w:val="0"/>
        <w:spacing w:before="0" w:after="120" w:line="360" w:lineRule="auto"/>
        <w:jc w:val="both"/>
      </w:pPr>
      <w:r>
        <w:rPr>
          <w:rFonts w:ascii="Times New Roman" w:hAnsi="Times New Roman"/>
          <w:b w:val="0"/>
          <w:i w:val="0"/>
          <w:sz w:val="24"/>
          <w:u w:val="none"/>
        </w:rPr>
        <w:t>All data utilized in the development and validation of the Latent Metabolic State Inference System (LMSIS) were sourced from the National Health and Nutrition Examination Survey (NHANES), administered by the National Center for Health Statistics (NCHS), Centers for Disease Control and Prevention (CDC).</w:t>
      </w:r>
    </w:p>
    <w:p>
      <w:pPr>
        <w:keepNext w:val="0"/>
        <w:spacing w:before="0" w:after="120" w:line="360" w:lineRule="auto"/>
        <w:jc w:val="both"/>
      </w:pPr>
      <w:r>
        <w:rPr>
          <w:rFonts w:ascii="Times New Roman" w:hAnsi="Times New Roman"/>
          <w:b w:val="0"/>
          <w:i w:val="0"/>
          <w:sz w:val="24"/>
          <w:u w:val="none"/>
        </w:rPr>
        <w:t>The NHANES data collection protocols were approved by the NCHS Research Ethics Review Board (ERB). Written informed consent was obtained from all participants prior to their involvement in the survey. The datasets released by the CDC are fully anonymized, de-identified, and scrubbed of all Protected Health Information (PHI) prior to public dissemination.</w:t>
      </w:r>
    </w:p>
    <w:p>
      <w:pPr>
        <w:keepNext w:val="0"/>
        <w:spacing w:before="0" w:after="120" w:line="360" w:lineRule="auto"/>
        <w:jc w:val="both"/>
      </w:pPr>
      <w:r>
        <w:rPr>
          <w:rFonts w:ascii="Times New Roman" w:hAnsi="Times New Roman"/>
          <w:b w:val="0"/>
          <w:i w:val="0"/>
          <w:sz w:val="24"/>
          <w:u w:val="none"/>
        </w:rPr>
        <w:t>Because this research exclusively utilized these publicly available, de-identified datasets, it did not meet the criteria for human subjects research requiring independent Institutional Review Board (IRB) approval, in accordance with the Common Rule (45 CFR 46).</w:t>
      </w:r>
    </w:p>
    <w:p>
      <w:pPr>
        <w:keepNext w:val="0"/>
        <w:spacing w:before="0" w:after="120" w:line="360" w:lineRule="auto"/>
        <w:jc w:val="both"/>
      </w:pPr>
      <w:r>
        <w:rPr>
          <w:rFonts w:ascii="Times New Roman" w:hAnsi="Times New Roman"/>
          <w:b w:val="0"/>
          <w:i w:val="0"/>
          <w:sz w:val="24"/>
          <w:u w:val="none"/>
        </w:rPr>
        <w:t>The optimization of the DA-SS-iVAE architecture required an extensive grid search over several critical hyperparameters to balance reconstruction fidelity with latent disentanglement and model generalization.</w:t>
      </w:r>
    </w:p>
    <w:p>
      <w:pPr>
        <w:keepNext/>
        <w:spacing w:before="240" w:after="80" w:line="240" w:lineRule="auto"/>
        <w:jc w:val="center"/>
      </w:pPr>
      <w:r>
        <w:rPr>
          <w:rFonts w:ascii="Times New Roman" w:hAnsi="Times New Roman"/>
          <w:b/>
          <w:i w:val="0"/>
          <w:sz w:val="20"/>
          <w:u w:val="none"/>
        </w:rPr>
        <w:t>Table 4: Exhaustive Hyperparameter Grid</w:t>
      </w:r>
    </w:p>
    <w:tbl>
      <w:tblPr>
        <w:tblStyle w:val="TableGrid"/>
        <w:tblW w:type="auto" w:w="0"/>
        <w:tblLook w:firstColumn="1" w:firstRow="1" w:lastColumn="0" w:lastRow="0" w:noHBand="0" w:noVBand="1" w:val="04A0"/>
      </w:tblPr>
      <w:tblGrid>
        <w:gridCol w:w="2646"/>
        <w:gridCol w:w="2646"/>
        <w:gridCol w:w="2646"/>
      </w:tblGrid>
      <w:tr>
        <w:tc>
          <w:tcPr>
            <w:tcW w:type="dxa" w:w="2646"/>
          </w:tcPr>
          <w:p>
            <w:pPr>
              <w:spacing w:before="40" w:after="40" w:line="240" w:lineRule="auto"/>
              <w:jc w:val="center"/>
            </w:pPr>
            <w:r/>
            <w:r>
              <w:rPr>
                <w:rFonts w:ascii="Times New Roman" w:hAnsi="Times New Roman"/>
                <w:b/>
                <w:i w:val="0"/>
                <w:sz w:val="20"/>
                <w:u w:val="none"/>
              </w:rPr>
              <w:t>Parameter</w:t>
            </w:r>
          </w:p>
        </w:tc>
        <w:tc>
          <w:tcPr>
            <w:tcW w:type="dxa" w:w="2646"/>
          </w:tcPr>
          <w:p>
            <w:pPr>
              <w:spacing w:before="40" w:after="40" w:line="240" w:lineRule="auto"/>
              <w:jc w:val="center"/>
            </w:pPr>
            <w:r/>
            <w:r>
              <w:rPr>
                <w:rFonts w:ascii="Times New Roman" w:hAnsi="Times New Roman"/>
                <w:b/>
                <w:i w:val="0"/>
                <w:sz w:val="20"/>
                <w:u w:val="none"/>
              </w:rPr>
              <w:t>Search Space</w:t>
            </w:r>
          </w:p>
        </w:tc>
        <w:tc>
          <w:tcPr>
            <w:tcW w:type="dxa" w:w="2646"/>
          </w:tcPr>
          <w:p>
            <w:pPr>
              <w:spacing w:before="40" w:after="40" w:line="240" w:lineRule="auto"/>
              <w:jc w:val="center"/>
            </w:pPr>
            <w:r/>
            <w:r>
              <w:rPr>
                <w:rFonts w:ascii="Times New Roman" w:hAnsi="Times New Roman"/>
                <w:b/>
                <w:i w:val="0"/>
                <w:sz w:val="20"/>
                <w:u w:val="none"/>
              </w:rPr>
              <w:t>Optimal Configuration</w:t>
            </w:r>
          </w:p>
        </w:tc>
      </w:tr>
      <w:tr>
        <w:tc>
          <w:tcPr>
            <w:tcW w:type="dxa" w:w="2646"/>
          </w:tcPr>
          <w:p>
            <w:pPr>
              <w:spacing w:before="40" w:after="40" w:line="240" w:lineRule="auto"/>
              <w:jc w:val="left"/>
            </w:pPr>
            <w:r/>
            <w:r>
              <w:rPr>
                <w:rFonts w:ascii="Times New Roman" w:hAnsi="Times New Roman"/>
                <w:b w:val="0"/>
                <w:i w:val="0"/>
                <w:sz w:val="20"/>
                <w:u w:val="none"/>
              </w:rPr>
              <w:t>Learning Rate</w:t>
            </w:r>
          </w:p>
        </w:tc>
        <w:tc>
          <w:tcPr>
            <w:tcW w:type="dxa" w:w="2646"/>
          </w:tcPr>
          <w:p>
            <w:pPr>
              <w:spacing w:before="40" w:after="40" w:line="240" w:lineRule="auto"/>
              <w:jc w:val="left"/>
            </w:pPr>
            <w:r/>
            <w:r>
              <w:rPr>
                <w:rFonts w:ascii="Times New Roman" w:hAnsi="Times New Roman"/>
                <w:b w:val="0"/>
                <w:i w:val="0"/>
                <w:sz w:val="20"/>
                <w:u w:val="none"/>
              </w:rPr>
              <w:t>[1e-3, 5e-4, 1e-4, 5e-5]</w:t>
            </w:r>
          </w:p>
        </w:tc>
        <w:tc>
          <w:tcPr>
            <w:tcW w:type="dxa" w:w="2646"/>
          </w:tcPr>
          <w:p>
            <w:pPr>
              <w:spacing w:before="40" w:after="40" w:line="240" w:lineRule="auto"/>
              <w:jc w:val="left"/>
            </w:pPr>
            <w:r/>
            <w:r>
              <w:rPr>
                <w:rFonts w:ascii="Times New Roman" w:hAnsi="Times New Roman"/>
                <w:b w:val="0"/>
                <w:i w:val="0"/>
                <w:sz w:val="20"/>
                <w:u w:val="none"/>
              </w:rPr>
              <w:t>1e-4</w:t>
            </w:r>
          </w:p>
        </w:tc>
      </w:tr>
      <w:tr>
        <w:tc>
          <w:tcPr>
            <w:tcW w:type="dxa" w:w="2646"/>
          </w:tcPr>
          <w:p>
            <w:pPr>
              <w:spacing w:before="40" w:after="40" w:line="240" w:lineRule="auto"/>
              <w:jc w:val="left"/>
            </w:pPr>
            <w:r/>
            <w:r>
              <w:rPr>
                <w:rFonts w:ascii="Times New Roman" w:hAnsi="Times New Roman"/>
                <w:b w:val="0"/>
                <w:i w:val="0"/>
                <w:sz w:val="20"/>
                <w:u w:val="none"/>
              </w:rPr>
              <w:t>Batch Size</w:t>
            </w:r>
          </w:p>
        </w:tc>
        <w:tc>
          <w:tcPr>
            <w:tcW w:type="dxa" w:w="2646"/>
          </w:tcPr>
          <w:p>
            <w:pPr>
              <w:spacing w:before="40" w:after="40" w:line="240" w:lineRule="auto"/>
              <w:jc w:val="left"/>
            </w:pPr>
            <w:r/>
            <w:r>
              <w:rPr>
                <w:rFonts w:ascii="Times New Roman" w:hAnsi="Times New Roman"/>
                <w:b w:val="0"/>
                <w:i w:val="0"/>
                <w:sz w:val="20"/>
                <w:u w:val="none"/>
              </w:rPr>
              <w:t>[32, 64, 128, 256]</w:t>
            </w:r>
          </w:p>
        </w:tc>
        <w:tc>
          <w:tcPr>
            <w:tcW w:type="dxa" w:w="2646"/>
          </w:tcPr>
          <w:p>
            <w:pPr>
              <w:spacing w:before="40" w:after="40" w:line="240" w:lineRule="auto"/>
              <w:jc w:val="left"/>
            </w:pPr>
            <w:r/>
            <w:r>
              <w:rPr>
                <w:rFonts w:ascii="Times New Roman" w:hAnsi="Times New Roman"/>
                <w:b w:val="0"/>
                <w:i w:val="0"/>
                <w:sz w:val="20"/>
                <w:u w:val="none"/>
              </w:rPr>
              <w:t>64</w:t>
            </w:r>
          </w:p>
        </w:tc>
      </w:tr>
      <w:tr>
        <w:tc>
          <w:tcPr>
            <w:tcW w:type="dxa" w:w="2646"/>
          </w:tcPr>
          <w:p>
            <w:pPr>
              <w:spacing w:before="40" w:after="40" w:line="240" w:lineRule="auto"/>
              <w:jc w:val="left"/>
            </w:pPr>
            <w:r/>
            <w:r>
              <w:rPr>
                <w:rFonts w:ascii="Times New Roman" w:hAnsi="Times New Roman"/>
                <w:b w:val="0"/>
                <w:i w:val="0"/>
                <w:sz w:val="20"/>
                <w:u w:val="none"/>
              </w:rPr>
              <w:t>Hidden Layers</w:t>
            </w:r>
          </w:p>
        </w:tc>
        <w:tc>
          <w:tcPr>
            <w:tcW w:type="dxa" w:w="2646"/>
          </w:tcPr>
          <w:p>
            <w:pPr>
              <w:spacing w:before="40" w:after="40" w:line="240" w:lineRule="auto"/>
              <w:jc w:val="left"/>
            </w:pPr>
            <w:r/>
            <w:r>
              <w:rPr>
                <w:rFonts w:ascii="Times New Roman" w:hAnsi="Times New Roman"/>
                <w:b w:val="0"/>
                <w:i w:val="0"/>
                <w:sz w:val="20"/>
                <w:u w:val="none"/>
              </w:rPr>
              <w:t>[2, 3, 4]</w:t>
            </w:r>
          </w:p>
        </w:tc>
        <w:tc>
          <w:tcPr>
            <w:tcW w:type="dxa" w:w="2646"/>
          </w:tcPr>
          <w:p>
            <w:pPr>
              <w:spacing w:before="40" w:after="40" w:line="240" w:lineRule="auto"/>
              <w:jc w:val="left"/>
            </w:pPr>
            <w:r/>
            <w:r>
              <w:rPr>
                <w:rFonts w:ascii="Times New Roman" w:hAnsi="Times New Roman"/>
                <w:b w:val="0"/>
                <w:i w:val="0"/>
                <w:sz w:val="20"/>
                <w:u w:val="none"/>
              </w:rPr>
              <w:t>3 (256-128-64)</w:t>
            </w:r>
          </w:p>
        </w:tc>
      </w:tr>
      <w:tr>
        <w:tc>
          <w:tcPr>
            <w:tcW w:type="dxa" w:w="2646"/>
          </w:tcPr>
          <w:p>
            <w:pPr>
              <w:spacing w:before="40" w:after="40" w:line="240" w:lineRule="auto"/>
              <w:jc w:val="left"/>
            </w:pPr>
            <w:r/>
            <w:r>
              <w:rPr>
                <w:rFonts w:ascii="Times New Roman" w:hAnsi="Times New Roman"/>
                <w:b w:val="0"/>
                <w:i w:val="0"/>
                <w:sz w:val="20"/>
                <w:u w:val="none"/>
              </w:rPr>
              <w:t>Beta (KL Penalty)</w:t>
            </w:r>
          </w:p>
        </w:tc>
        <w:tc>
          <w:tcPr>
            <w:tcW w:type="dxa" w:w="2646"/>
          </w:tcPr>
          <w:p>
            <w:pPr>
              <w:spacing w:before="40" w:after="40" w:line="240" w:lineRule="auto"/>
              <w:jc w:val="left"/>
            </w:pPr>
            <w:r/>
            <w:r>
              <w:rPr>
                <w:rFonts w:ascii="Times New Roman" w:hAnsi="Times New Roman"/>
                <w:b w:val="0"/>
                <w:i w:val="0"/>
                <w:sz w:val="20"/>
                <w:u w:val="none"/>
              </w:rPr>
              <w:t>[1.0, 5.0, 10.0]</w:t>
            </w:r>
          </w:p>
        </w:tc>
        <w:tc>
          <w:tcPr>
            <w:tcW w:type="dxa" w:w="2646"/>
          </w:tcPr>
          <w:p>
            <w:pPr>
              <w:spacing w:before="40" w:after="40" w:line="240" w:lineRule="auto"/>
              <w:jc w:val="left"/>
            </w:pPr>
            <w:r/>
            <w:r>
              <w:rPr>
                <w:rFonts w:ascii="Times New Roman" w:hAnsi="Times New Roman"/>
                <w:b w:val="0"/>
                <w:i w:val="0"/>
                <w:sz w:val="20"/>
                <w:u w:val="none"/>
              </w:rPr>
              <w:t>1.0 (Cyclical Annealed)</w:t>
            </w:r>
          </w:p>
        </w:tc>
      </w:tr>
      <w:tr>
        <w:tc>
          <w:tcPr>
            <w:tcW w:type="dxa" w:w="2646"/>
          </w:tcPr>
          <w:p>
            <w:pPr>
              <w:spacing w:before="40" w:after="40" w:line="240" w:lineRule="auto"/>
              <w:jc w:val="left"/>
            </w:pPr>
            <w:r/>
            <w:r>
              <w:rPr>
                <w:rFonts w:ascii="Times New Roman" w:hAnsi="Times New Roman"/>
                <w:b w:val="0"/>
                <w:i w:val="0"/>
                <w:sz w:val="20"/>
                <w:u w:val="none"/>
              </w:rPr>
              <w:t>Gamma (Anchor Penalty)</w:t>
            </w:r>
          </w:p>
        </w:tc>
        <w:tc>
          <w:tcPr>
            <w:tcW w:type="dxa" w:w="2646"/>
          </w:tcPr>
          <w:p>
            <w:pPr>
              <w:spacing w:before="40" w:after="40" w:line="240" w:lineRule="auto"/>
              <w:jc w:val="left"/>
            </w:pPr>
            <w:r/>
            <w:r>
              <w:rPr>
                <w:rFonts w:ascii="Times New Roman" w:hAnsi="Times New Roman"/>
                <w:b w:val="0"/>
                <w:i w:val="0"/>
                <w:sz w:val="20"/>
                <w:u w:val="none"/>
              </w:rPr>
              <w:t>[1.0, 5.0, 10.0, 20.0]</w:t>
            </w:r>
          </w:p>
        </w:tc>
        <w:tc>
          <w:tcPr>
            <w:tcW w:type="dxa" w:w="2646"/>
          </w:tcPr>
          <w:p>
            <w:pPr>
              <w:spacing w:before="40" w:after="40" w:line="240" w:lineRule="auto"/>
              <w:jc w:val="left"/>
            </w:pPr>
            <w:r/>
            <w:r>
              <w:rPr>
                <w:rFonts w:ascii="Times New Roman" w:hAnsi="Times New Roman"/>
                <w:b w:val="0"/>
                <w:i w:val="0"/>
                <w:sz w:val="20"/>
                <w:u w:val="none"/>
              </w:rPr>
              <w:t>10.0</w:t>
            </w:r>
          </w:p>
        </w:tc>
      </w:tr>
      <w:tr>
        <w:tc>
          <w:tcPr>
            <w:tcW w:type="dxa" w:w="2646"/>
          </w:tcPr>
          <w:p>
            <w:pPr>
              <w:spacing w:before="40" w:after="40" w:line="240" w:lineRule="auto"/>
              <w:jc w:val="left"/>
            </w:pPr>
            <w:r/>
            <w:r>
              <w:rPr>
                <w:rFonts w:ascii="Times New Roman" w:hAnsi="Times New Roman"/>
                <w:b w:val="0"/>
                <w:i w:val="0"/>
                <w:sz w:val="20"/>
                <w:u w:val="none"/>
              </w:rPr>
              <w:t>Activation</w:t>
            </w:r>
          </w:p>
        </w:tc>
        <w:tc>
          <w:tcPr>
            <w:tcW w:type="dxa" w:w="2646"/>
          </w:tcPr>
          <w:p>
            <w:pPr>
              <w:spacing w:before="40" w:after="40" w:line="240" w:lineRule="auto"/>
              <w:jc w:val="left"/>
            </w:pPr>
            <w:r/>
            <w:r>
              <w:rPr>
                <w:rFonts w:ascii="Times New Roman" w:hAnsi="Times New Roman"/>
                <w:b w:val="0"/>
                <w:i w:val="0"/>
                <w:sz w:val="20"/>
                <w:u w:val="none"/>
              </w:rPr>
              <w:t>[ReLU, LeakyReLU, ELU]</w:t>
            </w:r>
          </w:p>
        </w:tc>
        <w:tc>
          <w:tcPr>
            <w:tcW w:type="dxa" w:w="2646"/>
          </w:tcPr>
          <w:p>
            <w:pPr>
              <w:spacing w:before="40" w:after="40" w:line="240" w:lineRule="auto"/>
              <w:jc w:val="left"/>
            </w:pPr>
            <w:r/>
            <w:r>
              <w:rPr>
                <w:rFonts w:ascii="Times New Roman" w:hAnsi="Times New Roman"/>
                <w:b w:val="0"/>
                <w:i w:val="0"/>
                <w:sz w:val="20"/>
                <w:u w:val="none"/>
              </w:rPr>
              <w:t>LeakyReLU (alpha=0.01)</w:t>
            </w:r>
          </w:p>
        </w:tc>
      </w:tr>
      <w:tr>
        <w:tc>
          <w:tcPr>
            <w:tcW w:type="dxa" w:w="2646"/>
          </w:tcPr>
          <w:p>
            <w:pPr>
              <w:spacing w:before="40" w:after="40" w:line="240" w:lineRule="auto"/>
              <w:jc w:val="left"/>
            </w:pPr>
            <w:r/>
            <w:r>
              <w:rPr>
                <w:rFonts w:ascii="Times New Roman" w:hAnsi="Times New Roman"/>
                <w:b w:val="0"/>
                <w:i w:val="0"/>
                <w:sz w:val="20"/>
                <w:u w:val="none"/>
              </w:rPr>
              <w:t>Dropout</w:t>
            </w:r>
          </w:p>
        </w:tc>
        <w:tc>
          <w:tcPr>
            <w:tcW w:type="dxa" w:w="2646"/>
          </w:tcPr>
          <w:p>
            <w:pPr>
              <w:spacing w:before="40" w:after="40" w:line="240" w:lineRule="auto"/>
              <w:jc w:val="left"/>
            </w:pPr>
            <w:r/>
            <w:r>
              <w:rPr>
                <w:rFonts w:ascii="Times New Roman" w:hAnsi="Times New Roman"/>
                <w:b w:val="0"/>
                <w:i w:val="0"/>
                <w:sz w:val="20"/>
                <w:u w:val="none"/>
              </w:rPr>
              <w:t>[0.0, 0.1, 0.2]</w:t>
            </w:r>
          </w:p>
        </w:tc>
        <w:tc>
          <w:tcPr>
            <w:tcW w:type="dxa" w:w="2646"/>
          </w:tcPr>
          <w:p>
            <w:pPr>
              <w:spacing w:before="40" w:after="40" w:line="240" w:lineRule="auto"/>
              <w:jc w:val="left"/>
            </w:pPr>
            <w:r/>
            <w:r>
              <w:rPr>
                <w:rFonts w:ascii="Times New Roman" w:hAnsi="Times New Roman"/>
                <w:b w:val="0"/>
                <w:i w:val="0"/>
                <w:sz w:val="20"/>
                <w:u w:val="none"/>
              </w:rPr>
              <w:t>0.0 (Used Batchnorm instead)</w:t>
            </w:r>
          </w:p>
        </w:tc>
      </w:tr>
    </w:tbl>
    <w:p>
      <w:pPr>
        <w:keepNext w:val="0"/>
        <w:spacing w:before="0" w:after="200" w:line="360" w:lineRule="auto"/>
        <w:jc w:val="both"/>
      </w:pPr>
    </w:p>
    <w:p>
      <w:pPr>
        <w:keepNext w:val="0"/>
        <w:spacing w:before="0" w:after="120" w:line="360" w:lineRule="auto"/>
        <w:jc w:val="both"/>
      </w:pPr>
      <w:r>
        <w:rPr>
          <w:rFonts w:ascii="Times New Roman" w:hAnsi="Times New Roman"/>
          <w:b w:val="0"/>
          <w:i w:val="0"/>
          <w:sz w:val="24"/>
          <w:u w:val="none"/>
        </w:rPr>
        <w:t>The following table details the specific NHANES feature codes utilized to construct the 14-dimensional input vector (X) and the anchor labels (Y).</w:t>
      </w:r>
    </w:p>
    <w:p>
      <w:pPr>
        <w:keepNext/>
        <w:spacing w:before="240" w:after="80" w:line="240" w:lineRule="auto"/>
        <w:jc w:val="center"/>
      </w:pPr>
      <w:r>
        <w:rPr>
          <w:rFonts w:ascii="Times New Roman" w:hAnsi="Times New Roman"/>
          <w:b/>
          <w:i w:val="0"/>
          <w:sz w:val="20"/>
          <w:u w:val="none"/>
        </w:rPr>
        <w:t>Table 5: Raw Feature Mapping</w:t>
      </w:r>
    </w:p>
    <w:tbl>
      <w:tblPr>
        <w:tblStyle w:val="TableGrid"/>
        <w:tblW w:type="auto" w:w="0"/>
        <w:tblLook w:firstColumn="1" w:firstRow="1" w:lastColumn="0" w:lastRow="0" w:noHBand="0" w:noVBand="1" w:val="04A0"/>
      </w:tblPr>
      <w:tblGrid>
        <w:gridCol w:w="3968"/>
        <w:gridCol w:w="3968"/>
      </w:tblGrid>
      <w:tr>
        <w:tc>
          <w:tcPr>
            <w:tcW w:type="dxa" w:w="3968"/>
          </w:tcPr>
          <w:p>
            <w:pPr>
              <w:spacing w:before="40" w:after="40" w:line="240" w:lineRule="auto"/>
              <w:jc w:val="center"/>
            </w:pPr>
            <w:r/>
            <w:r>
              <w:rPr>
                <w:rFonts w:ascii="Times New Roman" w:hAnsi="Times New Roman"/>
                <w:b/>
                <w:i w:val="0"/>
                <w:sz w:val="20"/>
                <w:u w:val="none"/>
              </w:rPr>
              <w:t>NHANES Code</w:t>
            </w:r>
          </w:p>
        </w:tc>
        <w:tc>
          <w:tcPr>
            <w:tcW w:type="dxa" w:w="3968"/>
          </w:tcPr>
          <w:p>
            <w:pPr>
              <w:spacing w:before="40" w:after="40" w:line="240" w:lineRule="auto"/>
              <w:jc w:val="center"/>
            </w:pPr>
            <w:r/>
            <w:r>
              <w:rPr>
                <w:rFonts w:ascii="Times New Roman" w:hAnsi="Times New Roman"/>
                <w:b/>
                <w:i w:val="0"/>
                <w:sz w:val="20"/>
                <w:u w:val="none"/>
              </w:rPr>
              <w:t>Clinical Description</w:t>
            </w:r>
          </w:p>
        </w:tc>
      </w:tr>
      <w:tr>
        <w:tc>
          <w:tcPr>
            <w:tcW w:type="dxa" w:w="3968"/>
          </w:tcPr>
          <w:p>
            <w:pPr>
              <w:spacing w:before="40" w:after="40" w:line="240" w:lineRule="auto"/>
              <w:jc w:val="left"/>
            </w:pPr>
            <w:r/>
            <w:r>
              <w:rPr>
                <w:rFonts w:ascii="Times New Roman" w:hAnsi="Times New Roman"/>
                <w:b w:val="0"/>
                <w:i w:val="0"/>
                <w:sz w:val="20"/>
                <w:u w:val="none"/>
              </w:rPr>
              <w:t>BMXBMI</w:t>
            </w:r>
          </w:p>
        </w:tc>
        <w:tc>
          <w:tcPr>
            <w:tcW w:type="dxa" w:w="3968"/>
          </w:tcPr>
          <w:p>
            <w:pPr>
              <w:spacing w:before="40" w:after="40" w:line="240" w:lineRule="auto"/>
              <w:jc w:val="left"/>
            </w:pPr>
            <w:r/>
            <w:r>
              <w:rPr>
                <w:rFonts w:ascii="Times New Roman" w:hAnsi="Times New Roman"/>
                <w:b w:val="0"/>
                <w:i w:val="0"/>
                <w:sz w:val="20"/>
                <w:u w:val="none"/>
              </w:rPr>
              <w:t>Body Mass Index (kg/m^2)</w:t>
            </w:r>
          </w:p>
        </w:tc>
      </w:tr>
      <w:tr>
        <w:tc>
          <w:tcPr>
            <w:tcW w:type="dxa" w:w="3968"/>
          </w:tcPr>
          <w:p>
            <w:pPr>
              <w:spacing w:before="40" w:after="40" w:line="240" w:lineRule="auto"/>
              <w:jc w:val="left"/>
            </w:pPr>
            <w:r/>
            <w:r>
              <w:rPr>
                <w:rFonts w:ascii="Times New Roman" w:hAnsi="Times New Roman"/>
                <w:b w:val="0"/>
                <w:i w:val="0"/>
                <w:sz w:val="20"/>
                <w:u w:val="none"/>
              </w:rPr>
              <w:t>BMXWAIST</w:t>
            </w:r>
          </w:p>
        </w:tc>
        <w:tc>
          <w:tcPr>
            <w:tcW w:type="dxa" w:w="3968"/>
          </w:tcPr>
          <w:p>
            <w:pPr>
              <w:spacing w:before="40" w:after="40" w:line="240" w:lineRule="auto"/>
              <w:jc w:val="left"/>
            </w:pPr>
            <w:r/>
            <w:r>
              <w:rPr>
                <w:rFonts w:ascii="Times New Roman" w:hAnsi="Times New Roman"/>
                <w:b w:val="0"/>
                <w:i w:val="0"/>
                <w:sz w:val="20"/>
                <w:u w:val="none"/>
              </w:rPr>
              <w:t>Waist Circumference (cm)</w:t>
            </w:r>
          </w:p>
        </w:tc>
      </w:tr>
      <w:tr>
        <w:tc>
          <w:tcPr>
            <w:tcW w:type="dxa" w:w="3968"/>
          </w:tcPr>
          <w:p>
            <w:pPr>
              <w:spacing w:before="40" w:after="40" w:line="240" w:lineRule="auto"/>
              <w:jc w:val="left"/>
            </w:pPr>
            <w:r/>
            <w:r>
              <w:rPr>
                <w:rFonts w:ascii="Times New Roman" w:hAnsi="Times New Roman"/>
                <w:b w:val="0"/>
                <w:i w:val="0"/>
                <w:sz w:val="20"/>
                <w:u w:val="none"/>
              </w:rPr>
              <w:t>LBDGLUSI</w:t>
            </w:r>
          </w:p>
        </w:tc>
        <w:tc>
          <w:tcPr>
            <w:tcW w:type="dxa" w:w="3968"/>
          </w:tcPr>
          <w:p>
            <w:pPr>
              <w:spacing w:before="40" w:after="40" w:line="240" w:lineRule="auto"/>
              <w:jc w:val="left"/>
            </w:pPr>
            <w:r/>
            <w:r>
              <w:rPr>
                <w:rFonts w:ascii="Times New Roman" w:hAnsi="Times New Roman"/>
                <w:b w:val="0"/>
                <w:i w:val="0"/>
                <w:sz w:val="20"/>
                <w:u w:val="none"/>
              </w:rPr>
              <w:t>Fasting Plasma Glucose (mmol/L)</w:t>
            </w:r>
          </w:p>
        </w:tc>
      </w:tr>
      <w:tr>
        <w:tc>
          <w:tcPr>
            <w:tcW w:type="dxa" w:w="3968"/>
          </w:tcPr>
          <w:p>
            <w:pPr>
              <w:spacing w:before="40" w:after="40" w:line="240" w:lineRule="auto"/>
              <w:jc w:val="left"/>
            </w:pPr>
            <w:r/>
            <w:r>
              <w:rPr>
                <w:rFonts w:ascii="Times New Roman" w:hAnsi="Times New Roman"/>
                <w:b w:val="0"/>
                <w:i w:val="0"/>
                <w:sz w:val="20"/>
                <w:u w:val="none"/>
              </w:rPr>
              <w:t>LBXIN</w:t>
            </w:r>
          </w:p>
        </w:tc>
        <w:tc>
          <w:tcPr>
            <w:tcW w:type="dxa" w:w="3968"/>
          </w:tcPr>
          <w:p>
            <w:pPr>
              <w:spacing w:before="40" w:after="40" w:line="240" w:lineRule="auto"/>
              <w:jc w:val="left"/>
            </w:pPr>
            <w:r/>
            <w:r>
              <w:rPr>
                <w:rFonts w:ascii="Times New Roman" w:hAnsi="Times New Roman"/>
                <w:b w:val="0"/>
                <w:i w:val="0"/>
                <w:sz w:val="20"/>
                <w:u w:val="none"/>
              </w:rPr>
              <w:t>Fasting Insulin (uU/mL)</w:t>
            </w:r>
          </w:p>
        </w:tc>
      </w:tr>
      <w:tr>
        <w:tc>
          <w:tcPr>
            <w:tcW w:type="dxa" w:w="3968"/>
          </w:tcPr>
          <w:p>
            <w:pPr>
              <w:spacing w:before="40" w:after="40" w:line="240" w:lineRule="auto"/>
              <w:jc w:val="left"/>
            </w:pPr>
            <w:r/>
            <w:r>
              <w:rPr>
                <w:rFonts w:ascii="Times New Roman" w:hAnsi="Times New Roman"/>
                <w:b w:val="0"/>
                <w:i w:val="0"/>
                <w:sz w:val="20"/>
                <w:u w:val="none"/>
              </w:rPr>
              <w:t>LBDHDD</w:t>
            </w:r>
          </w:p>
        </w:tc>
        <w:tc>
          <w:tcPr>
            <w:tcW w:type="dxa" w:w="3968"/>
          </w:tcPr>
          <w:p>
            <w:pPr>
              <w:spacing w:before="40" w:after="40" w:line="240" w:lineRule="auto"/>
              <w:jc w:val="left"/>
            </w:pPr>
            <w:r/>
            <w:r>
              <w:rPr>
                <w:rFonts w:ascii="Times New Roman" w:hAnsi="Times New Roman"/>
                <w:b w:val="0"/>
                <w:i w:val="0"/>
                <w:sz w:val="20"/>
                <w:u w:val="none"/>
              </w:rPr>
              <w:t>High-Density Lipoprotein (mg/dL)</w:t>
            </w:r>
          </w:p>
        </w:tc>
      </w:tr>
      <w:tr>
        <w:tc>
          <w:tcPr>
            <w:tcW w:type="dxa" w:w="3968"/>
          </w:tcPr>
          <w:p>
            <w:pPr>
              <w:spacing w:before="40" w:after="40" w:line="240" w:lineRule="auto"/>
              <w:jc w:val="left"/>
            </w:pPr>
            <w:r/>
            <w:r>
              <w:rPr>
                <w:rFonts w:ascii="Times New Roman" w:hAnsi="Times New Roman"/>
                <w:b w:val="0"/>
                <w:i w:val="0"/>
                <w:sz w:val="20"/>
                <w:u w:val="none"/>
              </w:rPr>
              <w:t>LBDLDL</w:t>
            </w:r>
          </w:p>
        </w:tc>
        <w:tc>
          <w:tcPr>
            <w:tcW w:type="dxa" w:w="3968"/>
          </w:tcPr>
          <w:p>
            <w:pPr>
              <w:spacing w:before="40" w:after="40" w:line="240" w:lineRule="auto"/>
              <w:jc w:val="left"/>
            </w:pPr>
            <w:r/>
            <w:r>
              <w:rPr>
                <w:rFonts w:ascii="Times New Roman" w:hAnsi="Times New Roman"/>
                <w:b w:val="0"/>
                <w:i w:val="0"/>
                <w:sz w:val="20"/>
                <w:u w:val="none"/>
              </w:rPr>
              <w:t>Low-Density Lipoprotein (mg/dL)</w:t>
            </w:r>
          </w:p>
        </w:tc>
      </w:tr>
      <w:tr>
        <w:tc>
          <w:tcPr>
            <w:tcW w:type="dxa" w:w="3968"/>
          </w:tcPr>
          <w:p>
            <w:pPr>
              <w:spacing w:before="40" w:after="40" w:line="240" w:lineRule="auto"/>
              <w:jc w:val="left"/>
            </w:pPr>
            <w:r/>
            <w:r>
              <w:rPr>
                <w:rFonts w:ascii="Times New Roman" w:hAnsi="Times New Roman"/>
                <w:b w:val="0"/>
                <w:i w:val="0"/>
                <w:sz w:val="20"/>
                <w:u w:val="none"/>
              </w:rPr>
              <w:t>LBXTR</w:t>
            </w:r>
          </w:p>
        </w:tc>
        <w:tc>
          <w:tcPr>
            <w:tcW w:type="dxa" w:w="3968"/>
          </w:tcPr>
          <w:p>
            <w:pPr>
              <w:spacing w:before="40" w:after="40" w:line="240" w:lineRule="auto"/>
              <w:jc w:val="left"/>
            </w:pPr>
            <w:r/>
            <w:r>
              <w:rPr>
                <w:rFonts w:ascii="Times New Roman" w:hAnsi="Times New Roman"/>
                <w:b w:val="0"/>
                <w:i w:val="0"/>
                <w:sz w:val="20"/>
                <w:u w:val="none"/>
              </w:rPr>
              <w:t>Triglycerides (mg/dL)</w:t>
            </w:r>
          </w:p>
        </w:tc>
      </w:tr>
      <w:tr>
        <w:tc>
          <w:tcPr>
            <w:tcW w:type="dxa" w:w="3968"/>
          </w:tcPr>
          <w:p>
            <w:pPr>
              <w:spacing w:before="40" w:after="40" w:line="240" w:lineRule="auto"/>
              <w:jc w:val="left"/>
            </w:pPr>
            <w:r/>
            <w:r>
              <w:rPr>
                <w:rFonts w:ascii="Times New Roman" w:hAnsi="Times New Roman"/>
                <w:b w:val="0"/>
                <w:i w:val="0"/>
                <w:sz w:val="20"/>
                <w:u w:val="none"/>
              </w:rPr>
              <w:t>LBXSATSI</w:t>
            </w:r>
          </w:p>
        </w:tc>
        <w:tc>
          <w:tcPr>
            <w:tcW w:type="dxa" w:w="3968"/>
          </w:tcPr>
          <w:p>
            <w:pPr>
              <w:spacing w:before="40" w:after="40" w:line="240" w:lineRule="auto"/>
              <w:jc w:val="left"/>
            </w:pPr>
            <w:r/>
            <w:r>
              <w:rPr>
                <w:rFonts w:ascii="Times New Roman" w:hAnsi="Times New Roman"/>
                <w:b w:val="0"/>
                <w:i w:val="0"/>
                <w:sz w:val="20"/>
                <w:u w:val="none"/>
              </w:rPr>
              <w:t>Alanine Aminotransferase [ALT] (U/L)</w:t>
            </w:r>
          </w:p>
        </w:tc>
      </w:tr>
      <w:tr>
        <w:tc>
          <w:tcPr>
            <w:tcW w:type="dxa" w:w="3968"/>
          </w:tcPr>
          <w:p>
            <w:pPr>
              <w:spacing w:before="40" w:after="40" w:line="240" w:lineRule="auto"/>
              <w:jc w:val="left"/>
            </w:pPr>
            <w:r/>
            <w:r>
              <w:rPr>
                <w:rFonts w:ascii="Times New Roman" w:hAnsi="Times New Roman"/>
                <w:b w:val="0"/>
                <w:i w:val="0"/>
                <w:sz w:val="20"/>
                <w:u w:val="none"/>
              </w:rPr>
              <w:t>LBXSASSI</w:t>
            </w:r>
          </w:p>
        </w:tc>
        <w:tc>
          <w:tcPr>
            <w:tcW w:type="dxa" w:w="3968"/>
          </w:tcPr>
          <w:p>
            <w:pPr>
              <w:spacing w:before="40" w:after="40" w:line="240" w:lineRule="auto"/>
              <w:jc w:val="left"/>
            </w:pPr>
            <w:r/>
            <w:r>
              <w:rPr>
                <w:rFonts w:ascii="Times New Roman" w:hAnsi="Times New Roman"/>
                <w:b w:val="0"/>
                <w:i w:val="0"/>
                <w:sz w:val="20"/>
                <w:u w:val="none"/>
              </w:rPr>
              <w:t>Aspartate Aminotransferase [AST] (U/L)</w:t>
            </w:r>
          </w:p>
        </w:tc>
      </w:tr>
      <w:tr>
        <w:tc>
          <w:tcPr>
            <w:tcW w:type="dxa" w:w="3968"/>
          </w:tcPr>
          <w:p>
            <w:pPr>
              <w:spacing w:before="40" w:after="40" w:line="240" w:lineRule="auto"/>
              <w:jc w:val="left"/>
            </w:pPr>
            <w:r/>
            <w:r>
              <w:rPr>
                <w:rFonts w:ascii="Times New Roman" w:hAnsi="Times New Roman"/>
                <w:b w:val="0"/>
                <w:i w:val="0"/>
                <w:sz w:val="20"/>
                <w:u w:val="none"/>
              </w:rPr>
              <w:t>LBXSGTSI</w:t>
            </w:r>
          </w:p>
        </w:tc>
        <w:tc>
          <w:tcPr>
            <w:tcW w:type="dxa" w:w="3968"/>
          </w:tcPr>
          <w:p>
            <w:pPr>
              <w:spacing w:before="40" w:after="40" w:line="240" w:lineRule="auto"/>
              <w:jc w:val="left"/>
            </w:pPr>
            <w:r/>
            <w:r>
              <w:rPr>
                <w:rFonts w:ascii="Times New Roman" w:hAnsi="Times New Roman"/>
                <w:b w:val="0"/>
                <w:i w:val="0"/>
                <w:sz w:val="20"/>
                <w:u w:val="none"/>
              </w:rPr>
              <w:t>Gamma-Glutamyl Transferase [GGT] (U/L)</w:t>
            </w:r>
          </w:p>
        </w:tc>
      </w:tr>
      <w:tr>
        <w:tc>
          <w:tcPr>
            <w:tcW w:type="dxa" w:w="3968"/>
          </w:tcPr>
          <w:p>
            <w:pPr>
              <w:spacing w:before="40" w:after="40" w:line="240" w:lineRule="auto"/>
              <w:jc w:val="left"/>
            </w:pPr>
            <w:r/>
            <w:r>
              <w:rPr>
                <w:rFonts w:ascii="Times New Roman" w:hAnsi="Times New Roman"/>
                <w:b w:val="0"/>
                <w:i w:val="0"/>
                <w:sz w:val="20"/>
                <w:u w:val="none"/>
              </w:rPr>
              <w:t>LBXSAL</w:t>
            </w:r>
          </w:p>
        </w:tc>
        <w:tc>
          <w:tcPr>
            <w:tcW w:type="dxa" w:w="3968"/>
          </w:tcPr>
          <w:p>
            <w:pPr>
              <w:spacing w:before="40" w:after="40" w:line="240" w:lineRule="auto"/>
              <w:jc w:val="left"/>
            </w:pPr>
            <w:r/>
            <w:r>
              <w:rPr>
                <w:rFonts w:ascii="Times New Roman" w:hAnsi="Times New Roman"/>
                <w:b w:val="0"/>
                <w:i w:val="0"/>
                <w:sz w:val="20"/>
                <w:u w:val="none"/>
              </w:rPr>
              <w:t>Albumin (g/dL)</w:t>
            </w:r>
          </w:p>
        </w:tc>
      </w:tr>
      <w:tr>
        <w:tc>
          <w:tcPr>
            <w:tcW w:type="dxa" w:w="3968"/>
          </w:tcPr>
          <w:p>
            <w:pPr>
              <w:spacing w:before="40" w:after="40" w:line="240" w:lineRule="auto"/>
              <w:jc w:val="left"/>
            </w:pPr>
            <w:r/>
            <w:r>
              <w:rPr>
                <w:rFonts w:ascii="Times New Roman" w:hAnsi="Times New Roman"/>
                <w:b w:val="0"/>
                <w:i w:val="0"/>
                <w:sz w:val="20"/>
                <w:u w:val="none"/>
              </w:rPr>
              <w:t>LBXSTB</w:t>
            </w:r>
          </w:p>
        </w:tc>
        <w:tc>
          <w:tcPr>
            <w:tcW w:type="dxa" w:w="3968"/>
          </w:tcPr>
          <w:p>
            <w:pPr>
              <w:spacing w:before="40" w:after="40" w:line="240" w:lineRule="auto"/>
              <w:jc w:val="left"/>
            </w:pPr>
            <w:r/>
            <w:r>
              <w:rPr>
                <w:rFonts w:ascii="Times New Roman" w:hAnsi="Times New Roman"/>
                <w:b w:val="0"/>
                <w:i w:val="0"/>
                <w:sz w:val="20"/>
                <w:u w:val="none"/>
              </w:rPr>
              <w:t>Total Bilirubin (mg/dL)</w:t>
            </w:r>
          </w:p>
        </w:tc>
      </w:tr>
      <w:tr>
        <w:tc>
          <w:tcPr>
            <w:tcW w:type="dxa" w:w="3968"/>
          </w:tcPr>
          <w:p>
            <w:pPr>
              <w:spacing w:before="40" w:after="40" w:line="240" w:lineRule="auto"/>
              <w:jc w:val="left"/>
            </w:pPr>
            <w:r/>
            <w:r>
              <w:rPr>
                <w:rFonts w:ascii="Times New Roman" w:hAnsi="Times New Roman"/>
                <w:b w:val="0"/>
                <w:i w:val="0"/>
                <w:sz w:val="20"/>
                <w:u w:val="none"/>
              </w:rPr>
              <w:t>LBXSUA</w:t>
            </w:r>
          </w:p>
        </w:tc>
        <w:tc>
          <w:tcPr>
            <w:tcW w:type="dxa" w:w="3968"/>
          </w:tcPr>
          <w:p>
            <w:pPr>
              <w:spacing w:before="40" w:after="40" w:line="240" w:lineRule="auto"/>
              <w:jc w:val="left"/>
            </w:pPr>
            <w:r/>
            <w:r>
              <w:rPr>
                <w:rFonts w:ascii="Times New Roman" w:hAnsi="Times New Roman"/>
                <w:b w:val="0"/>
                <w:i w:val="0"/>
                <w:sz w:val="20"/>
                <w:u w:val="none"/>
              </w:rPr>
              <w:t>Uric Acid (mg/dL)</w:t>
            </w:r>
          </w:p>
        </w:tc>
      </w:tr>
      <w:tr>
        <w:tc>
          <w:tcPr>
            <w:tcW w:type="dxa" w:w="3968"/>
          </w:tcPr>
          <w:p>
            <w:pPr>
              <w:spacing w:before="40" w:after="40" w:line="240" w:lineRule="auto"/>
              <w:jc w:val="left"/>
            </w:pPr>
            <w:r/>
            <w:r>
              <w:rPr>
                <w:rFonts w:ascii="Times New Roman" w:hAnsi="Times New Roman"/>
                <w:b w:val="0"/>
                <w:i w:val="0"/>
                <w:sz w:val="20"/>
                <w:u w:val="none"/>
              </w:rPr>
              <w:t>LBXPLTSI</w:t>
            </w:r>
          </w:p>
        </w:tc>
        <w:tc>
          <w:tcPr>
            <w:tcW w:type="dxa" w:w="3968"/>
          </w:tcPr>
          <w:p>
            <w:pPr>
              <w:spacing w:before="40" w:after="40" w:line="240" w:lineRule="auto"/>
              <w:jc w:val="left"/>
            </w:pPr>
            <w:r/>
            <w:r>
              <w:rPr>
                <w:rFonts w:ascii="Times New Roman" w:hAnsi="Times New Roman"/>
                <w:b w:val="0"/>
                <w:i w:val="0"/>
                <w:sz w:val="20"/>
                <w:u w:val="none"/>
              </w:rPr>
              <w:t>Platelet Count (1000 cells/uL)</w:t>
            </w:r>
          </w:p>
        </w:tc>
      </w:tr>
      <w:tr>
        <w:tc>
          <w:tcPr>
            <w:tcW w:type="dxa" w:w="3968"/>
          </w:tcPr>
          <w:p>
            <w:pPr>
              <w:spacing w:before="40" w:after="40" w:line="240" w:lineRule="auto"/>
              <w:jc w:val="left"/>
            </w:pPr>
            <w:r/>
            <w:r>
              <w:rPr>
                <w:rFonts w:ascii="Times New Roman" w:hAnsi="Times New Roman"/>
                <w:b w:val="0"/>
                <w:i w:val="0"/>
                <w:sz w:val="20"/>
                <w:u w:val="none"/>
              </w:rPr>
              <w:t>BPXSY1</w:t>
            </w:r>
          </w:p>
        </w:tc>
        <w:tc>
          <w:tcPr>
            <w:tcW w:type="dxa" w:w="3968"/>
          </w:tcPr>
          <w:p>
            <w:pPr>
              <w:spacing w:before="40" w:after="40" w:line="240" w:lineRule="auto"/>
              <w:jc w:val="left"/>
            </w:pPr>
            <w:r/>
            <w:r>
              <w:rPr>
                <w:rFonts w:ascii="Times New Roman" w:hAnsi="Times New Roman"/>
                <w:b w:val="0"/>
                <w:i w:val="0"/>
                <w:sz w:val="20"/>
                <w:u w:val="none"/>
              </w:rPr>
              <w:t>Systolic Blood Pressure (mmHg)</w:t>
            </w:r>
          </w:p>
        </w:tc>
      </w:tr>
      <w:tr>
        <w:tc>
          <w:tcPr>
            <w:tcW w:type="dxa" w:w="3968"/>
          </w:tcPr>
          <w:p>
            <w:pPr>
              <w:spacing w:before="40" w:after="40" w:line="240" w:lineRule="auto"/>
              <w:jc w:val="left"/>
            </w:pPr>
            <w:r/>
            <w:r>
              <w:rPr>
                <w:rFonts w:ascii="Times New Roman" w:hAnsi="Times New Roman"/>
                <w:b w:val="0"/>
                <w:i w:val="0"/>
                <w:sz w:val="20"/>
                <w:u w:val="none"/>
              </w:rPr>
              <w:t>LUXCAPM</w:t>
            </w:r>
          </w:p>
        </w:tc>
        <w:tc>
          <w:tcPr>
            <w:tcW w:type="dxa" w:w="3968"/>
          </w:tcPr>
          <w:p>
            <w:pPr>
              <w:spacing w:before="40" w:after="40" w:line="240" w:lineRule="auto"/>
              <w:jc w:val="left"/>
            </w:pPr>
            <w:r/>
            <w:r>
              <w:rPr>
                <w:rFonts w:ascii="Times New Roman" w:hAnsi="Times New Roman"/>
                <w:b w:val="0"/>
                <w:i w:val="0"/>
                <w:sz w:val="20"/>
                <w:u w:val="none"/>
              </w:rPr>
              <w:t>FibroScan CAP Score (dB/m) - Z2 Anchor</w:t>
            </w:r>
          </w:p>
        </w:tc>
      </w:tr>
    </w:tbl>
    <w:p>
      <w:pPr>
        <w:keepNext w:val="0"/>
        <w:spacing w:before="0" w:after="200" w:line="360" w:lineRule="auto"/>
        <w:jc w:val="both"/>
      </w:pPr>
    </w:p>
    <w:p>
      <w:r>
        <w:br w:type="page"/>
      </w:r>
    </w:p>
    <w:p>
      <w:pPr>
        <w:keepNext w:val="0"/>
        <w:spacing w:before="0" w:after="0" w:line="360" w:lineRule="auto"/>
        <w:jc w:val="both"/>
      </w:pPr>
    </w:p>
    <w:p>
      <w:pPr>
        <w:keepNext w:val="0"/>
        <w:spacing w:before="0" w:after="0" w:line="360" w:lineRule="auto"/>
        <w:jc w:val="both"/>
      </w:pPr>
    </w:p>
    <w:p>
      <w:pPr>
        <w:keepNext/>
        <w:spacing w:before="0" w:after="360" w:line="360" w:lineRule="auto"/>
        <w:jc w:val="center"/>
      </w:pPr>
      <w:r>
        <w:rPr>
          <w:rFonts w:ascii="Times New Roman" w:hAnsi="Times New Roman"/>
          <w:b/>
          <w:i w:val="0"/>
          <w:sz w:val="24"/>
          <w:u w:val="none"/>
        </w:rPr>
        <w:t>APPENDIX B: PLAGIARISM CERTIFICATE (ANNEXURE - P-I)</w:t>
      </w:r>
    </w:p>
    <w:p>
      <w:pPr>
        <w:keepNext w:val="0"/>
        <w:spacing w:before="40" w:after="40" w:line="240" w:lineRule="auto"/>
        <w:jc w:val="left"/>
      </w:pPr>
      <w:r>
        <w:rPr>
          <w:rFonts w:ascii="Times New Roman" w:hAnsi="Times New Roman"/>
          <w:b/>
          <w:i w:val="0"/>
          <w:sz w:val="20"/>
          <w:u w:val="none"/>
        </w:rPr>
        <w:t>Title of the Dissertation</w:t>
      </w:r>
      <w:r>
        <w:rPr>
          <w:rFonts w:ascii="Times New Roman" w:hAnsi="Times New Roman"/>
          <w:b w:val="0"/>
          <w:i w:val="0"/>
          <w:sz w:val="20"/>
          <w:u w:val="none"/>
        </w:rPr>
        <w:t>:  PREDICTIVE RISK INTELLIGENCE FOR METABOLIC SCREENING IN DIABETES</w:t>
      </w:r>
    </w:p>
    <w:p>
      <w:pPr>
        <w:keepNext w:val="0"/>
        <w:spacing w:before="40" w:after="40" w:line="240" w:lineRule="auto"/>
        <w:jc w:val="left"/>
      </w:pPr>
      <w:r>
        <w:rPr>
          <w:rFonts w:ascii="Times New Roman" w:hAnsi="Times New Roman"/>
          <w:b/>
          <w:i w:val="0"/>
          <w:sz w:val="20"/>
          <w:u w:val="none"/>
        </w:rPr>
        <w:t>Name of Student(s)</w:t>
      </w:r>
      <w:r>
        <w:rPr>
          <w:rFonts w:ascii="Times New Roman" w:hAnsi="Times New Roman"/>
          <w:b w:val="0"/>
          <w:i w:val="0"/>
          <w:sz w:val="20"/>
          <w:u w:val="none"/>
        </w:rPr>
        <w:t>:  ________________________________________</w:t>
      </w:r>
    </w:p>
    <w:p>
      <w:pPr>
        <w:keepNext w:val="0"/>
        <w:spacing w:before="40" w:after="40" w:line="240" w:lineRule="auto"/>
        <w:jc w:val="left"/>
      </w:pPr>
      <w:r>
        <w:rPr>
          <w:rFonts w:ascii="Times New Roman" w:hAnsi="Times New Roman"/>
          <w:b/>
          <w:i w:val="0"/>
          <w:sz w:val="20"/>
          <w:u w:val="none"/>
        </w:rPr>
        <w:t>Registration Number(s)</w:t>
      </w:r>
      <w:r>
        <w:rPr>
          <w:rFonts w:ascii="Times New Roman" w:hAnsi="Times New Roman"/>
          <w:b w:val="0"/>
          <w:i w:val="0"/>
          <w:sz w:val="20"/>
          <w:u w:val="none"/>
        </w:rPr>
        <w:t>:  ________________________________________</w:t>
      </w:r>
    </w:p>
    <w:p>
      <w:pPr>
        <w:keepNext w:val="0"/>
        <w:spacing w:before="40" w:after="40" w:line="240" w:lineRule="auto"/>
        <w:jc w:val="left"/>
      </w:pPr>
      <w:r>
        <w:rPr>
          <w:rFonts w:ascii="Times New Roman" w:hAnsi="Times New Roman"/>
          <w:b/>
          <w:i w:val="0"/>
          <w:sz w:val="20"/>
          <w:u w:val="none"/>
        </w:rPr>
        <w:t>Name of Supervisor</w:t>
      </w:r>
      <w:r>
        <w:rPr>
          <w:rFonts w:ascii="Times New Roman" w:hAnsi="Times New Roman"/>
          <w:b w:val="0"/>
          <w:i w:val="0"/>
          <w:sz w:val="20"/>
          <w:u w:val="none"/>
        </w:rPr>
        <w:t>:  ________________________________________</w:t>
      </w:r>
    </w:p>
    <w:p>
      <w:pPr>
        <w:keepNext w:val="0"/>
        <w:spacing w:before="40" w:after="40" w:line="240" w:lineRule="auto"/>
        <w:jc w:val="left"/>
      </w:pPr>
      <w:r>
        <w:rPr>
          <w:rFonts w:ascii="Times New Roman" w:hAnsi="Times New Roman"/>
          <w:b/>
          <w:i w:val="0"/>
          <w:sz w:val="20"/>
          <w:u w:val="none"/>
        </w:rPr>
        <w:t>Department</w:t>
      </w:r>
      <w:r>
        <w:rPr>
          <w:rFonts w:ascii="Times New Roman" w:hAnsi="Times New Roman"/>
          <w:b w:val="0"/>
          <w:i w:val="0"/>
          <w:sz w:val="20"/>
          <w:u w:val="none"/>
        </w:rPr>
        <w:t>:  Department of Computer Applications</w:t>
      </w:r>
    </w:p>
    <w:p>
      <w:pPr>
        <w:keepNext w:val="0"/>
        <w:spacing w:before="40" w:after="40" w:line="240" w:lineRule="auto"/>
        <w:jc w:val="left"/>
      </w:pPr>
      <w:r>
        <w:rPr>
          <w:rFonts w:ascii="Times New Roman" w:hAnsi="Times New Roman"/>
          <w:b/>
          <w:i w:val="0"/>
          <w:sz w:val="20"/>
          <w:u w:val="none"/>
        </w:rPr>
        <w:t>College</w:t>
      </w:r>
      <w:r>
        <w:rPr>
          <w:rFonts w:ascii="Times New Roman" w:hAnsi="Times New Roman"/>
          <w:b w:val="0"/>
          <w:i w:val="0"/>
          <w:sz w:val="20"/>
          <w:u w:val="none"/>
        </w:rPr>
        <w:t>:  Shaheed Himayun Muzammil Memorial Govt. Degree College Anantnag</w:t>
      </w:r>
    </w:p>
    <w:p>
      <w:pPr>
        <w:keepNext w:val="0"/>
        <w:spacing w:before="40" w:after="40" w:line="240" w:lineRule="auto"/>
        <w:jc w:val="left"/>
      </w:pPr>
      <w:r>
        <w:rPr>
          <w:rFonts w:ascii="Times New Roman" w:hAnsi="Times New Roman"/>
          <w:b/>
          <w:i w:val="0"/>
          <w:sz w:val="20"/>
          <w:u w:val="none"/>
        </w:rPr>
        <w:t>Programme</w:t>
      </w:r>
      <w:r>
        <w:rPr>
          <w:rFonts w:ascii="Times New Roman" w:hAnsi="Times New Roman"/>
          <w:b w:val="0"/>
          <w:i w:val="0"/>
          <w:sz w:val="20"/>
          <w:u w:val="none"/>
        </w:rPr>
        <w:t>:  4-Year Undergraduate Degree (Honours/Research)</w:t>
      </w:r>
    </w:p>
    <w:p>
      <w:pPr>
        <w:keepNext w:val="0"/>
        <w:spacing w:before="0" w:after="0" w:line="360" w:lineRule="auto"/>
        <w:jc w:val="both"/>
      </w:pPr>
    </w:p>
    <w:p>
      <w:pPr>
        <w:keepNext w:val="0"/>
        <w:spacing w:before="0" w:after="120" w:line="360" w:lineRule="auto"/>
        <w:jc w:val="both"/>
      </w:pPr>
      <w:r>
        <w:rPr>
          <w:rFonts w:ascii="Times New Roman" w:hAnsi="Times New Roman"/>
          <w:b w:val="0"/>
          <w:i w:val="0"/>
          <w:sz w:val="24"/>
          <w:u w:val="none"/>
        </w:rPr>
        <w:t>I/we certify that the above-entitled dissertation was scanned for similarity detection using Turnitin (or equivalent plagiarism detection software) with the following settings:</w:t>
      </w:r>
    </w:p>
    <w:p>
      <w:pPr>
        <w:keepNext w:val="0"/>
        <w:spacing w:before="0" w:after="60" w:line="360" w:lineRule="auto"/>
        <w:ind w:left="567" w:hanging="283"/>
        <w:jc w:val="both"/>
      </w:pPr>
      <w:r>
        <w:rPr>
          <w:rFonts w:ascii="Times New Roman" w:hAnsi="Times New Roman"/>
          <w:b w:val="0"/>
          <w:i w:val="0"/>
          <w:sz w:val="24"/>
          <w:u w:val="none"/>
        </w:rPr>
        <w:t xml:space="preserve">•  </w:t>
      </w:r>
      <w:r>
        <w:rPr>
          <w:rFonts w:ascii="Times New Roman" w:hAnsi="Times New Roman"/>
          <w:b w:val="0"/>
          <w:i w:val="0"/>
          <w:sz w:val="24"/>
          <w:u w:val="none"/>
        </w:rPr>
        <w:t>Excluding sources with fewer than 14 words</w:t>
      </w:r>
    </w:p>
    <w:p>
      <w:pPr>
        <w:keepNext w:val="0"/>
        <w:spacing w:before="0" w:after="60" w:line="360" w:lineRule="auto"/>
        <w:ind w:left="567" w:hanging="283"/>
        <w:jc w:val="both"/>
      </w:pPr>
      <w:r>
        <w:rPr>
          <w:rFonts w:ascii="Times New Roman" w:hAnsi="Times New Roman"/>
          <w:b w:val="0"/>
          <w:i w:val="0"/>
          <w:sz w:val="24"/>
          <w:u w:val="none"/>
        </w:rPr>
        <w:t xml:space="preserve">•  </w:t>
      </w:r>
      <w:r>
        <w:rPr>
          <w:rFonts w:ascii="Times New Roman" w:hAnsi="Times New Roman"/>
          <w:b w:val="0"/>
          <w:i w:val="0"/>
          <w:sz w:val="24"/>
          <w:u w:val="none"/>
        </w:rPr>
        <w:t>Excluding quoted material</w:t>
      </w:r>
    </w:p>
    <w:p>
      <w:pPr>
        <w:keepNext w:val="0"/>
        <w:spacing w:before="0" w:after="60" w:line="360" w:lineRule="auto"/>
        <w:ind w:left="567" w:hanging="283"/>
        <w:jc w:val="both"/>
      </w:pPr>
      <w:r>
        <w:rPr>
          <w:rFonts w:ascii="Times New Roman" w:hAnsi="Times New Roman"/>
          <w:b w:val="0"/>
          <w:i w:val="0"/>
          <w:sz w:val="24"/>
          <w:u w:val="none"/>
        </w:rPr>
        <w:t xml:space="preserve">•  </w:t>
      </w:r>
      <w:r>
        <w:rPr>
          <w:rFonts w:ascii="Times New Roman" w:hAnsi="Times New Roman"/>
          <w:b w:val="0"/>
          <w:i w:val="0"/>
          <w:sz w:val="24"/>
          <w:u w:val="none"/>
        </w:rPr>
        <w:t>Excluding bibliography/references</w:t>
      </w:r>
    </w:p>
    <w:p>
      <w:pPr>
        <w:keepNext w:val="0"/>
        <w:spacing w:before="0" w:after="0" w:line="360" w:lineRule="auto"/>
        <w:jc w:val="both"/>
      </w:pPr>
    </w:p>
    <w:p>
      <w:pPr>
        <w:keepNext w:val="0"/>
        <w:spacing w:before="0" w:after="120" w:line="360" w:lineRule="auto"/>
        <w:jc w:val="both"/>
      </w:pPr>
      <w:r>
        <w:rPr>
          <w:rFonts w:ascii="Times New Roman" w:hAnsi="Times New Roman"/>
          <w:b w:val="0"/>
          <w:i w:val="0"/>
          <w:sz w:val="24"/>
          <w:u w:val="none"/>
        </w:rPr>
        <w:t>The total similarity index is _______ %.</w:t>
      </w:r>
    </w:p>
    <w:p>
      <w:pPr>
        <w:keepNext w:val="0"/>
        <w:spacing w:before="0" w:after="120" w:line="360" w:lineRule="auto"/>
        <w:jc w:val="both"/>
      </w:pPr>
      <w:r>
        <w:rPr>
          <w:rFonts w:ascii="Times New Roman" w:hAnsi="Times New Roman"/>
          <w:b w:val="0"/>
          <w:i w:val="0"/>
          <w:sz w:val="24"/>
          <w:u w:val="none"/>
        </w:rPr>
        <w:t>The permissible limits prescribed by the department are:</w:t>
      </w:r>
    </w:p>
    <w:p>
      <w:pPr>
        <w:keepNext w:val="0"/>
        <w:spacing w:before="0" w:after="60" w:line="360" w:lineRule="auto"/>
        <w:ind w:left="567" w:hanging="283"/>
        <w:jc w:val="both"/>
      </w:pPr>
      <w:r>
        <w:rPr>
          <w:rFonts w:ascii="Times New Roman" w:hAnsi="Times New Roman"/>
          <w:b w:val="0"/>
          <w:i w:val="0"/>
          <w:sz w:val="24"/>
          <w:u w:val="none"/>
        </w:rPr>
        <w:t xml:space="preserve">•  </w:t>
      </w:r>
      <w:r>
        <w:rPr>
          <w:rFonts w:ascii="Times New Roman" w:hAnsi="Times New Roman"/>
          <w:b/>
          <w:i w:val="0"/>
          <w:sz w:val="24"/>
          <w:u w:val="none"/>
        </w:rPr>
        <w:t xml:space="preserve">Maximum Similarity Index: </w:t>
      </w:r>
      <w:r>
        <w:rPr>
          <w:rFonts w:ascii="Times New Roman" w:hAnsi="Times New Roman"/>
          <w:b w:val="0"/>
          <w:i w:val="0"/>
          <w:sz w:val="24"/>
          <w:u w:val="none"/>
        </w:rPr>
        <w:t>&lt;=10%</w:t>
      </w:r>
    </w:p>
    <w:p>
      <w:pPr>
        <w:keepNext w:val="0"/>
        <w:spacing w:before="0" w:after="60" w:line="360" w:lineRule="auto"/>
        <w:ind w:left="567" w:hanging="283"/>
        <w:jc w:val="both"/>
      </w:pPr>
      <w:r>
        <w:rPr>
          <w:rFonts w:ascii="Times New Roman" w:hAnsi="Times New Roman"/>
          <w:b w:val="0"/>
          <w:i w:val="0"/>
          <w:sz w:val="24"/>
          <w:u w:val="none"/>
        </w:rPr>
        <w:t xml:space="preserve">•  </w:t>
      </w:r>
      <w:r>
        <w:rPr>
          <w:rFonts w:ascii="Times New Roman" w:hAnsi="Times New Roman"/>
          <w:b/>
          <w:i w:val="0"/>
          <w:sz w:val="24"/>
          <w:u w:val="none"/>
        </w:rPr>
        <w:t xml:space="preserve">Maximum AI-Generated Content: </w:t>
      </w:r>
      <w:r>
        <w:rPr>
          <w:rFonts w:ascii="Times New Roman" w:hAnsi="Times New Roman"/>
          <w:b w:val="0"/>
          <w:i w:val="0"/>
          <w:sz w:val="24"/>
          <w:u w:val="none"/>
        </w:rPr>
        <w:t>&lt;=20%</w:t>
      </w:r>
    </w:p>
    <w:p>
      <w:pPr>
        <w:keepNext w:val="0"/>
        <w:spacing w:before="0" w:after="120" w:line="360" w:lineRule="auto"/>
        <w:jc w:val="both"/>
      </w:pPr>
      <w:r>
        <w:rPr>
          <w:rFonts w:ascii="Times New Roman" w:hAnsi="Times New Roman"/>
          <w:b w:val="0"/>
          <w:i w:val="0"/>
          <w:sz w:val="24"/>
          <w:u w:val="none"/>
        </w:rPr>
        <w:t>The dissertation is therefore:</w:t>
      </w:r>
    </w:p>
    <w:p>
      <w:pPr>
        <w:keepNext w:val="0"/>
        <w:spacing w:before="0" w:after="120" w:line="360" w:lineRule="auto"/>
        <w:jc w:val="both"/>
      </w:pPr>
      <w:r>
        <w:rPr>
          <w:rFonts w:ascii="Times New Roman" w:hAnsi="Times New Roman"/>
          <w:b w:val="0"/>
          <w:i w:val="0"/>
          <w:sz w:val="24"/>
          <w:u w:val="none"/>
        </w:rPr>
        <w:t>[ ]  Within the permissible plagiarism limits and eligible for submission</w:t>
      </w:r>
    </w:p>
    <w:p>
      <w:pPr>
        <w:keepNext w:val="0"/>
        <w:spacing w:before="0" w:after="120" w:line="360" w:lineRule="auto"/>
        <w:jc w:val="both"/>
      </w:pPr>
      <w:r>
        <w:rPr>
          <w:rFonts w:ascii="Times New Roman" w:hAnsi="Times New Roman"/>
          <w:b w:val="0"/>
          <w:i w:val="0"/>
          <w:sz w:val="24"/>
          <w:u w:val="none"/>
        </w:rPr>
        <w:t>[ ]  Requires minor revision before submission</w:t>
      </w:r>
    </w:p>
    <w:p>
      <w:pPr>
        <w:keepNext w:val="0"/>
        <w:spacing w:before="0" w:after="0" w:line="360" w:lineRule="auto"/>
        <w:jc w:val="both"/>
      </w:pPr>
    </w:p>
    <w:p>
      <w:pPr>
        <w:keepNext w:val="0"/>
        <w:spacing w:before="0" w:after="0" w:line="360" w:lineRule="auto"/>
        <w:jc w:val="both"/>
      </w:pPr>
    </w:p>
    <w:tbl>
      <w:tblPr>
        <w:tblW w:type="auto" w:w="0"/>
        <w:tblLook w:firstColumn="1" w:firstRow="1" w:lastColumn="0" w:lastRow="0" w:noHBand="0" w:noVBand="1" w:val="04A0"/>
      </w:tblPr>
      <w:tblGrid>
        <w:gridCol w:w="3968"/>
        <w:gridCol w:w="3968"/>
      </w:tblGrid>
      <w:tr>
        <w:tc>
          <w:tcPr>
            <w:tcW w:type="dxa" w:w="3968"/>
          </w:tcPr>
          <w:p>
            <w:pPr>
              <w:spacing w:before="80" w:after="80"/>
            </w:pPr>
            <w:r/>
            <w:r>
              <w:rPr>
                <w:rFonts w:ascii="Times New Roman" w:hAnsi="Times New Roman"/>
                <w:b/>
                <w:i w:val="0"/>
                <w:sz w:val="20"/>
                <w:u w:val="none"/>
              </w:rPr>
              <w:t>Supervisor</w:t>
            </w:r>
          </w:p>
        </w:tc>
        <w:tc>
          <w:tcPr>
            <w:tcW w:type="dxa" w:w="3968"/>
          </w:tcPr>
          <w:p>
            <w:pPr>
              <w:spacing w:before="80" w:after="80"/>
            </w:pPr>
            <w:r/>
            <w:r>
              <w:rPr>
                <w:rFonts w:ascii="Times New Roman" w:hAnsi="Times New Roman"/>
                <w:b/>
                <w:i w:val="0"/>
                <w:sz w:val="20"/>
                <w:u w:val="none"/>
              </w:rPr>
              <w:t>Student(s)</w:t>
            </w:r>
          </w:p>
        </w:tc>
      </w:tr>
      <w:tr>
        <w:tc>
          <w:tcPr>
            <w:tcW w:type="dxa" w:w="3968"/>
          </w:tcPr>
          <w:p>
            <w:pPr>
              <w:spacing w:before="80" w:after="80"/>
            </w:pPr>
            <w:r/>
            <w:r>
              <w:rPr>
                <w:rFonts w:ascii="Times New Roman" w:hAnsi="Times New Roman"/>
                <w:b w:val="0"/>
                <w:i w:val="0"/>
                <w:sz w:val="20"/>
                <w:u w:val="none"/>
              </w:rPr>
              <w:t>Name: ___________________</w:t>
            </w:r>
          </w:p>
        </w:tc>
        <w:tc>
          <w:tcPr>
            <w:tcW w:type="dxa" w:w="3968"/>
          </w:tcPr>
          <w:p>
            <w:pPr>
              <w:spacing w:before="80" w:after="80"/>
            </w:pPr>
            <w:r/>
            <w:r>
              <w:rPr>
                <w:rFonts w:ascii="Times New Roman" w:hAnsi="Times New Roman"/>
                <w:b w:val="0"/>
                <w:i w:val="0"/>
                <w:sz w:val="20"/>
                <w:u w:val="none"/>
              </w:rPr>
              <w:t>Name: ___________________</w:t>
            </w:r>
          </w:p>
        </w:tc>
      </w:tr>
      <w:tr>
        <w:tc>
          <w:tcPr>
            <w:tcW w:type="dxa" w:w="3968"/>
          </w:tcPr>
          <w:p>
            <w:pPr>
              <w:spacing w:before="80" w:after="80"/>
            </w:pPr>
            <w:r/>
            <w:r>
              <w:rPr>
                <w:rFonts w:ascii="Times New Roman" w:hAnsi="Times New Roman"/>
                <w:b w:val="0"/>
                <w:i w:val="0"/>
                <w:sz w:val="20"/>
                <w:u w:val="none"/>
              </w:rPr>
              <w:t>Signature: ______________</w:t>
            </w:r>
          </w:p>
        </w:tc>
        <w:tc>
          <w:tcPr>
            <w:tcW w:type="dxa" w:w="3968"/>
          </w:tcPr>
          <w:p>
            <w:pPr>
              <w:spacing w:before="80" w:after="80"/>
            </w:pPr>
            <w:r/>
            <w:r>
              <w:rPr>
                <w:rFonts w:ascii="Times New Roman" w:hAnsi="Times New Roman"/>
                <w:b w:val="0"/>
                <w:i w:val="0"/>
                <w:sz w:val="20"/>
                <w:u w:val="none"/>
              </w:rPr>
              <w:t>Registration No.: ________</w:t>
            </w:r>
          </w:p>
        </w:tc>
      </w:tr>
      <w:tr>
        <w:tc>
          <w:tcPr>
            <w:tcW w:type="dxa" w:w="3968"/>
          </w:tcPr>
          <w:p>
            <w:pPr>
              <w:spacing w:before="80" w:after="80"/>
            </w:pPr>
            <w:r/>
            <w:r>
              <w:rPr>
                <w:rFonts w:ascii="Times New Roman" w:hAnsi="Times New Roman"/>
                <w:b w:val="0"/>
                <w:i w:val="0"/>
                <w:sz w:val="20"/>
                <w:u w:val="none"/>
              </w:rPr>
              <w:t>Date: ___________________</w:t>
            </w:r>
          </w:p>
        </w:tc>
        <w:tc>
          <w:tcPr>
            <w:tcW w:type="dxa" w:w="3968"/>
          </w:tcPr>
          <w:p>
            <w:pPr>
              <w:spacing w:before="80" w:after="80"/>
            </w:pPr>
            <w:r/>
            <w:r>
              <w:rPr>
                <w:rFonts w:ascii="Times New Roman" w:hAnsi="Times New Roman"/>
                <w:b w:val="0"/>
                <w:i w:val="0"/>
                <w:sz w:val="20"/>
                <w:u w:val="none"/>
              </w:rPr>
              <w:t>Signature: ______________</w:t>
            </w:r>
          </w:p>
        </w:tc>
      </w:tr>
    </w:tbl>
    <w:p>
      <w:r>
        <w:br w:type="page"/>
      </w:r>
    </w:p>
    <w:p>
      <w:pPr>
        <w:keepNext w:val="0"/>
        <w:spacing w:before="0" w:after="0" w:line="360" w:lineRule="auto"/>
        <w:jc w:val="both"/>
      </w:pPr>
    </w:p>
    <w:p>
      <w:pPr>
        <w:keepNext w:val="0"/>
        <w:spacing w:before="0" w:after="0" w:line="360" w:lineRule="auto"/>
        <w:jc w:val="both"/>
      </w:pPr>
    </w:p>
    <w:p>
      <w:pPr>
        <w:keepNext/>
        <w:spacing w:before="0" w:after="360" w:line="360" w:lineRule="auto"/>
        <w:jc w:val="center"/>
      </w:pPr>
      <w:r>
        <w:rPr>
          <w:rFonts w:ascii="Times New Roman" w:hAnsi="Times New Roman"/>
          <w:b/>
          <w:i w:val="0"/>
          <w:sz w:val="24"/>
          <w:u w:val="none"/>
        </w:rPr>
        <w:t>APPENDIX C: SELF-SOURCES DECLARATION (ANNEXURE - P-II)</w:t>
      </w:r>
    </w:p>
    <w:p>
      <w:pPr>
        <w:keepNext w:val="0"/>
        <w:spacing w:before="0" w:after="120" w:line="360" w:lineRule="auto"/>
        <w:jc w:val="both"/>
      </w:pPr>
      <w:r>
        <w:rPr>
          <w:rFonts w:ascii="Times New Roman" w:hAnsi="Times New Roman"/>
          <w:b w:val="0"/>
          <w:i w:val="0"/>
          <w:sz w:val="24"/>
          <w:u w:val="none"/>
        </w:rPr>
        <w:t>List of Excluded Sources (Self-Citation / Author's Previous Work):</w:t>
      </w:r>
    </w:p>
    <w:p>
      <w:pPr>
        <w:keepNext w:val="0"/>
        <w:spacing w:before="0" w:after="0" w:line="360" w:lineRule="auto"/>
        <w:jc w:val="both"/>
      </w:pPr>
    </w:p>
    <w:tbl>
      <w:tblPr>
        <w:tblStyle w:val="TableGrid"/>
        <w:tblW w:type="auto" w:w="0"/>
        <w:tblLook w:firstColumn="1" w:firstRow="1" w:lastColumn="0" w:lastRow="0" w:noHBand="0" w:noVBand="1" w:val="04A0"/>
      </w:tblPr>
      <w:tblGrid>
        <w:gridCol w:w="1323"/>
        <w:gridCol w:w="1323"/>
        <w:gridCol w:w="1323"/>
        <w:gridCol w:w="1323"/>
        <w:gridCol w:w="1323"/>
        <w:gridCol w:w="1323"/>
      </w:tblGrid>
      <w:tr>
        <w:tc>
          <w:tcPr>
            <w:tcW w:type="dxa" w:w="1323"/>
          </w:tcPr>
          <w:p>
            <w:pPr>
              <w:spacing w:before="40" w:after="40" w:line="240" w:lineRule="auto"/>
              <w:jc w:val="center"/>
            </w:pPr>
            <w:r/>
            <w:r>
              <w:rPr>
                <w:rFonts w:ascii="Times New Roman" w:hAnsi="Times New Roman"/>
                <w:b/>
                <w:i w:val="0"/>
                <w:sz w:val="20"/>
                <w:u w:val="none"/>
              </w:rPr>
              <w:t>S. No.</w:t>
            </w:r>
          </w:p>
        </w:tc>
        <w:tc>
          <w:tcPr>
            <w:tcW w:type="dxa" w:w="1323"/>
          </w:tcPr>
          <w:p>
            <w:pPr>
              <w:spacing w:before="40" w:after="40" w:line="240" w:lineRule="auto"/>
              <w:jc w:val="center"/>
            </w:pPr>
            <w:r/>
            <w:r>
              <w:rPr>
                <w:rFonts w:ascii="Times New Roman" w:hAnsi="Times New Roman"/>
                <w:b/>
                <w:i w:val="0"/>
                <w:sz w:val="20"/>
                <w:u w:val="none"/>
              </w:rPr>
              <w:t>Title of Paper/Article</w:t>
            </w:r>
          </w:p>
        </w:tc>
        <w:tc>
          <w:tcPr>
            <w:tcW w:type="dxa" w:w="1323"/>
          </w:tcPr>
          <w:p>
            <w:pPr>
              <w:spacing w:before="40" w:after="40" w:line="240" w:lineRule="auto"/>
              <w:jc w:val="center"/>
            </w:pPr>
            <w:r/>
            <w:r>
              <w:rPr>
                <w:rFonts w:ascii="Times New Roman" w:hAnsi="Times New Roman"/>
                <w:b/>
                <w:i w:val="0"/>
                <w:sz w:val="20"/>
                <w:u w:val="none"/>
              </w:rPr>
              <w:t>Authors</w:t>
            </w:r>
          </w:p>
        </w:tc>
        <w:tc>
          <w:tcPr>
            <w:tcW w:type="dxa" w:w="1323"/>
          </w:tcPr>
          <w:p>
            <w:pPr>
              <w:spacing w:before="40" w:after="40" w:line="240" w:lineRule="auto"/>
              <w:jc w:val="center"/>
            </w:pPr>
            <w:r/>
            <w:r>
              <w:rPr>
                <w:rFonts w:ascii="Times New Roman" w:hAnsi="Times New Roman"/>
                <w:b/>
                <w:i w:val="0"/>
                <w:sz w:val="20"/>
                <w:u w:val="none"/>
              </w:rPr>
              <w:t>Journal/Conference</w:t>
            </w:r>
          </w:p>
        </w:tc>
        <w:tc>
          <w:tcPr>
            <w:tcW w:type="dxa" w:w="1323"/>
          </w:tcPr>
          <w:p>
            <w:pPr>
              <w:spacing w:before="40" w:after="40" w:line="240" w:lineRule="auto"/>
              <w:jc w:val="center"/>
            </w:pPr>
            <w:r/>
            <w:r>
              <w:rPr>
                <w:rFonts w:ascii="Times New Roman" w:hAnsi="Times New Roman"/>
                <w:b/>
                <w:i w:val="0"/>
                <w:sz w:val="20"/>
                <w:u w:val="none"/>
              </w:rPr>
              <w:t>Year</w:t>
            </w:r>
          </w:p>
        </w:tc>
        <w:tc>
          <w:tcPr>
            <w:tcW w:type="dxa" w:w="1323"/>
          </w:tcPr>
          <w:p>
            <w:pPr>
              <w:spacing w:before="40" w:after="40" w:line="240" w:lineRule="auto"/>
              <w:jc w:val="center"/>
            </w:pPr>
            <w:r/>
            <w:r>
              <w:rPr>
                <w:rFonts w:ascii="Times New Roman" w:hAnsi="Times New Roman"/>
                <w:b/>
                <w:i w:val="0"/>
                <w:sz w:val="20"/>
                <w:u w:val="none"/>
              </w:rPr>
              <w:t>Reason for Exclusion</w:t>
            </w:r>
          </w:p>
        </w:tc>
      </w:tr>
      <w:tr>
        <w:tc>
          <w:tcPr>
            <w:tcW w:type="dxa" w:w="1323"/>
          </w:tcPr>
          <w:p>
            <w:pPr>
              <w:spacing w:before="40" w:after="40" w:line="240" w:lineRule="auto"/>
              <w:jc w:val="left"/>
            </w:pPr>
            <w:r/>
            <w:r>
              <w:rPr>
                <w:rFonts w:ascii="Times New Roman" w:hAnsi="Times New Roman"/>
                <w:b w:val="0"/>
                <w:i w:val="0"/>
                <w:sz w:val="20"/>
                <w:u w:val="none"/>
              </w:rPr>
              <w:t>1</w:t>
            </w:r>
          </w:p>
        </w:tc>
        <w:tc>
          <w:tcPr>
            <w:tcW w:type="dxa" w:w="1323"/>
          </w:tcPr>
          <w:p>
            <w:pPr>
              <w:spacing w:before="40" w:after="40" w:line="240" w:lineRule="auto"/>
              <w:jc w:val="left"/>
            </w:pPr>
            <w:r/>
            <w:r>
              <w:rPr>
                <w:rFonts w:ascii="Times New Roman" w:hAnsi="Times New Roman"/>
                <w:b w:val="0"/>
                <w:i w:val="0"/>
                <w:sz w:val="20"/>
                <w:u w:val="none"/>
              </w:rPr>
            </w:r>
          </w:p>
        </w:tc>
        <w:tc>
          <w:tcPr>
            <w:tcW w:type="dxa" w:w="1323"/>
          </w:tcPr>
          <w:p>
            <w:pPr>
              <w:spacing w:before="40" w:after="40" w:line="240" w:lineRule="auto"/>
              <w:jc w:val="left"/>
            </w:pPr>
            <w:r/>
            <w:r>
              <w:rPr>
                <w:rFonts w:ascii="Times New Roman" w:hAnsi="Times New Roman"/>
                <w:b w:val="0"/>
                <w:i w:val="0"/>
                <w:sz w:val="20"/>
                <w:u w:val="none"/>
              </w:rPr>
            </w:r>
          </w:p>
        </w:tc>
        <w:tc>
          <w:tcPr>
            <w:tcW w:type="dxa" w:w="1323"/>
          </w:tcPr>
          <w:p>
            <w:pPr>
              <w:spacing w:before="40" w:after="40" w:line="240" w:lineRule="auto"/>
              <w:jc w:val="left"/>
            </w:pPr>
            <w:r/>
            <w:r>
              <w:rPr>
                <w:rFonts w:ascii="Times New Roman" w:hAnsi="Times New Roman"/>
                <w:b w:val="0"/>
                <w:i w:val="0"/>
                <w:sz w:val="20"/>
                <w:u w:val="none"/>
              </w:rPr>
            </w:r>
          </w:p>
        </w:tc>
        <w:tc>
          <w:tcPr>
            <w:tcW w:type="dxa" w:w="1323"/>
          </w:tcPr>
          <w:p>
            <w:pPr>
              <w:spacing w:before="40" w:after="40" w:line="240" w:lineRule="auto"/>
              <w:jc w:val="left"/>
            </w:pPr>
            <w:r/>
            <w:r>
              <w:rPr>
                <w:rFonts w:ascii="Times New Roman" w:hAnsi="Times New Roman"/>
                <w:b w:val="0"/>
                <w:i w:val="0"/>
                <w:sz w:val="20"/>
                <w:u w:val="none"/>
              </w:rPr>
            </w:r>
          </w:p>
        </w:tc>
        <w:tc>
          <w:tcPr>
            <w:tcW w:type="dxa" w:w="1323"/>
          </w:tcPr>
          <w:p>
            <w:pPr>
              <w:spacing w:before="40" w:after="40" w:line="240" w:lineRule="auto"/>
              <w:jc w:val="left"/>
            </w:pPr>
            <w:r/>
            <w:r>
              <w:rPr>
                <w:rFonts w:ascii="Times New Roman" w:hAnsi="Times New Roman"/>
                <w:b w:val="0"/>
                <w:i w:val="0"/>
                <w:sz w:val="20"/>
                <w:u w:val="none"/>
              </w:rPr>
              <w:t>Self-cited publication</w:t>
            </w:r>
          </w:p>
        </w:tc>
      </w:tr>
      <w:tr>
        <w:tc>
          <w:tcPr>
            <w:tcW w:type="dxa" w:w="1323"/>
          </w:tcPr>
          <w:p>
            <w:pPr>
              <w:spacing w:before="40" w:after="40" w:line="240" w:lineRule="auto"/>
              <w:jc w:val="left"/>
            </w:pPr>
            <w:r/>
            <w:r>
              <w:rPr>
                <w:rFonts w:ascii="Times New Roman" w:hAnsi="Times New Roman"/>
                <w:b w:val="0"/>
                <w:i w:val="0"/>
                <w:sz w:val="20"/>
                <w:u w:val="none"/>
              </w:rPr>
              <w:t>2</w:t>
            </w:r>
          </w:p>
        </w:tc>
        <w:tc>
          <w:tcPr>
            <w:tcW w:type="dxa" w:w="1323"/>
          </w:tcPr>
          <w:p>
            <w:pPr>
              <w:spacing w:before="40" w:after="40" w:line="240" w:lineRule="auto"/>
              <w:jc w:val="left"/>
            </w:pPr>
            <w:r/>
            <w:r>
              <w:rPr>
                <w:rFonts w:ascii="Times New Roman" w:hAnsi="Times New Roman"/>
                <w:b w:val="0"/>
                <w:i w:val="0"/>
                <w:sz w:val="20"/>
                <w:u w:val="none"/>
              </w:rPr>
            </w:r>
          </w:p>
        </w:tc>
        <w:tc>
          <w:tcPr>
            <w:tcW w:type="dxa" w:w="1323"/>
          </w:tcPr>
          <w:p>
            <w:pPr>
              <w:spacing w:before="40" w:after="40" w:line="240" w:lineRule="auto"/>
              <w:jc w:val="left"/>
            </w:pPr>
            <w:r/>
            <w:r>
              <w:rPr>
                <w:rFonts w:ascii="Times New Roman" w:hAnsi="Times New Roman"/>
                <w:b w:val="0"/>
                <w:i w:val="0"/>
                <w:sz w:val="20"/>
                <w:u w:val="none"/>
              </w:rPr>
            </w:r>
          </w:p>
        </w:tc>
        <w:tc>
          <w:tcPr>
            <w:tcW w:type="dxa" w:w="1323"/>
          </w:tcPr>
          <w:p>
            <w:pPr>
              <w:spacing w:before="40" w:after="40" w:line="240" w:lineRule="auto"/>
              <w:jc w:val="left"/>
            </w:pPr>
            <w:r/>
            <w:r>
              <w:rPr>
                <w:rFonts w:ascii="Times New Roman" w:hAnsi="Times New Roman"/>
                <w:b w:val="0"/>
                <w:i w:val="0"/>
                <w:sz w:val="20"/>
                <w:u w:val="none"/>
              </w:rPr>
            </w:r>
          </w:p>
        </w:tc>
        <w:tc>
          <w:tcPr>
            <w:tcW w:type="dxa" w:w="1323"/>
          </w:tcPr>
          <w:p>
            <w:pPr>
              <w:spacing w:before="40" w:after="40" w:line="240" w:lineRule="auto"/>
              <w:jc w:val="left"/>
            </w:pPr>
            <w:r/>
            <w:r>
              <w:rPr>
                <w:rFonts w:ascii="Times New Roman" w:hAnsi="Times New Roman"/>
                <w:b w:val="0"/>
                <w:i w:val="0"/>
                <w:sz w:val="20"/>
                <w:u w:val="none"/>
              </w:rPr>
            </w:r>
          </w:p>
        </w:tc>
        <w:tc>
          <w:tcPr>
            <w:tcW w:type="dxa" w:w="1323"/>
          </w:tcPr>
          <w:p>
            <w:pPr>
              <w:spacing w:before="40" w:after="40" w:line="240" w:lineRule="auto"/>
              <w:jc w:val="left"/>
            </w:pPr>
            <w:r/>
            <w:r>
              <w:rPr>
                <w:rFonts w:ascii="Times New Roman" w:hAnsi="Times New Roman"/>
                <w:b w:val="0"/>
                <w:i w:val="0"/>
                <w:sz w:val="20"/>
                <w:u w:val="none"/>
              </w:rPr>
              <w:t>Previously published work</w:t>
            </w:r>
          </w:p>
        </w:tc>
      </w:tr>
      <w:tr>
        <w:tc>
          <w:tcPr>
            <w:tcW w:type="dxa" w:w="1323"/>
          </w:tcPr>
          <w:p>
            <w:pPr>
              <w:spacing w:before="40" w:after="40" w:line="240" w:lineRule="auto"/>
              <w:jc w:val="left"/>
            </w:pPr>
            <w:r/>
            <w:r>
              <w:rPr>
                <w:rFonts w:ascii="Times New Roman" w:hAnsi="Times New Roman"/>
                <w:b w:val="0"/>
                <w:i w:val="0"/>
                <w:sz w:val="20"/>
                <w:u w:val="none"/>
              </w:rPr>
              <w:t>3</w:t>
            </w:r>
          </w:p>
        </w:tc>
        <w:tc>
          <w:tcPr>
            <w:tcW w:type="dxa" w:w="1323"/>
          </w:tcPr>
          <w:p>
            <w:pPr>
              <w:spacing w:before="40" w:after="40" w:line="240" w:lineRule="auto"/>
              <w:jc w:val="left"/>
            </w:pPr>
            <w:r/>
            <w:r>
              <w:rPr>
                <w:rFonts w:ascii="Times New Roman" w:hAnsi="Times New Roman"/>
                <w:b w:val="0"/>
                <w:i w:val="0"/>
                <w:sz w:val="20"/>
                <w:u w:val="none"/>
              </w:rPr>
            </w:r>
          </w:p>
        </w:tc>
        <w:tc>
          <w:tcPr>
            <w:tcW w:type="dxa" w:w="1323"/>
          </w:tcPr>
          <w:p>
            <w:pPr>
              <w:spacing w:before="40" w:after="40" w:line="240" w:lineRule="auto"/>
              <w:jc w:val="left"/>
            </w:pPr>
            <w:r/>
            <w:r>
              <w:rPr>
                <w:rFonts w:ascii="Times New Roman" w:hAnsi="Times New Roman"/>
                <w:b w:val="0"/>
                <w:i w:val="0"/>
                <w:sz w:val="20"/>
                <w:u w:val="none"/>
              </w:rPr>
            </w:r>
          </w:p>
        </w:tc>
        <w:tc>
          <w:tcPr>
            <w:tcW w:type="dxa" w:w="1323"/>
          </w:tcPr>
          <w:p>
            <w:pPr>
              <w:spacing w:before="40" w:after="40" w:line="240" w:lineRule="auto"/>
              <w:jc w:val="left"/>
            </w:pPr>
            <w:r/>
            <w:r>
              <w:rPr>
                <w:rFonts w:ascii="Times New Roman" w:hAnsi="Times New Roman"/>
                <w:b w:val="0"/>
                <w:i w:val="0"/>
                <w:sz w:val="20"/>
                <w:u w:val="none"/>
              </w:rPr>
            </w:r>
          </w:p>
        </w:tc>
        <w:tc>
          <w:tcPr>
            <w:tcW w:type="dxa" w:w="1323"/>
          </w:tcPr>
          <w:p>
            <w:pPr>
              <w:spacing w:before="40" w:after="40" w:line="240" w:lineRule="auto"/>
              <w:jc w:val="left"/>
            </w:pPr>
            <w:r/>
            <w:r>
              <w:rPr>
                <w:rFonts w:ascii="Times New Roman" w:hAnsi="Times New Roman"/>
                <w:b w:val="0"/>
                <w:i w:val="0"/>
                <w:sz w:val="20"/>
                <w:u w:val="none"/>
              </w:rPr>
            </w:r>
          </w:p>
        </w:tc>
        <w:tc>
          <w:tcPr>
            <w:tcW w:type="dxa" w:w="1323"/>
          </w:tcPr>
          <w:p>
            <w:pPr>
              <w:spacing w:before="40" w:after="40" w:line="240" w:lineRule="auto"/>
              <w:jc w:val="left"/>
            </w:pPr>
            <w:r/>
            <w:r>
              <w:rPr>
                <w:rFonts w:ascii="Times New Roman" w:hAnsi="Times New Roman"/>
                <w:b w:val="0"/>
                <w:i w:val="0"/>
                <w:sz w:val="20"/>
                <w:u w:val="none"/>
              </w:rPr>
              <w:t>Conference paper by the author</w:t>
            </w:r>
          </w:p>
        </w:tc>
      </w:tr>
    </w:tbl>
    <w:p>
      <w:pPr>
        <w:keepNext w:val="0"/>
        <w:spacing w:before="0" w:after="200" w:line="360" w:lineRule="auto"/>
        <w:jc w:val="both"/>
      </w:pPr>
    </w:p>
    <w:p>
      <w:pPr>
        <w:keepNext w:val="0"/>
        <w:spacing w:before="0" w:after="120" w:line="360" w:lineRule="auto"/>
        <w:jc w:val="both"/>
      </w:pPr>
      <w:r>
        <w:rPr>
          <w:rFonts w:ascii="Times New Roman" w:hAnsi="Times New Roman"/>
          <w:b w:val="0"/>
          <w:i w:val="0"/>
          <w:sz w:val="24"/>
          <w:u w:val="none"/>
        </w:rPr>
        <w:t>I/We certify that the sources listed above represent my own previously published work or properly cited material, and their similarity in the dissertation does not constitute plagiarism. All such sources have been appropriately referenced in the dissertation.</w:t>
      </w:r>
    </w:p>
    <w:p>
      <w:pPr>
        <w:keepNext w:val="0"/>
        <w:spacing w:before="0" w:after="0" w:line="360" w:lineRule="auto"/>
        <w:jc w:val="both"/>
      </w:pPr>
    </w:p>
    <w:p>
      <w:pPr>
        <w:keepNext w:val="0"/>
        <w:spacing w:before="0" w:after="0" w:line="360" w:lineRule="auto"/>
        <w:jc w:val="both"/>
      </w:pPr>
    </w:p>
    <w:tbl>
      <w:tblPr>
        <w:tblW w:type="auto" w:w="0"/>
        <w:tblLook w:firstColumn="1" w:firstRow="1" w:lastColumn="0" w:lastRow="0" w:noHBand="0" w:noVBand="1" w:val="04A0"/>
      </w:tblPr>
      <w:tblGrid>
        <w:gridCol w:w="3968"/>
        <w:gridCol w:w="3968"/>
      </w:tblGrid>
      <w:tr>
        <w:tc>
          <w:tcPr>
            <w:tcW w:type="dxa" w:w="3968"/>
          </w:tcPr>
          <w:p>
            <w:pPr>
              <w:spacing w:before="80" w:after="80"/>
            </w:pPr>
            <w:r/>
            <w:r>
              <w:rPr>
                <w:rFonts w:ascii="Times New Roman" w:hAnsi="Times New Roman"/>
                <w:b/>
                <w:i w:val="0"/>
                <w:sz w:val="20"/>
                <w:u w:val="none"/>
              </w:rPr>
              <w:t>Student(s)</w:t>
            </w:r>
          </w:p>
        </w:tc>
        <w:tc>
          <w:tcPr>
            <w:tcW w:type="dxa" w:w="3968"/>
          </w:tcPr>
          <w:p>
            <w:pPr>
              <w:spacing w:before="80" w:after="80"/>
            </w:pPr>
            <w:r/>
            <w:r>
              <w:rPr>
                <w:rFonts w:ascii="Times New Roman" w:hAnsi="Times New Roman"/>
                <w:b/>
                <w:i w:val="0"/>
                <w:sz w:val="20"/>
                <w:u w:val="none"/>
              </w:rPr>
              <w:t>Supervisor</w:t>
            </w:r>
          </w:p>
        </w:tc>
      </w:tr>
      <w:tr>
        <w:tc>
          <w:tcPr>
            <w:tcW w:type="dxa" w:w="3968"/>
          </w:tcPr>
          <w:p>
            <w:pPr>
              <w:spacing w:before="80" w:after="80"/>
            </w:pPr>
            <w:r/>
            <w:r>
              <w:rPr>
                <w:rFonts w:ascii="Times New Roman" w:hAnsi="Times New Roman"/>
                <w:b w:val="0"/>
                <w:i w:val="0"/>
                <w:sz w:val="20"/>
                <w:u w:val="none"/>
              </w:rPr>
              <w:t>Name: ___________________</w:t>
            </w:r>
          </w:p>
        </w:tc>
        <w:tc>
          <w:tcPr>
            <w:tcW w:type="dxa" w:w="3968"/>
          </w:tcPr>
          <w:p>
            <w:pPr>
              <w:spacing w:before="80" w:after="80"/>
            </w:pPr>
            <w:r/>
            <w:r>
              <w:rPr>
                <w:rFonts w:ascii="Times New Roman" w:hAnsi="Times New Roman"/>
                <w:b w:val="0"/>
                <w:i w:val="0"/>
                <w:sz w:val="20"/>
                <w:u w:val="none"/>
              </w:rPr>
              <w:t>Name: ___________________</w:t>
            </w:r>
          </w:p>
        </w:tc>
      </w:tr>
      <w:tr>
        <w:tc>
          <w:tcPr>
            <w:tcW w:type="dxa" w:w="3968"/>
          </w:tcPr>
          <w:p>
            <w:pPr>
              <w:spacing w:before="80" w:after="80"/>
            </w:pPr>
            <w:r/>
            <w:r>
              <w:rPr>
                <w:rFonts w:ascii="Times New Roman" w:hAnsi="Times New Roman"/>
                <w:b w:val="0"/>
                <w:i w:val="0"/>
                <w:sz w:val="20"/>
                <w:u w:val="none"/>
              </w:rPr>
              <w:t>Registration No.: ________</w:t>
            </w:r>
          </w:p>
        </w:tc>
        <w:tc>
          <w:tcPr>
            <w:tcW w:type="dxa" w:w="3968"/>
          </w:tcPr>
          <w:p>
            <w:pPr>
              <w:spacing w:before="80" w:after="80"/>
            </w:pPr>
            <w:r/>
            <w:r>
              <w:rPr>
                <w:rFonts w:ascii="Times New Roman" w:hAnsi="Times New Roman"/>
                <w:b w:val="0"/>
                <w:i w:val="0"/>
                <w:sz w:val="20"/>
                <w:u w:val="none"/>
              </w:rPr>
              <w:t>Signature: ______________</w:t>
            </w:r>
          </w:p>
        </w:tc>
      </w:tr>
      <w:tr>
        <w:tc>
          <w:tcPr>
            <w:tcW w:type="dxa" w:w="3968"/>
          </w:tcPr>
          <w:p>
            <w:pPr>
              <w:spacing w:before="80" w:after="80"/>
            </w:pPr>
            <w:r/>
            <w:r>
              <w:rPr>
                <w:rFonts w:ascii="Times New Roman" w:hAnsi="Times New Roman"/>
                <w:b w:val="0"/>
                <w:i w:val="0"/>
                <w:sz w:val="20"/>
                <w:u w:val="none"/>
              </w:rPr>
              <w:t>Signature: ______________   Date: _______</w:t>
            </w:r>
          </w:p>
        </w:tc>
        <w:tc>
          <w:tcPr>
            <w:tcW w:type="dxa" w:w="3968"/>
          </w:tcPr>
          <w:p>
            <w:pPr>
              <w:spacing w:before="80" w:after="80"/>
            </w:pPr>
            <w:r/>
            <w:r>
              <w:rPr>
                <w:rFonts w:ascii="Times New Roman" w:hAnsi="Times New Roman"/>
                <w:b w:val="0"/>
                <w:i w:val="0"/>
                <w:sz w:val="20"/>
                <w:u w:val="none"/>
              </w:rPr>
              <w:t>Date: ___________________</w:t>
            </w:r>
          </w:p>
        </w:tc>
      </w:tr>
    </w:tbl>
    <w:sectPr w:rsidR="00FC693F" w:rsidRPr="0006063C" w:rsidSect="00034616">
      <w:footerReference w:type="default" r:id="rId16"/>
      <w:headerReference w:type="default" r:id="rId17"/>
      <w:pgSz w:w="11906" w:h="16838"/>
      <w:pgMar w:top="1701" w:right="1134" w:bottom="1701" w:left="2835" w:header="720" w:footer="720" w:gutter="0"/>
      <w:cols w:space="720"/>
      <w:docGrid w:linePitch="360"/>
      <w:pgNumType w:fmt="lowerRoman"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sz w:val="24"/>
        <w:u w:val="none"/>
      </w:rPr>
      <w:fldChar w:fldCharType="begin"/>
      <w:instrText xml:space="preserve"> PAGE \* lowerroman </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b w:val="0"/>
        <w:i w:val="0"/>
        <w:sz w:val="24"/>
        <w:u w:val="none"/>
      </w:rPr>
      <w:fldChar w:fldCharType="begin"/>
      <w:instrText xml:space="preserve"> PAGE </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b w:val="0"/>
        <w:i w:val="0"/>
        <w:sz w:val="24"/>
        <w:u w:val="none"/>
      </w:rPr>
      <w:fldChar w:fldCharType="begin"/>
      <w:instrText xml:space="preserve"> PAGE \* lowerroman </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2.xml"/><Relationship Id="rId14" Type="http://schemas.openxmlformats.org/officeDocument/2006/relationships/footer" Target="footer4.xml"/><Relationship Id="rId15" Type="http://schemas.openxmlformats.org/officeDocument/2006/relationships/header" Target="header3.xml"/><Relationship Id="rId16" Type="http://schemas.openxmlformats.org/officeDocument/2006/relationships/footer" Target="footer5.xml"/><Relationship Id="rId17"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