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AD6AD" w14:textId="19ACA5B8" w:rsidR="00F07F06" w:rsidRPr="00F07F06" w:rsidRDefault="008F5B4C" w:rsidP="00F07F06">
      <w:pPr>
        <w:spacing w:line="360" w:lineRule="auto"/>
        <w:rPr>
          <w:rFonts w:ascii="Arial" w:hAnsi="Arial" w:cs="Arial"/>
        </w:rPr>
      </w:pPr>
      <w:r w:rsidRPr="008F5B4C">
        <w:rPr>
          <w:rFonts w:ascii="Arial" w:hAnsi="Arial" w:cs="Arial"/>
        </w:rPr>
        <w:t>Im Rahmen des Kurses „Projekt: Software Engineering“ wird das webbasierte Spiel Mystic Maze konzipiert und umgesetzt. In der Konzeptionsphase wurden hierfür die Projektplanung, Anforderungsanalyse und Spezifikation durchgeführt.</w:t>
      </w:r>
      <w:r>
        <w:rPr>
          <w:rFonts w:ascii="Arial" w:hAnsi="Arial" w:cs="Arial"/>
        </w:rPr>
        <w:t xml:space="preserve"> </w:t>
      </w:r>
      <w:r w:rsidR="00F07F06" w:rsidRPr="00F07F06">
        <w:rPr>
          <w:rFonts w:ascii="Arial" w:hAnsi="Arial" w:cs="Arial"/>
        </w:rPr>
        <w:t>Das Spiel orientiert sich am Grundprinzip von „Das verrückte Labyrinth“, erweitert dieses jedoch durch eigene Spielelemente wie Spezialkacheln und individuelle Charakterfähigkeiten. Vorgesehen ist ein lokales Mehrspielerspiel für mindestens zwei Personen, die über verschiedene Endgeräte innerhalb desselben Netzwerks teilnehmen. Die Projektdokumentation definiert den angestrebten Funktionsumfang, den Kundennutzen sowie die wesentlichen Projektrisiken. Zusätzlich wurden die Umsetzung in Arbeitspakete gegliedert und Meilensteine für Planung, Architektur, Implementierung, Qualitätssicherung und Projektabschluss festgelegt</w:t>
      </w:r>
      <w:r w:rsidR="00F07F06">
        <w:rPr>
          <w:rFonts w:ascii="Arial" w:hAnsi="Arial" w:cs="Arial"/>
        </w:rPr>
        <w:t>.</w:t>
      </w:r>
    </w:p>
    <w:p w14:paraId="530A7148" w14:textId="6056FC10" w:rsidR="00F07F06" w:rsidRPr="00F07F06" w:rsidRDefault="00F07F06" w:rsidP="00F07F06">
      <w:pPr>
        <w:spacing w:line="360" w:lineRule="auto"/>
        <w:rPr>
          <w:rFonts w:ascii="Arial" w:hAnsi="Arial" w:cs="Arial"/>
        </w:rPr>
      </w:pPr>
      <w:r w:rsidRPr="00F07F06">
        <w:rPr>
          <w:rFonts w:ascii="Arial" w:hAnsi="Arial" w:cs="Arial"/>
        </w:rPr>
        <w:t xml:space="preserve">Im Anforderungsdokument wurden die relevanten Stakeholder sowie die funktionalen und nichtfunktionalen Anforderungen festgehalten. Der funktionale Umfang umfasst unter anderem das Erstellen und Beitreten zu Partien, das Verschieben und Drehen von </w:t>
      </w:r>
      <w:proofErr w:type="spellStart"/>
      <w:r w:rsidRPr="00F07F06">
        <w:rPr>
          <w:rFonts w:ascii="Arial" w:hAnsi="Arial" w:cs="Arial"/>
        </w:rPr>
        <w:t>Labyrinthkacheln</w:t>
      </w:r>
      <w:proofErr w:type="spellEnd"/>
      <w:r w:rsidRPr="00F07F06">
        <w:rPr>
          <w:rFonts w:ascii="Arial" w:hAnsi="Arial" w:cs="Arial"/>
        </w:rPr>
        <w:t xml:space="preserve">, die Bewegung der Spielfiguren, Ziel- und </w:t>
      </w:r>
      <w:proofErr w:type="spellStart"/>
      <w:r w:rsidRPr="00F07F06">
        <w:rPr>
          <w:rFonts w:ascii="Arial" w:hAnsi="Arial" w:cs="Arial"/>
        </w:rPr>
        <w:t>Artefaktmechaniken</w:t>
      </w:r>
      <w:proofErr w:type="spellEnd"/>
      <w:r w:rsidRPr="00F07F06">
        <w:rPr>
          <w:rFonts w:ascii="Arial" w:hAnsi="Arial" w:cs="Arial"/>
        </w:rPr>
        <w:t xml:space="preserve">, Spezialkacheln, Charakterfähigkeiten, Zugsteuerung sowie die Client-Server-Kommunikation. Ergänzend wurden </w:t>
      </w:r>
      <w:r w:rsidR="00F16034">
        <w:rPr>
          <w:rFonts w:ascii="Arial" w:hAnsi="Arial" w:cs="Arial"/>
        </w:rPr>
        <w:t>nicht funktionale Anforderungen</w:t>
      </w:r>
      <w:r w:rsidRPr="00F07F06">
        <w:rPr>
          <w:rFonts w:ascii="Arial" w:hAnsi="Arial" w:cs="Arial"/>
        </w:rPr>
        <w:t xml:space="preserve"> hinsichtlich Benutzerfreundlichkeit, Performance, Zuverlässigkeit, Konsistenz, Sicherheit, Wartbarkeit und Browserkompatibilität definiert.</w:t>
      </w:r>
    </w:p>
    <w:p w14:paraId="4B96596B" w14:textId="36507DE3" w:rsidR="00811E3E" w:rsidRPr="00F07F06" w:rsidRDefault="00F07F06" w:rsidP="00F07F06">
      <w:pPr>
        <w:spacing w:line="360" w:lineRule="auto"/>
        <w:rPr>
          <w:rFonts w:ascii="Arial" w:hAnsi="Arial" w:cs="Arial"/>
        </w:rPr>
      </w:pPr>
      <w:r w:rsidRPr="00F07F06">
        <w:rPr>
          <w:rFonts w:ascii="Arial" w:hAnsi="Arial" w:cs="Arial"/>
        </w:rPr>
        <w:t>Das Spezifikationsdokument konkretisiert diese Anforderungen durch ein fachliches Datenmodell, Geschäftsprozesse und verbindliche Geschäftsregeln. Die zentralen Abläufe „Partie erstellen und beitreten“ sowie „Partie durchführen“ werden dargestellt. Darüber hinaus werden der Systemkontext, die Kommunikation zwischen Webbrowser und Webserver sowie die wesentlichen Benutzeroberflächen und Eingabevalidierungen beschrieben.</w:t>
      </w:r>
    </w:p>
    <w:sectPr w:rsidR="00811E3E" w:rsidRPr="00F07F0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E3E"/>
    <w:rsid w:val="000C613B"/>
    <w:rsid w:val="003F5F15"/>
    <w:rsid w:val="004B7003"/>
    <w:rsid w:val="00811E3E"/>
    <w:rsid w:val="008F0E0B"/>
    <w:rsid w:val="008F5B4C"/>
    <w:rsid w:val="00F07F06"/>
    <w:rsid w:val="00F16034"/>
    <w:rsid w:val="00F6281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C5E47"/>
  <w15:chartTrackingRefBased/>
  <w15:docId w15:val="{E77F6BDE-5423-4E1A-83FB-BC8879707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11E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11E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11E3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11E3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11E3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11E3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11E3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11E3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11E3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11E3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11E3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11E3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11E3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11E3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11E3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11E3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11E3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11E3E"/>
    <w:rPr>
      <w:rFonts w:eastAsiaTheme="majorEastAsia" w:cstheme="majorBidi"/>
      <w:color w:val="272727" w:themeColor="text1" w:themeTint="D8"/>
    </w:rPr>
  </w:style>
  <w:style w:type="paragraph" w:styleId="Titel">
    <w:name w:val="Title"/>
    <w:basedOn w:val="Standard"/>
    <w:next w:val="Standard"/>
    <w:link w:val="TitelZchn"/>
    <w:uiPriority w:val="10"/>
    <w:qFormat/>
    <w:rsid w:val="00811E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11E3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11E3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11E3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11E3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11E3E"/>
    <w:rPr>
      <w:i/>
      <w:iCs/>
      <w:color w:val="404040" w:themeColor="text1" w:themeTint="BF"/>
    </w:rPr>
  </w:style>
  <w:style w:type="paragraph" w:styleId="Listenabsatz">
    <w:name w:val="List Paragraph"/>
    <w:basedOn w:val="Standard"/>
    <w:uiPriority w:val="34"/>
    <w:qFormat/>
    <w:rsid w:val="00811E3E"/>
    <w:pPr>
      <w:ind w:left="720"/>
      <w:contextualSpacing/>
    </w:pPr>
  </w:style>
  <w:style w:type="character" w:styleId="IntensiveHervorhebung">
    <w:name w:val="Intense Emphasis"/>
    <w:basedOn w:val="Absatz-Standardschriftart"/>
    <w:uiPriority w:val="21"/>
    <w:qFormat/>
    <w:rsid w:val="00811E3E"/>
    <w:rPr>
      <w:i/>
      <w:iCs/>
      <w:color w:val="0F4761" w:themeColor="accent1" w:themeShade="BF"/>
    </w:rPr>
  </w:style>
  <w:style w:type="paragraph" w:styleId="IntensivesZitat">
    <w:name w:val="Intense Quote"/>
    <w:basedOn w:val="Standard"/>
    <w:next w:val="Standard"/>
    <w:link w:val="IntensivesZitatZchn"/>
    <w:uiPriority w:val="30"/>
    <w:qFormat/>
    <w:rsid w:val="00811E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11E3E"/>
    <w:rPr>
      <w:i/>
      <w:iCs/>
      <w:color w:val="0F4761" w:themeColor="accent1" w:themeShade="BF"/>
    </w:rPr>
  </w:style>
  <w:style w:type="character" w:styleId="IntensiverVerweis">
    <w:name w:val="Intense Reference"/>
    <w:basedOn w:val="Absatz-Standardschriftart"/>
    <w:uiPriority w:val="32"/>
    <w:qFormat/>
    <w:rsid w:val="00811E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258</Words>
  <Characters>1626</Characters>
  <Application>Microsoft Office Word</Application>
  <DocSecurity>0</DocSecurity>
  <Lines>13</Lines>
  <Paragraphs>3</Paragraphs>
  <ScaleCrop>false</ScaleCrop>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Krautheuser</dc:creator>
  <cp:keywords/>
  <dc:description/>
  <cp:lastModifiedBy>Jessica Krautheuser</cp:lastModifiedBy>
  <cp:revision>8</cp:revision>
  <dcterms:created xsi:type="dcterms:W3CDTF">2026-09-27T12:11:00Z</dcterms:created>
  <dcterms:modified xsi:type="dcterms:W3CDTF">2026-09-27T13:11:00Z</dcterms:modified>
</cp:coreProperties>
</file>