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Printable decision canvas"/>
        <w:tag w:val="AGDOC.BODY.DECISION_CANVAS"/>
        <w:id w:val="1"/>
      </w:sdtPr>
      <w:sdtContent>
        <w:p>
          <w:pPr>
            <w:pStyle w:val="Heading2"/>
          </w:pPr>
          <w:r>
            <w:t>Decision canvas</w:t>
          </w:r>
        </w:p>
        <w:p>
          <w:r>
            <w:t>Complete the four boxes before the session closes. Use short, observable language.</w:t>
          </w:r>
        </w:p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left w:val="single" w:sz="8" w:color="3D2B56"/>
              <w:right w:val="single" w:sz="8" w:color="3D2B56"/>
              <w:top w:val="single" w:sz="8" w:color="3D2B56"/>
              <w:bottom w:val="single" w:sz="8" w:color="3D2B56"/>
              <w:insideH w:val="single" w:sz="8" w:color="3D2B56"/>
              <w:insideV w:val="single" w:sz="8" w:color="3D2B56"/>
            </w:tblBorders>
          </w:tblPr>
          <w:tblGrid>
            <w:gridCol w:w="4592"/>
            <w:gridCol w:w="4592"/>
          </w:tblGrid>
          <w:tr>
            <w:trPr>
              <w:trHeight w:val="2268" w:hRule="atLeast"/>
            </w:trPr>
            <w:tc>
              <w:tcPr>
                <w:tcW w:type="dxa" w:w="4933"/>
                <w:vAlign w:val="top"/>
                <w:shd w:fill="FFFDF9"/>
                <w:tcMar>
                  <w:top w:w="150" w:type="dxa"/>
                  <w:start w:w="150" w:type="dxa"/>
                  <w:bottom w:w="150" w:type="dxa"/>
                  <w:end w:w="150" w:type="dxa"/>
                </w:tcMar>
              </w:tcPr>
              <w:p>
                <w:r>
                  <w:rPr>
                    <w:rFonts w:ascii="Aptos" w:hAnsi="Aptos"/>
                    <w:b/>
                    <w:color w:val="D75D45"/>
                    <w:sz w:val="18"/>
                  </w:rPr>
                  <w:t>THE CHOICE</w:t>
                </w:r>
              </w:p>
              <w:p>
                <w:r>
                  <w:rPr>
                    <w:rFonts w:ascii="Aptos" w:hAnsi="Aptos"/>
                    <w:color w:val="746777"/>
                    <w:sz w:val="20"/>
                  </w:rPr>
                  <w:t>We decided…</w:t>
                  <w:br/>
                  <w:br/>
                  <w:br/>
                </w:r>
              </w:p>
            </w:tc>
            <w:tc>
              <w:tcPr>
                <w:tcW w:type="dxa" w:w="4933"/>
                <w:vAlign w:val="top"/>
                <w:shd w:fill="FFFDF9"/>
                <w:tcMar>
                  <w:top w:w="150" w:type="dxa"/>
                  <w:start w:w="150" w:type="dxa"/>
                  <w:bottom w:w="150" w:type="dxa"/>
                  <w:end w:w="150" w:type="dxa"/>
                </w:tcMar>
              </w:tcPr>
              <w:p>
                <w:r>
                  <w:rPr>
                    <w:rFonts w:ascii="Aptos" w:hAnsi="Aptos"/>
                    <w:b/>
                    <w:color w:val="D75D45"/>
                    <w:sz w:val="18"/>
                  </w:rPr>
                  <w:t>WHY THIS OPTION</w:t>
                </w:r>
              </w:p>
              <w:p>
                <w:r>
                  <w:rPr>
                    <w:rFonts w:ascii="Aptos" w:hAnsi="Aptos"/>
                    <w:color w:val="746777"/>
                    <w:sz w:val="20"/>
                  </w:rPr>
                  <w:t>It best meets…</w:t>
                  <w:br/>
                  <w:br/>
                  <w:br/>
                </w:r>
              </w:p>
            </w:tc>
          </w:tr>
          <w:tr>
            <w:trPr>
              <w:trHeight w:val="2268" w:hRule="atLeast"/>
            </w:trPr>
            <w:tc>
              <w:tcPr>
                <w:tcW w:type="dxa" w:w="4933"/>
                <w:vAlign w:val="top"/>
                <w:shd w:fill="FFFDF9"/>
                <w:tcMar>
                  <w:top w:w="150" w:type="dxa"/>
                  <w:start w:w="150" w:type="dxa"/>
                  <w:bottom w:w="150" w:type="dxa"/>
                  <w:end w:w="150" w:type="dxa"/>
                </w:tcMar>
              </w:tcPr>
              <w:p>
                <w:r>
                  <w:rPr>
                    <w:rFonts w:ascii="Aptos" w:hAnsi="Aptos"/>
                    <w:b/>
                    <w:color w:val="D75D45"/>
                    <w:sz w:val="18"/>
                  </w:rPr>
                  <w:t>OWNER + NEXT ACTION</w:t>
                </w:r>
              </w:p>
              <w:p>
                <w:r>
                  <w:rPr>
                    <w:rFonts w:ascii="Aptos" w:hAnsi="Aptos"/>
                    <w:color w:val="746777"/>
                    <w:sz w:val="20"/>
                  </w:rPr>
                  <w:t>Name / action / due point…</w:t>
                  <w:br/>
                  <w:br/>
                  <w:br/>
                </w:r>
              </w:p>
            </w:tc>
            <w:tc>
              <w:tcPr>
                <w:tcW w:type="dxa" w:w="4933"/>
                <w:vAlign w:val="top"/>
                <w:shd w:fill="FFFDF9"/>
                <w:tcMar>
                  <w:top w:w="150" w:type="dxa"/>
                  <w:start w:w="150" w:type="dxa"/>
                  <w:bottom w:w="150" w:type="dxa"/>
                  <w:end w:w="150" w:type="dxa"/>
                </w:tcMar>
              </w:tcPr>
              <w:p>
                <w:r>
                  <w:rPr>
                    <w:rFonts w:ascii="Aptos" w:hAnsi="Aptos"/>
                    <w:b/>
                    <w:color w:val="D75D45"/>
                    <w:sz w:val="18"/>
                  </w:rPr>
                  <w:t>REVIEW TRIGGER</w:t>
                </w:r>
              </w:p>
              <w:p>
                <w:r>
                  <w:rPr>
                    <w:rFonts w:ascii="Aptos" w:hAnsi="Aptos"/>
                    <w:color w:val="746777"/>
                    <w:sz w:val="20"/>
                  </w:rPr>
                  <w:t>We will revisit this when…</w:t>
                  <w:br/>
                  <w:br/>
                  <w:br/>
                </w:r>
              </w:p>
            </w:tc>
          </w:tr>
        </w:tbl>
      </w:sdtContent>
    </w:sdt>
    <w:sectPr w:rsidR="00FC693F" w:rsidRPr="0006063C" w:rsidSect="00034616"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2A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D75D45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D2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74677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746777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746777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3D2B56"/>
      <w:spacing w:val="5"/>
      <w:kern w:val="28"/>
      <w:sz w:val="7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7467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2A243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74677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oryboardCallout">
    <w:name w:val="Storyboard Callout"/>
    <w:basedOn w:val="Normal"/>
    <w:pPr>
      <w:spacing w:before="160" w:after="160"/>
      <w:ind w:left="198" w:right="113"/>
      <w:shd w:fill="F3E5D8"/>
      <w:pBdr>
        <w:left w:val="single" w:sz="18" w:space="8" w:color="D75D45"/>
      </w:pBdr>
    </w:pPr>
    <w:rPr>
      <w:rFonts w:ascii="Aptos" w:hAnsi="Aptos" w:eastAsia="Aptos"/>
      <w:color w:val="2A2430"/>
      <w:sz w:val="20"/>
    </w:rPr>
  </w:style>
  <w:style w:type="paragraph" w:customStyle="1" w:styleId="StoryboardCue">
    <w:name w:val="Storyboard Cue"/>
    <w:basedOn w:val="Normal"/>
    <w:pPr>
      <w:spacing w:before="100" w:after="140"/>
      <w:ind w:left="255" w:right="113"/>
      <w:shd w:fill="F7EFE8"/>
      <w:pBdr>
        <w:left w:val="single" w:sz="18" w:space="8" w:color="EFCB68"/>
      </w:pBdr>
    </w:pPr>
    <w:rPr>
      <w:rFonts w:ascii="Cascadia Mono" w:hAnsi="Cascadia Mono" w:eastAsia="Cascadia Mono"/>
      <w:color w:val="3D2B5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canvas</dc:title>
  <dc:subject>Editable worksheet fragment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