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40"/>
      </w:pPr>
    </w:p>
    <w:p>
      <w:pPr>
        <w:pStyle w:val="ManuscriptKicker"/>
      </w:pPr>
      <w:r>
        <w:t>SYSTEM DESIGN AND ENGINEERING EVALUATION</w:t>
      </w:r>
    </w:p>
    <w:p>
      <w:pPr>
        <w:pStyle w:val="Title"/>
      </w:pPr>
      <w:r>
        <w:t>FingerSpeak: A Local-First Multimodal Assistive Communication Architecture</w:t>
      </w:r>
    </w:p>
    <w:p>
      <w:pPr>
        <w:pStyle w:val="Subtitle"/>
      </w:pPr>
      <w:r>
        <w:t>End-to-end design, implementation analysis, trust boundaries, model pipeline, and verification evidence</w:t>
      </w:r>
    </w:p>
    <w:p>
      <w:pPr>
        <w:pStyle w:val="CoverMetadata"/>
      </w:pPr>
      <w:r>
        <w:t>[Author Name(s)]</w:t>
      </w:r>
    </w:p>
    <w:p>
      <w:pPr>
        <w:pStyle w:val="CoverMetadata"/>
      </w:pPr>
      <w:r>
        <w:t>[Department, Institution, City, Country]</w:t>
      </w:r>
    </w:p>
    <w:p>
      <w:pPr>
        <w:pStyle w:val="CoverMetadata"/>
      </w:pPr>
      <w:r>
        <w:t>Corresponding author: [email address]</w:t>
      </w:r>
    </w:p>
    <w:p>
      <w:pPr>
        <w:pStyle w:val="CoverMetadata"/>
      </w:pPr>
      <w:r>
        <w:t>Manuscript type: Original system design and engineering evaluation</w:t>
      </w:r>
    </w:p>
    <w:p>
      <w:pPr>
        <w:pStyle w:val="CoverMetadata"/>
      </w:pPr>
      <w:r>
        <w:t>Repository snapshot: 8860040 plus working-tree changes | Prepared 25 August 2026</w:t>
      </w:r>
    </w:p>
    <w:p>
      <w:pPr>
        <w:spacing w:after="680"/>
      </w:pPr>
    </w:p>
    <w:tbl>
      <w:tblPr>
        <w:tblW w:w="9360" w:type="dxa"/>
        <w:jc w:val="left"/>
        <w:tblLook w:firstColumn="1" w:firstRow="1" w:lastColumn="0" w:lastRow="0" w:noHBand="0" w:noVBand="1" w:val="04A0"/>
        <w:tblInd w:w="120" w:type="dxa"/>
        <w:tblLayout w:type="fixed"/>
        <w:tblBorders>
          <w:top w:val="single" w:sz="7" w:space="0" w:color="D38B2C"/>
          <w:left w:val="single" w:sz="7" w:space="0" w:color="D38B2C"/>
          <w:bottom w:val="single" w:sz="7" w:space="0" w:color="D38B2C"/>
          <w:right w:val="single" w:sz="7" w:space="0" w:color="D38B2C"/>
          <w:insideH w:val="single" w:sz="7" w:space="0" w:color="D38B2C"/>
          <w:insideV w:val="single" w:sz="7" w:space="0" w:color="D38B2C"/>
        </w:tblBorders>
      </w:tblPr>
      <w:tblGrid>
        <w:gridCol w:w="9360"/>
      </w:tblGrid>
      <w:tr>
        <w:trPr>
          <w:cantSplit/>
          <w:tblHeader w:val="true"/>
        </w:trPr>
        <w:tc>
          <w:tcPr>
            <w:tcW w:type="dxa" w:w="9360"/>
            <w:vAlign w:val="center"/>
            <w:tcMar>
              <w:top w:w="150" w:type="dxa"/>
              <w:start w:w="180" w:type="dxa"/>
              <w:bottom w:w="150" w:type="dxa"/>
              <w:end w:w="180" w:type="dxa"/>
            </w:tcMar>
            <w:shd w:fill="FFF4E5" w:val="clear"/>
          </w:tcPr>
          <w:p>
            <w:pPr>
              <w:spacing w:before="0" w:after="0" w:line="276" w:lineRule="auto"/>
            </w:pPr>
            <w:r>
              <w:rPr>
                <w:rFonts w:ascii="Calibri" w:hAnsi="Calibri" w:eastAsia="Calibri"/>
                <w:b/>
                <w:color w:val="8A5A16"/>
                <w:sz w:val="19"/>
              </w:rPr>
              <w:t xml:space="preserve">PROTOTYPE STATUS  </w:t>
            </w:r>
            <w:r>
              <w:rPr>
                <w:rFonts w:ascii="Calibri" w:hAnsi="Calibri" w:eastAsia="Calibri"/>
                <w:color w:val="000000"/>
                <w:sz w:val="19"/>
              </w:rPr>
              <w:t>FingerSpeak is a research and portfolio prototype. It is not a validated medical device, emergency service, or wheelchair-control system, and the manuscript reports no clinical efficacy claim.</w:t>
            </w:r>
          </w:p>
        </w:tc>
      </w:tr>
    </w:tbl>
    <w:p>
      <w:pPr>
        <w:spacing w:after="40"/>
      </w:pPr>
    </w:p>
    <w:p>
      <w:r>
        <w:br w:type="page"/>
      </w:r>
    </w:p>
    <w:p>
      <w:pPr>
        <w:pStyle w:val="Heading1"/>
      </w:pPr>
      <w:r>
        <w:t>Abstract</w:t>
      </w:r>
    </w:p>
    <w:p>
      <w:pPr>
        <w:pStyle w:val="AbstractText"/>
      </w:pPr>
      <w:r>
        <w:t>People with complex communication and motor access needs may require communication methods that remain available across changes in connectivity, posture, fatigue, device location, and caregiver presence. This manuscript presents FingerSpeak, a local-first assistive communication prototype that coordinates a patient phone, a wheelchair-mounted Raspberry Pi, a caregiver client, a cloud control plane, and an offline model-development toolchain. The architecture keeps the primary hand-gesture-to-phrase path, captions, speech output, contact access, and explicit confirmation on the patient device. A bounded, authenticated local WebSocket carries only semantic intent, captions, acknowledgements, status, and telemetry between the phone and Raspberry Pi. Optional cloud services provide consented metadata synchronization, durable caregiver alerts, registered-device state, and a bounded text companion; camera frames, raw landmarks, calibration sequences, and wheelchair motor commands are excluded from cloud interfaces.</w:t>
      </w:r>
    </w:p>
    <w:p>
      <w:pPr>
        <w:pStyle w:val="AbstractText"/>
      </w:pPr>
      <w:r>
        <w:t>The engineering method combined repository-wide source inspection, contract analysis, architecture reconstruction, and repeatable component-level verification. The primary web pipeline converts 20 frames of 63 hand-landmark coordinates into 20 by 98 engineered features, applies a personalized nearest-prototype model, and gates output through confidence, dwell, and release logic. Across the Next web, rendered worker, Vue reference, API, ML, mobile JavaScript, Flutter, and edge suites, 293 cases were collected. The 246 non-edge cases passed; the 47-case edge suite varied across runs from 46 passing with one platform-specific skip to 44 passing, two failing, and one skipped. ESLint and Ruff each reported four errors. The audit also found material implementation-contract gaps: browser import does not enforce the documented training-profile digest, mobile inference and cloud boundaries diverge from the web/Python contract, and available ML evaluation is closed-set and synthetic rather than patient-independent or clinical. FingerSpeak therefore demonstrates a coherent safety-bounded reference architecture and a substantial tested prototype, while requiring contract convergence, target-user studies, hardware validation, accessibility remediation, security hardening, and formal risk management before real-world clinical use.</w:t>
      </w:r>
    </w:p>
    <w:p>
      <w:pPr>
        <w:pStyle w:val="Keywords"/>
      </w:pPr>
      <w:r>
        <w:rPr>
          <w:b/>
          <w:i w:val="0"/>
        </w:rPr>
        <w:t xml:space="preserve">Keywords: </w:t>
      </w:r>
      <w:r>
        <w:rPr>
          <w:b w:val="0"/>
          <w:i w:val="0"/>
        </w:rPr>
        <w:t>augmentative and alternative communication; personalized gesture recognition; edge computing; local-first software; Raspberry Pi; caregiver alerts; privacy engineering; assistive technology</w:t>
      </w:r>
    </w:p>
    <w:p>
      <w:pPr>
        <w:pStyle w:val="Heading2"/>
      </w:pPr>
      <w:r>
        <w:t>Highlights</w:t>
      </w:r>
    </w:p>
    <w:p>
      <w:pPr>
        <w:numPr>
          <w:ilvl w:val="0"/>
          <w:numId w:val="10"/>
        </w:numPr>
        <w:jc w:val="left"/>
      </w:pPr>
      <w:r>
        <w:t>A four-plane architecture separates patient interaction, wheelchair edge functions, cloud control, and offline model tooling.</w:t>
      </w:r>
    </w:p>
    <w:p>
      <w:pPr>
        <w:numPr>
          <w:ilvl w:val="0"/>
          <w:numId w:val="10"/>
        </w:numPr>
        <w:jc w:val="left"/>
      </w:pPr>
      <w:r>
        <w:t>Raw sensing is intended to remain local; network contracts carry bounded semantic events and explicitly exclude media and motor control.</w:t>
      </w:r>
    </w:p>
    <w:p>
      <w:pPr>
        <w:numPr>
          <w:ilvl w:val="0"/>
          <w:numId w:val="10"/>
        </w:numPr>
        <w:jc w:val="left"/>
      </w:pPr>
      <w:r>
        <w:t>Personalized hand inference is paired with out-of-distribution, dwell, release, and emergency-confirmation gates, but the score is not a calibrated probability.</w:t>
      </w:r>
    </w:p>
    <w:p>
      <w:pPr>
        <w:numPr>
          <w:ilvl w:val="0"/>
          <w:numId w:val="10"/>
        </w:numPr>
        <w:jc w:val="left"/>
      </w:pPr>
      <w:r>
        <w:t>Repository verification is substantial but not publication-green: repeat edge failures, accessibility/style lint debt, contract drift, and absent clinical evaluation remain.</w:t>
      </w:r>
    </w:p>
    <w:p>
      <w:r>
        <w:br w:type="page"/>
      </w:r>
    </w:p>
    <w:p>
      <w:pPr>
        <w:pStyle w:val="Heading1"/>
      </w:pPr>
      <w:r>
        <w:t>Contents</w:t>
      </w:r>
    </w:p>
    <w:p>
      <w:pPr>
        <w:pStyle w:val="TOCEntry"/>
        <w:tabs>
          <w:tab w:pos="9000" w:val="right" w:leader="dot"/>
        </w:tabs>
      </w:pPr>
      <w:r>
        <w:t>Introduction</w:t>
      </w:r>
      <w:r>
        <w:tab/>
        <w:t>4</w:t>
      </w:r>
    </w:p>
    <w:p>
      <w:pPr>
        <w:pStyle w:val="TOCEntry"/>
        <w:tabs>
          <w:tab w:pos="9000" w:val="right" w:leader="dot"/>
        </w:tabs>
      </w:pPr>
      <w:r>
        <w:t>Background and Related Work</w:t>
      </w:r>
      <w:r>
        <w:tab/>
        <w:t>5</w:t>
      </w:r>
    </w:p>
    <w:p>
      <w:pPr>
        <w:pStyle w:val="TOCEntry"/>
        <w:tabs>
          <w:tab w:pos="9000" w:val="right" w:leader="dot"/>
        </w:tabs>
      </w:pPr>
      <w:r>
        <w:t>Design Goals and Engineering Method</w:t>
      </w:r>
      <w:r>
        <w:tab/>
        <w:t>7</w:t>
      </w:r>
    </w:p>
    <w:p>
      <w:pPr>
        <w:pStyle w:val="TOCEntry"/>
        <w:tabs>
          <w:tab w:pos="9000" w:val="right" w:leader="dot"/>
        </w:tabs>
      </w:pPr>
      <w:r>
        <w:t>Whole System Architecture</w:t>
      </w:r>
      <w:r>
        <w:tab/>
        <w:t>9</w:t>
      </w:r>
    </w:p>
    <w:p>
      <w:pPr>
        <w:pStyle w:val="TOCEntry"/>
        <w:tabs>
          <w:tab w:pos="9000" w:val="right" w:leader="dot"/>
        </w:tabs>
      </w:pPr>
      <w:r>
        <w:t>Perception, Personalization, and Decision Logic</w:t>
      </w:r>
      <w:r>
        <w:tab/>
        <w:t>14</w:t>
      </w:r>
    </w:p>
    <w:p>
      <w:pPr>
        <w:pStyle w:val="TOCEntry"/>
        <w:tabs>
          <w:tab w:pos="9000" w:val="right" w:leader="dot"/>
        </w:tabs>
      </w:pPr>
      <w:r>
        <w:t>Interfaces, Protocols, and Communication Workflows</w:t>
      </w:r>
      <w:r>
        <w:tab/>
        <w:t>17</w:t>
      </w:r>
    </w:p>
    <w:p>
      <w:pPr>
        <w:pStyle w:val="TOCEntry"/>
        <w:tabs>
          <w:tab w:pos="9000" w:val="right" w:leader="dot"/>
        </w:tabs>
      </w:pPr>
      <w:r>
        <w:t>Privacy, Security, Safety, and Resilience</w:t>
      </w:r>
      <w:r>
        <w:tab/>
        <w:t>20</w:t>
      </w:r>
    </w:p>
    <w:p>
      <w:pPr>
        <w:pStyle w:val="TOCEntry"/>
        <w:tabs>
          <w:tab w:pos="9000" w:val="right" w:leader="dot"/>
        </w:tabs>
      </w:pPr>
      <w:r>
        <w:t>Implementation</w:t>
      </w:r>
      <w:r>
        <w:tab/>
        <w:t>22</w:t>
      </w:r>
    </w:p>
    <w:p>
      <w:pPr>
        <w:pStyle w:val="TOCEntry"/>
        <w:tabs>
          <w:tab w:pos="9000" w:val="right" w:leader="dot"/>
        </w:tabs>
      </w:pPr>
      <w:r>
        <w:t>Verification and Results</w:t>
      </w:r>
      <w:r>
        <w:tab/>
        <w:t>24</w:t>
      </w:r>
    </w:p>
    <w:p>
      <w:pPr>
        <w:pStyle w:val="TOCEntry"/>
        <w:tabs>
          <w:tab w:pos="9000" w:val="right" w:leader="dot"/>
        </w:tabs>
      </w:pPr>
      <w:r>
        <w:t>Discussion</w:t>
      </w:r>
      <w:r>
        <w:tab/>
        <w:t>26</w:t>
      </w:r>
    </w:p>
    <w:p>
      <w:pPr>
        <w:pStyle w:val="TOCEntry"/>
        <w:tabs>
          <w:tab w:pos="9000" w:val="right" w:leader="dot"/>
        </w:tabs>
      </w:pPr>
      <w:r>
        <w:t>Limitations and Threats to Validity</w:t>
      </w:r>
      <w:r>
        <w:tab/>
        <w:t>28</w:t>
      </w:r>
    </w:p>
    <w:p>
      <w:pPr>
        <w:pStyle w:val="TOCEntry"/>
        <w:tabs>
          <w:tab w:pos="9000" w:val="right" w:leader="dot"/>
        </w:tabs>
      </w:pPr>
      <w:r>
        <w:t>Future Work and Validation Roadmap</w:t>
      </w:r>
      <w:r>
        <w:tab/>
        <w:t>29</w:t>
      </w:r>
    </w:p>
    <w:p>
      <w:pPr>
        <w:pStyle w:val="TOCEntry"/>
        <w:tabs>
          <w:tab w:pos="9000" w:val="right" w:leader="dot"/>
        </w:tabs>
      </w:pPr>
      <w:r>
        <w:t>Conclusion</w:t>
      </w:r>
      <w:r>
        <w:tab/>
        <w:t>30</w:t>
      </w:r>
    </w:p>
    <w:p>
      <w:pPr>
        <w:pStyle w:val="TOCEntry"/>
        <w:tabs>
          <w:tab w:pos="9000" w:val="right" w:leader="dot"/>
        </w:tabs>
      </w:pPr>
      <w:r>
        <w:t>Declarations</w:t>
      </w:r>
      <w:r>
        <w:tab/>
        <w:t>31</w:t>
      </w:r>
    </w:p>
    <w:p>
      <w:pPr>
        <w:pStyle w:val="TOCEntry"/>
        <w:tabs>
          <w:tab w:pos="9000" w:val="right" w:leader="dot"/>
        </w:tabs>
      </w:pPr>
      <w:r>
        <w:t>References</w:t>
      </w:r>
      <w:r>
        <w:tab/>
        <w:t>32</w:t>
      </w:r>
    </w:p>
    <w:p>
      <w:pPr>
        <w:pStyle w:val="TOCEntry"/>
        <w:tabs>
          <w:tab w:pos="9000" w:val="right" w:leader="dot"/>
        </w:tabs>
      </w:pPr>
      <w:r>
        <w:t>Appendix A. Repository-to-Architecture Map</w:t>
      </w:r>
      <w:r>
        <w:tab/>
        <w:t>33</w:t>
      </w:r>
    </w:p>
    <w:p>
      <w:pPr>
        <w:pStyle w:val="TOCEntry"/>
        <w:tabs>
          <w:tab w:pos="9000" w:val="right" w:leader="dot"/>
        </w:tabs>
      </w:pPr>
      <w:r>
        <w:t>Appendix B. Protocol and Data Contract Matrix</w:t>
      </w:r>
      <w:r>
        <w:tab/>
        <w:t>33</w:t>
      </w:r>
    </w:p>
    <w:p>
      <w:pPr>
        <w:pStyle w:val="TOCEntry"/>
        <w:tabs>
          <w:tab w:pos="9000" w:val="right" w:leader="dot"/>
        </w:tabs>
      </w:pPr>
      <w:r>
        <w:t>Appendix C. Verification Record</w:t>
      </w:r>
      <w:r>
        <w:tab/>
        <w:t>35</w:t>
      </w:r>
    </w:p>
    <w:p>
      <w:pPr>
        <w:pStyle w:val="TOCEntry"/>
        <w:tabs>
          <w:tab w:pos="9000" w:val="right" w:leader="dot"/>
        </w:tabs>
      </w:pPr>
      <w:r>
        <w:t>Appendix D. Known Gaps and Risk Register</w:t>
      </w:r>
      <w:r>
        <w:tab/>
        <w:t>36</w:t>
      </w:r>
    </w:p>
    <w:tbl>
      <w:tblPr>
        <w:tblW w:w="9360" w:type="dxa"/>
        <w:jc w:val="left"/>
        <w:tblLook w:firstColumn="1" w:firstRow="1" w:lastColumn="0" w:lastRow="0" w:noHBand="0" w:noVBand="1" w:val="04A0"/>
        <w:tblInd w:w="120" w:type="dxa"/>
        <w:tblLayout w:type="fixed"/>
        <w:tblBorders>
          <w:top w:val="single" w:sz="7" w:space="0" w:color="C6D2E1"/>
          <w:left w:val="single" w:sz="7" w:space="0" w:color="C6D2E1"/>
          <w:bottom w:val="single" w:sz="7" w:space="0" w:color="C6D2E1"/>
          <w:right w:val="single" w:sz="7" w:space="0" w:color="C6D2E1"/>
          <w:insideH w:val="single" w:sz="7" w:space="0" w:color="C6D2E1"/>
          <w:insideV w:val="single" w:sz="7" w:space="0" w:color="C6D2E1"/>
        </w:tblBorders>
      </w:tblPr>
      <w:tblGrid>
        <w:gridCol w:w="9360"/>
      </w:tblGrid>
      <w:tr>
        <w:trPr>
          <w:cantSplit/>
          <w:tblHeader w:val="true"/>
        </w:trPr>
        <w:tc>
          <w:tcPr>
            <w:tcW w:type="dxa" w:w="9360"/>
            <w:vAlign w:val="center"/>
            <w:tcMar>
              <w:top w:w="150" w:type="dxa"/>
              <w:start w:w="180" w:type="dxa"/>
              <w:bottom w:w="150" w:type="dxa"/>
              <w:end w:w="180" w:type="dxa"/>
            </w:tcMar>
            <w:shd w:fill="F4F6F9" w:val="clear"/>
          </w:tcPr>
          <w:p>
            <w:pPr>
              <w:spacing w:before="0" w:after="0" w:line="276" w:lineRule="auto"/>
            </w:pPr>
            <w:r>
              <w:rPr>
                <w:rFonts w:ascii="Calibri" w:hAnsi="Calibri" w:eastAsia="Calibri"/>
                <w:b/>
                <w:color w:val="1F4D78"/>
                <w:sz w:val="19"/>
              </w:rPr>
              <w:t xml:space="preserve">NAVIGATION  </w:t>
            </w:r>
            <w:r>
              <w:rPr>
                <w:rFonts w:ascii="Calibri" w:hAnsi="Calibri" w:eastAsia="Calibri"/>
                <w:color w:val="000000"/>
                <w:sz w:val="19"/>
              </w:rPr>
              <w:t>The page numbers are generated from the final rendered manuscript and may need a field refresh if the document is substantially edited in Word.</w:t>
            </w:r>
          </w:p>
        </w:tc>
      </w:tr>
    </w:tbl>
    <w:p>
      <w:pPr>
        <w:spacing w:after="40"/>
      </w:pPr>
    </w:p>
    <w:p>
      <w:r>
        <w:br w:type="page"/>
      </w:r>
    </w:p>
    <w:p>
      <w:pPr>
        <w:pStyle w:val="Heading1"/>
      </w:pPr>
      <w:r>
        <w:t>Introduction</w:t>
      </w:r>
    </w:p>
    <w:p>
      <w:pPr>
        <w:pStyle w:val="Heading2"/>
      </w:pPr>
      <w:r>
        <w:t>Problem context</w:t>
      </w:r>
    </w:p>
    <w:p>
      <w:r>
        <w:t>Assistive communication is not a single classifier or interface feature. It is a sociotechnical pathway that must connect a person's available movement, intended message, chosen communication partner, output modality, and fallback strategy. The WHO and UNICEF estimate a large unmet global need for assistive technology and emphasize person-centred provision, enabling environments, service capacity, training, and follow-up [1]. AAC research likewise frames communicative competence across linguistic, operational, social, strategic, psychosocial, and environmental dimensions [2]. These perspectives imply that a technically accurate gesture classifier is insufficient if the system cannot be set up, corrected, heard, acknowledged, or used safely when the network fails.</w:t>
      </w:r>
    </w:p>
    <w:p>
      <w:r>
        <w:t>FingerSpeak addresses this broader systems problem as a local-first prototype for a patient phone, a wheelchair-mounted Raspberry Pi, and an authorized caregiver. The patient device is the principal communication surface. It performs local sensing and decision logic, displays captions, attempts local speech, supports contact handoff, and retains an independent touch-based pathway. The Raspberry Pi is a bounded edge appliance for a NoIR camera lifecycle, semantic intent, caption display, and device telemetry. The cloud control plane is optional for basic communication and is restricted to consented metadata, durable alerts, registered-device state, and bounded text interaction. The design explicitly excludes wheelchair propulsion, shell execution, media upload, and autonomous emergency action.</w:t>
      </w:r>
    </w:p>
    <w:p>
      <w:pPr>
        <w:pStyle w:val="Heading2"/>
      </w:pPr>
      <w:r>
        <w:t>Research objective</w:t>
      </w:r>
    </w:p>
    <w:p>
      <w:r>
        <w:t>The objective of this manuscript is to document the complete FingerSpeak system as implemented in the repository, reconcile its intended contracts with runtime behavior, and establish what the current evidence does and does not support. The primary research question is: how can a multimodal assistive communication prototype preserve a useful local pathway while integrating a wheelchair edge device, caregiver connectivity, optional AI assistance, and reproducible personalized-model tooling without expanding safety-sensitive trust boundaries unnecessarily? A secondary question is whether the implementation and verification evidence are internally consistent enough to justify progression to target-user and hardware studies.</w:t>
      </w:r>
    </w:p>
    <w:p>
      <w:pPr>
        <w:pStyle w:val="Heading2"/>
      </w:pPr>
      <w:r>
        <w:t>Contributions</w:t>
      </w:r>
    </w:p>
    <w:p>
      <w:pPr>
        <w:numPr>
          <w:ilvl w:val="0"/>
          <w:numId w:val="10"/>
        </w:numPr>
        <w:jc w:val="left"/>
      </w:pPr>
      <w:r>
        <w:t>An end-to-end logical, deployment, trust-boundary, and data-lifecycle architecture covering web, mobile, Raspberry Pi, API, database, caregiver, AI, and ML-tooling components.</w:t>
      </w:r>
    </w:p>
    <w:p>
      <w:pPr>
        <w:numPr>
          <w:ilvl w:val="0"/>
          <w:numId w:val="10"/>
        </w:numPr>
        <w:jc w:val="left"/>
      </w:pPr>
      <w:r>
        <w:t>A source-grounded description of the 20 x 63 to 20 x 98 feature pipeline, personalized prototype classifier, temporal state machine, face and eye intent paths, and model-bundle contract.</w:t>
      </w:r>
    </w:p>
    <w:p>
      <w:pPr>
        <w:numPr>
          <w:ilvl w:val="0"/>
          <w:numId w:val="10"/>
        </w:numPr>
        <w:jc w:val="left"/>
      </w:pPr>
      <w:r>
        <w:t>A protocol-level safety analysis of pairing, bounded envelopes, message idempotency, emergency-display priority, durable caregiver alerts, consent enforcement, and optional device relay.</w:t>
      </w:r>
    </w:p>
    <w:p>
      <w:pPr>
        <w:numPr>
          <w:ilvl w:val="0"/>
          <w:numId w:val="10"/>
        </w:numPr>
        <w:jc w:val="left"/>
      </w:pPr>
      <w:r>
        <w:t>An evidence-bounded engineering evaluation that reports successful tests and builds together with repeat failures, lint debt, unverified claims, version skew, and missing clinical evidence.</w:t>
      </w:r>
    </w:p>
    <w:p>
      <w:pPr>
        <w:numPr>
          <w:ilvl w:val="0"/>
          <w:numId w:val="10"/>
        </w:numPr>
        <w:jc w:val="left"/>
      </w:pPr>
      <w:r>
        <w:t>A staged validation roadmap aligned with person-centred AAC, accessibility, privacy-risk management, assistive-product testing, medical-device risk management, and usability engineering guidance [1], [11]-[15].</w:t>
      </w:r>
    </w:p>
    <w:tbl>
      <w:tblPr>
        <w:tblW w:w="9360" w:type="dxa"/>
        <w:jc w:val="left"/>
        <w:tblLook w:firstColumn="1" w:firstRow="1" w:lastColumn="0" w:lastRow="0" w:noHBand="0" w:noVBand="1" w:val="04A0"/>
        <w:tblInd w:w="120" w:type="dxa"/>
        <w:tblLayout w:type="fixed"/>
        <w:tblBorders>
          <w:top w:val="single" w:sz="7" w:space="0" w:color="D38B2C"/>
          <w:left w:val="single" w:sz="7" w:space="0" w:color="D38B2C"/>
          <w:bottom w:val="single" w:sz="7" w:space="0" w:color="D38B2C"/>
          <w:right w:val="single" w:sz="7" w:space="0" w:color="D38B2C"/>
          <w:insideH w:val="single" w:sz="7" w:space="0" w:color="D38B2C"/>
          <w:insideV w:val="single" w:sz="7" w:space="0" w:color="D38B2C"/>
        </w:tblBorders>
      </w:tblPr>
      <w:tblGrid>
        <w:gridCol w:w="9360"/>
      </w:tblGrid>
      <w:tr>
        <w:trPr>
          <w:cantSplit/>
          <w:tblHeader w:val="true"/>
        </w:trPr>
        <w:tc>
          <w:tcPr>
            <w:tcW w:type="dxa" w:w="9360"/>
            <w:vAlign w:val="center"/>
            <w:tcMar>
              <w:top w:w="150" w:type="dxa"/>
              <w:start w:w="180" w:type="dxa"/>
              <w:bottom w:w="150" w:type="dxa"/>
              <w:end w:w="180" w:type="dxa"/>
            </w:tcMar>
            <w:shd w:fill="FFF4E5" w:val="clear"/>
          </w:tcPr>
          <w:p>
            <w:pPr>
              <w:spacing w:before="0" w:after="0" w:line="276" w:lineRule="auto"/>
            </w:pPr>
            <w:r>
              <w:rPr>
                <w:rFonts w:ascii="Calibri" w:hAnsi="Calibri" w:eastAsia="Calibri"/>
                <w:b/>
                <w:color w:val="8A5A16"/>
                <w:sz w:val="19"/>
              </w:rPr>
              <w:t xml:space="preserve">TERMINOLOGY  </w:t>
            </w:r>
            <w:r>
              <w:rPr>
                <w:rFonts w:ascii="Calibri" w:hAnsi="Calibri" w:eastAsia="Calibri"/>
                <w:color w:val="000000"/>
                <w:sz w:val="19"/>
              </w:rPr>
              <w:t>FingerSpeak recognizes a personalized vocabulary of deliberate gestures and facial or eye intents. It is not presented as a general sign-language translation system, and no linguistic coverage of any signed language is claimed.</w:t>
            </w:r>
          </w:p>
        </w:tc>
      </w:tr>
    </w:tbl>
    <w:p>
      <w:pPr>
        <w:spacing w:after="40"/>
      </w:pPr>
    </w:p>
    <w:p>
      <w:pPr>
        <w:pStyle w:val="Heading1"/>
      </w:pPr>
      <w:r>
        <w:t>Background and Related Work</w:t>
      </w:r>
    </w:p>
    <w:p>
      <w:pPr>
        <w:pStyle w:val="Heading2"/>
      </w:pPr>
      <w:r>
        <w:t>AAC as a person-centred system</w:t>
      </w:r>
    </w:p>
    <w:p>
      <w:r>
        <w:t>AAC systems may include unaided communication, boards, symbols, speech-generating devices, switch access, eye gaze, partner-assisted methods, and combinations that change over time. Light and McNaughton's model of communicative competence directs attention beyond message production to operational skill, social participation, strategic repair, confidence, motivation, and environmental support [2]. FingerSpeak adopts this wider view by providing multiple access and output routes, a caregiver view, visible error states, local fallbacks, and explicit limits. The architecture nevertheless remains a prototype; it has not been evaluated with people who use AAC, speech-language pathologists, occupational therapists, rehabilitation engineers, or caregivers.</w:t>
      </w:r>
    </w:p>
    <w:p>
      <w:pPr>
        <w:pStyle w:val="Heading2"/>
      </w:pPr>
      <w:r>
        <w:t>Vision-based hand and gesture input</w:t>
      </w:r>
    </w:p>
    <w:p>
      <w:r>
        <w:t>MediaPipe Hands provides a two-stage, on-device pipeline that detects a palm and estimates 21 hand landmarks from an RGB image [3]. The method is suitable as a low-cost sensing substrate, but its reported tracking results do not validate an assistive vocabulary, personalized motor patterns, or safety-critical message activation. Dynamic gesture work further shows that continuous input requires temporal modeling and explicit treatment of background or non-gesture intervals [4]. FingerSpeak therefore uses a fixed temporal window, a protected rest state, dwell confirmation, and release-before-rearm rather than converting every nearest match into a phrase.</w:t>
      </w:r>
    </w:p>
    <w:p>
      <w:r>
        <w:t>Personalization is especially important for motor-access systems. Research with people who have limited movement reports heterogeneous, ability-specific gesture preferences and tracking challenges for small or muscle-only movements [6]. User-centred work with participants with quadriplegia similarly warns that standard gesture sets may be physically unsuitable [7]. FingerSpeak stores user-defined gesture names, phrases, risk categories, dwell values, and calibration sequences; however, the current primary web workflow accepts only two samples per gesture and lacks a representative-user assessment of fatigue, comfort, discriminability, or long-term drift.</w:t>
      </w:r>
    </w:p>
    <w:p>
      <w:pPr>
        <w:pStyle w:val="Heading2"/>
      </w:pPr>
      <w:r>
        <w:t>Confidence, rejection, and temporal confirmation</w:t>
      </w:r>
    </w:p>
    <w:p>
      <w:r>
        <w:t>Model output scores must be described carefully. Guo et al. show that modern model scores are often miscalibrated [8], while distance-based OOD research motivates rejecting inputs that lie outside known class regions [9]. FingerSpeak's nearest-prototype score is an inverse normalized distance, not a probability of correctness, and its OOD rule is a simple class-spread heuristic rather than the Mahalanobis framework of Lee et al. [9]. Dwell is treated as an interaction and safety control; prior mid-air selection research supports studying dwell as a context-sensitive parameter but does not justify transplanting published timings into a high-consequence assistive workflow [5].</w:t>
      </w:r>
    </w:p>
    <w:p>
      <w:pPr>
        <w:pStyle w:val="Heading2"/>
      </w:pPr>
      <w:r>
        <w:t>Local-first and edge principles</w:t>
      </w:r>
    </w:p>
    <w:p>
      <w:r>
        <w:t>Edge computing places processing close to the data source and can reduce latency, bandwidth use, and unnecessary data movement [10]. Local-first software further values offline capability, user control, and continued access even when a cloud service is unavailable [17]. FingerSpeak applies these ideas narrowly: local communication remains primary, while cloud features are additive. This architecture reduces exposure but does not make local data automatically safe. Calibration samples, phrase mappings, contact details, recordings, credentials, and exported profiles still require access control, retention, deletion, and recovery policies consistent with privacy-risk management [11].</w:t>
      </w:r>
    </w:p>
    <w:p>
      <w:pPr>
        <w:pStyle w:val="Heading2"/>
      </w:pPr>
      <w:r>
        <w:t>Accessibility and safety evaluation context</w:t>
      </w:r>
    </w:p>
    <w:p>
      <w:r>
        <w:t>WCAG 2.2 supplies testable criteria for perceivable, operable, understandable, and robust web interfaces [12]. ISO 21856 provides general requirements and tests for assistive products in its scope [13], ISO 14971 defines lifecycle medical-device risk management [14], and IEC 62366-1 defines safety-related usability engineering [15]. These sources are used as future evaluation targets, not evidence of compliance. The current repository has no documented WCAG conformance audit, formal risk-management file, summative usability validation, regulatory determination, or clinical performance study.</w:t>
      </w:r>
    </w:p>
    <w:p>
      <w:pPr>
        <w:pStyle w:val="Caption"/>
        <w:keepNext/>
        <w:spacing w:before="160" w:after="80"/>
        <w:jc w:val="left"/>
      </w:pPr>
      <w:r>
        <w:rPr>
          <w:b/>
        </w:rPr>
        <w:t xml:space="preserve">Table 1. </w:t>
      </w:r>
      <w:r>
        <w:t>Abbreviations and manuscript terminology</w:t>
      </w:r>
    </w:p>
    <w:tbl>
      <w:tblPr>
        <w:tblW w:w="9360" w:type="dxa"/>
        <w:tblLook w:firstColumn="1" w:firstRow="1" w:lastColumn="0" w:lastRow="0" w:noHBand="0" w:noVBand="1" w:val="04A0"/>
        <w:jc w:val="left"/>
        <w:tblBorders>
          <w:top w:val="single" w:sz="5" w:space="0" w:color="D7DBE2"/>
          <w:left w:val="single" w:sz="5" w:space="0" w:color="D7DBE2"/>
          <w:bottom w:val="single" w:sz="5" w:space="0" w:color="D7DBE2"/>
          <w:right w:val="single" w:sz="5" w:space="0" w:color="D7DBE2"/>
          <w:insideH w:val="single" w:sz="5" w:space="0" w:color="D7DBE2"/>
          <w:insideV w:val="single" w:sz="5" w:space="0" w:color="D7DBE2"/>
        </w:tblBorders>
        <w:tblInd w:w="120" w:type="dxa"/>
        <w:tblLayout w:type="fixed"/>
      </w:tblPr>
      <w:tblGrid>
        <w:gridCol w:w="1700"/>
        <w:gridCol w:w="7660"/>
      </w:tblGrid>
      <w:tr>
        <w:trPr>
          <w:cantSplit/>
          <w:tblHeader w:val="true"/>
        </w:trPr>
        <w:tc>
          <w:tcPr>
            <w:tcW w:type="dxa" w:w="170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8"/>
              </w:rPr>
              <w:t>Term</w:t>
            </w:r>
          </w:p>
        </w:tc>
        <w:tc>
          <w:tcPr>
            <w:tcW w:type="dxa" w:w="766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8"/>
              </w:rPr>
              <w:t>Meaning in this manuscript</w:t>
            </w:r>
          </w:p>
        </w:tc>
      </w:tr>
      <w:tr>
        <w:trPr>
          <w:cantSplit/>
        </w:trPr>
        <w:tc>
          <w:tcPr>
            <w:tcW w:type="dxa" w:w="170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8"/>
              </w:rPr>
              <w:t>AAC</w:t>
            </w:r>
          </w:p>
        </w:tc>
        <w:tc>
          <w:tcPr>
            <w:tcW w:type="dxa" w:w="766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8"/>
              </w:rPr>
              <w:t>Augmentative and alternative communication.</w:t>
            </w:r>
          </w:p>
        </w:tc>
      </w:tr>
      <w:tr>
        <w:trPr>
          <w:cantSplit/>
        </w:trPr>
        <w:tc>
          <w:tcPr>
            <w:tcW w:type="dxa" w:w="17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8"/>
              </w:rPr>
              <w:t>Asha</w:t>
            </w:r>
          </w:p>
        </w:tc>
        <w:tc>
          <w:tcPr>
            <w:tcW w:type="dxa" w:w="766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8"/>
              </w:rPr>
              <w:t>Optional bounded text companion operating behind the server boundary; not an autonomous clinician or emergency dispatcher.</w:t>
            </w:r>
          </w:p>
        </w:tc>
      </w:tr>
      <w:tr>
        <w:trPr>
          <w:cantSplit/>
        </w:trPr>
        <w:tc>
          <w:tcPr>
            <w:tcW w:type="dxa" w:w="17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8"/>
              </w:rPr>
              <w:t>Edge</w:t>
            </w:r>
          </w:p>
        </w:tc>
        <w:tc>
          <w:tcPr>
            <w:tcW w:type="dxa" w:w="76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8"/>
              </w:rPr>
              <w:t>The Raspberry Pi runtime located beside the NoIR camera and caption display.</w:t>
            </w:r>
          </w:p>
        </w:tc>
      </w:tr>
      <w:tr>
        <w:trPr>
          <w:cantSplit/>
        </w:trPr>
        <w:tc>
          <w:tcPr>
            <w:tcW w:type="dxa" w:w="17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8"/>
              </w:rPr>
              <w:t>OOD</w:t>
            </w:r>
          </w:p>
        </w:tc>
        <w:tc>
          <w:tcPr>
            <w:tcW w:type="dxa" w:w="766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8"/>
              </w:rPr>
              <w:t>Out-of-distribution rejection; in FingerSpeak, a simple prototype-distance gate.</w:t>
            </w:r>
          </w:p>
        </w:tc>
      </w:tr>
      <w:tr>
        <w:trPr>
          <w:cantSplit/>
        </w:trPr>
        <w:tc>
          <w:tcPr>
            <w:tcW w:type="dxa" w:w="17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8"/>
              </w:rPr>
              <w:t>PWA</w:t>
            </w:r>
          </w:p>
        </w:tc>
        <w:tc>
          <w:tcPr>
            <w:tcW w:type="dxa" w:w="76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8"/>
              </w:rPr>
              <w:t>Installable progressive web application; the primary coherent browser implementation.</w:t>
            </w:r>
          </w:p>
        </w:tc>
      </w:tr>
      <w:tr>
        <w:trPr>
          <w:cantSplit/>
        </w:trPr>
        <w:tc>
          <w:tcPr>
            <w:tcW w:type="dxa" w:w="1700"/>
            <w:shd w:fill="FAFBFC" w:val="clear"/>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8"/>
              </w:rPr>
              <w:t>Semantic intent</w:t>
            </w:r>
          </w:p>
        </w:tc>
        <w:tc>
          <w:tcPr>
            <w:tcW w:type="dxa" w:w="7660"/>
            <w:shd w:fill="FAFBFC" w:val="clear"/>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8"/>
              </w:rPr>
              <w:t>A bounded label such as blink or mouth_open, without images, landmarks, identity, emotion, pain, or diagnosis.</w:t>
            </w:r>
          </w:p>
        </w:tc>
      </w:tr>
      <w:tr>
        <w:trPr>
          <w:cantSplit/>
        </w:trPr>
        <w:tc>
          <w:tcPr>
            <w:tcW w:type="dxa" w:w="17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8"/>
              </w:rPr>
              <w:t>Confirmed request</w:t>
            </w:r>
          </w:p>
        </w:tc>
        <w:tc>
          <w:tcPr>
            <w:tcW w:type="dxa" w:w="76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8"/>
              </w:rPr>
              <w:t>A phrase or help action that has passed the relevant gesture, dwell, touch, or multi-event confirmation policy.</w:t>
            </w:r>
          </w:p>
        </w:tc>
      </w:tr>
    </w:tbl>
    <w:p>
      <w:pPr>
        <w:spacing w:after="40"/>
      </w:pPr>
    </w:p>
    <w:p>
      <w:pPr>
        <w:pStyle w:val="Heading1"/>
      </w:pPr>
      <w:r>
        <w:t>Design Goals and Engineering Method</w:t>
      </w:r>
    </w:p>
    <w:p>
      <w:pPr>
        <w:pStyle w:val="Heading2"/>
      </w:pPr>
      <w:r>
        <w:t>Design goals</w:t>
      </w:r>
    </w:p>
    <w:p>
      <w:r>
        <w:t>The architecture was assessed against the following goals. They are design intentions and repository-level acceptance criteria, not clinical requirements approved for an intended use.</w:t>
      </w:r>
    </w:p>
    <w:p>
      <w:pPr>
        <w:pStyle w:val="Caption"/>
        <w:keepNext/>
        <w:spacing w:before="160" w:after="80"/>
        <w:jc w:val="left"/>
      </w:pPr>
      <w:r>
        <w:rPr>
          <w:b/>
        </w:rPr>
        <w:t xml:space="preserve">Table 2. </w:t>
      </w:r>
      <w:r>
        <w:t>Functional and quality goals</w:t>
      </w:r>
    </w:p>
    <w:tbl>
      <w:tblPr>
        <w:tblW w:w="9360" w:type="dxa"/>
        <w:tblLook w:firstColumn="1" w:firstRow="1" w:lastColumn="0" w:lastRow="0" w:noHBand="0" w:noVBand="1" w:val="04A0"/>
        <w:jc w:val="left"/>
        <w:tblBorders>
          <w:top w:val="single" w:sz="5" w:space="0" w:color="D7DBE2"/>
          <w:left w:val="single" w:sz="5" w:space="0" w:color="D7DBE2"/>
          <w:bottom w:val="single" w:sz="5" w:space="0" w:color="D7DBE2"/>
          <w:right w:val="single" w:sz="5" w:space="0" w:color="D7DBE2"/>
          <w:insideH w:val="single" w:sz="5" w:space="0" w:color="D7DBE2"/>
          <w:insideV w:val="single" w:sz="5" w:space="0" w:color="D7DBE2"/>
        </w:tblBorders>
        <w:tblInd w:w="120" w:type="dxa"/>
        <w:tblLayout w:type="fixed"/>
      </w:tblPr>
      <w:tblGrid>
        <w:gridCol w:w="700"/>
        <w:gridCol w:w="2180"/>
        <w:gridCol w:w="6480"/>
      </w:tblGrid>
      <w:tr>
        <w:trPr>
          <w:cantSplit/>
          <w:tblHeader w:val="true"/>
        </w:trPr>
        <w:tc>
          <w:tcPr>
            <w:tcW w:type="dxa" w:w="70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7"/>
              </w:rPr>
              <w:t>ID</w:t>
            </w:r>
          </w:p>
        </w:tc>
        <w:tc>
          <w:tcPr>
            <w:tcW w:type="dxa" w:w="218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7"/>
              </w:rPr>
              <w:t>Goal</w:t>
            </w:r>
          </w:p>
        </w:tc>
        <w:tc>
          <w:tcPr>
            <w:tcW w:type="dxa" w:w="648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7"/>
              </w:rPr>
              <w:t>Repository-level interpretation</w:t>
            </w:r>
          </w:p>
        </w:tc>
      </w:tr>
      <w:tr>
        <w:trPr>
          <w:cantSplit/>
        </w:trPr>
        <w:tc>
          <w:tcPr>
            <w:tcW w:type="dxa" w:w="70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7"/>
              </w:rPr>
              <w:t>G1</w:t>
            </w:r>
          </w:p>
        </w:tc>
        <w:tc>
          <w:tcPr>
            <w:tcW w:type="dxa" w:w="218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7"/>
              </w:rPr>
              <w:t>Local continuity</w:t>
            </w:r>
          </w:p>
        </w:tc>
        <w:tc>
          <w:tcPr>
            <w:tcW w:type="dxa" w:w="648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7"/>
              </w:rPr>
              <w:t>Confirmed phrases, captions, speech attempts, contact access, and backup AAC remain available without the API or AI provider.</w:t>
            </w:r>
          </w:p>
        </w:tc>
      </w:tr>
      <w:tr>
        <w:trPr>
          <w:cantSplit/>
        </w:trPr>
        <w:tc>
          <w:tcPr>
            <w:tcW w:type="dxa" w:w="7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7"/>
              </w:rPr>
              <w:t>G2</w:t>
            </w:r>
          </w:p>
        </w:tc>
        <w:tc>
          <w:tcPr>
            <w:tcW w:type="dxa" w:w="218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7"/>
              </w:rPr>
              <w:t>Personalization</w:t>
            </w:r>
          </w:p>
        </w:tc>
        <w:tc>
          <w:tcPr>
            <w:tcW w:type="dxa" w:w="648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7"/>
              </w:rPr>
              <w:t>Gesture vocabulary, phrase, icon, risk, dwell, and calibration are user/profile-specific.</w:t>
            </w:r>
          </w:p>
        </w:tc>
      </w:tr>
      <w:tr>
        <w:trPr>
          <w:cantSplit/>
        </w:trPr>
        <w:tc>
          <w:tcPr>
            <w:tcW w:type="dxa" w:w="7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7"/>
              </w:rPr>
              <w:t>G3</w:t>
            </w:r>
          </w:p>
        </w:tc>
        <w:tc>
          <w:tcPr>
            <w:tcW w:type="dxa" w:w="218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7"/>
              </w:rPr>
              <w:t>Fail-closed activation</w:t>
            </w:r>
          </w:p>
        </w:tc>
        <w:tc>
          <w:tcPr>
            <w:tcW w:type="dxa" w:w="648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7"/>
              </w:rPr>
              <w:t>Unknown, low-score, unstable, stale, replayed, or out-of-policy signals do not become actions.</w:t>
            </w:r>
          </w:p>
        </w:tc>
      </w:tr>
      <w:tr>
        <w:trPr>
          <w:cantSplit/>
        </w:trPr>
        <w:tc>
          <w:tcPr>
            <w:tcW w:type="dxa" w:w="7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7"/>
              </w:rPr>
              <w:t>G4</w:t>
            </w:r>
          </w:p>
        </w:tc>
        <w:tc>
          <w:tcPr>
            <w:tcW w:type="dxa" w:w="218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7"/>
              </w:rPr>
              <w:t>Bounded edge control</w:t>
            </w:r>
          </w:p>
        </w:tc>
        <w:tc>
          <w:tcPr>
            <w:tcW w:type="dxa" w:w="648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7"/>
              </w:rPr>
              <w:t>Pi interfaces accept only strict status, caption, emergency-display, heartbeat, acknowledgement, and semantic-intent messages.</w:t>
            </w:r>
          </w:p>
        </w:tc>
      </w:tr>
      <w:tr>
        <w:trPr>
          <w:cantSplit/>
        </w:trPr>
        <w:tc>
          <w:tcPr>
            <w:tcW w:type="dxa" w:w="7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7"/>
              </w:rPr>
              <w:t>G5</w:t>
            </w:r>
          </w:p>
        </w:tc>
        <w:tc>
          <w:tcPr>
            <w:tcW w:type="dxa" w:w="218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7"/>
              </w:rPr>
              <w:t>Explicit consent</w:t>
            </w:r>
          </w:p>
        </w:tc>
        <w:tc>
          <w:tcPr>
            <w:tcW w:type="dxa" w:w="648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7"/>
              </w:rPr>
              <w:t>Derived events and caregiver alerts are separate opt-ins; import cannot silently enable sharing.</w:t>
            </w:r>
          </w:p>
        </w:tc>
      </w:tr>
      <w:tr>
        <w:trPr>
          <w:cantSplit/>
        </w:trPr>
        <w:tc>
          <w:tcPr>
            <w:tcW w:type="dxa" w:w="7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7"/>
              </w:rPr>
              <w:t>G6</w:t>
            </w:r>
          </w:p>
        </w:tc>
        <w:tc>
          <w:tcPr>
            <w:tcW w:type="dxa" w:w="218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7"/>
              </w:rPr>
              <w:t>Caregiver resilience</w:t>
            </w:r>
          </w:p>
        </w:tc>
        <w:tc>
          <w:tcPr>
            <w:tcW w:type="dxa" w:w="648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7"/>
              </w:rPr>
              <w:t>Alerts are committed before live fan-out and can be replayed after reconnect.</w:t>
            </w:r>
          </w:p>
        </w:tc>
      </w:tr>
      <w:tr>
        <w:trPr>
          <w:cantSplit/>
        </w:trPr>
        <w:tc>
          <w:tcPr>
            <w:tcW w:type="dxa" w:w="7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7"/>
              </w:rPr>
              <w:t>G7</w:t>
            </w:r>
          </w:p>
        </w:tc>
        <w:tc>
          <w:tcPr>
            <w:tcW w:type="dxa" w:w="218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7"/>
              </w:rPr>
              <w:t>Honest telemetry</w:t>
            </w:r>
          </w:p>
        </w:tc>
        <w:tc>
          <w:tcPr>
            <w:tcW w:type="dxa" w:w="648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7"/>
              </w:rPr>
              <w:t>Unknown battery or connectivity state remains unknown rather than being fabricated.</w:t>
            </w:r>
          </w:p>
        </w:tc>
      </w:tr>
      <w:tr>
        <w:trPr>
          <w:cantSplit/>
        </w:trPr>
        <w:tc>
          <w:tcPr>
            <w:tcW w:type="dxa" w:w="7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7"/>
              </w:rPr>
              <w:t>G8</w:t>
            </w:r>
          </w:p>
        </w:tc>
        <w:tc>
          <w:tcPr>
            <w:tcW w:type="dxa" w:w="218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7"/>
              </w:rPr>
              <w:t>No autonomous escalation</w:t>
            </w:r>
          </w:p>
        </w:tc>
        <w:tc>
          <w:tcPr>
            <w:tcW w:type="dxa" w:w="648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7"/>
              </w:rPr>
              <w:t>Asha or an inferred intent cannot place a call, send an alert, or control the Pi without explicit policy and confirmation.</w:t>
            </w:r>
          </w:p>
        </w:tc>
      </w:tr>
      <w:tr>
        <w:trPr>
          <w:cantSplit/>
        </w:trPr>
        <w:tc>
          <w:tcPr>
            <w:tcW w:type="dxa" w:w="70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7"/>
              </w:rPr>
              <w:t>G9</w:t>
            </w:r>
          </w:p>
        </w:tc>
        <w:tc>
          <w:tcPr>
            <w:tcW w:type="dxa" w:w="218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7"/>
              </w:rPr>
              <w:t>Replaceable models</w:t>
            </w:r>
          </w:p>
        </w:tc>
        <w:tc>
          <w:tcPr>
            <w:tcW w:type="dxa" w:w="648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7"/>
              </w:rPr>
              <w:t>Model artifacts carry version, dimensions, classes, safety metadata, and integrity descriptors.</w:t>
            </w:r>
          </w:p>
        </w:tc>
      </w:tr>
      <w:tr>
        <w:trPr>
          <w:cantSplit/>
        </w:trPr>
        <w:tc>
          <w:tcPr>
            <w:tcW w:type="dxa" w:w="7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7"/>
              </w:rPr>
              <w:t>G10</w:t>
            </w:r>
          </w:p>
        </w:tc>
        <w:tc>
          <w:tcPr>
            <w:tcW w:type="dxa" w:w="218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7"/>
              </w:rPr>
              <w:t>Clear exclusion</w:t>
            </w:r>
          </w:p>
        </w:tc>
        <w:tc>
          <w:tcPr>
            <w:tcW w:type="dxa" w:w="648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7"/>
              </w:rPr>
              <w:t>No component exposes wheelchair propulsion, shell commands, arbitrary code execution, or media upload.</w:t>
            </w:r>
          </w:p>
        </w:tc>
      </w:tr>
    </w:tbl>
    <w:p>
      <w:pPr>
        <w:spacing w:after="40"/>
      </w:pPr>
    </w:p>
    <w:p>
      <w:pPr>
        <w:pStyle w:val="Heading2"/>
      </w:pPr>
      <w:r>
        <w:t>Engineering method</w:t>
      </w:r>
    </w:p>
    <w:p>
      <w:r>
        <w:t>This work used an artifact-centred system-design method. The source tree, schemas, tests, deployment files, and technical documentation were treated as primary implementation evidence. The analysis reconstructed runtime responsibilities, trust boundaries, data stores, message flows, and degradation behavior; compared code against normative prose and JSON contracts; and ran available test, build, lint, compilation, and Compose checks. Stronger documentation claims were downgraded when code or tests did not enforce them.</w:t>
      </w:r>
    </w:p>
    <w:p>
      <w:pPr>
        <w:numPr>
          <w:ilvl w:val="0"/>
          <w:numId w:val="10"/>
        </w:numPr>
        <w:jc w:val="left"/>
      </w:pPr>
      <w:r>
        <w:t>Repository scope: apps/web, apps/mobile, services/edge, services/api, services/ml, contracts, docs, infra, scripts, and legacy/reference surfaces.</w:t>
      </w:r>
    </w:p>
    <w:p>
      <w:pPr>
        <w:numPr>
          <w:ilvl w:val="0"/>
          <w:numId w:val="10"/>
        </w:numPr>
        <w:jc w:val="left"/>
      </w:pPr>
      <w:r>
        <w:t>Source snapshot: Git commit 8860040 plus the current working-tree changes, inspected on 25 August 2026.</w:t>
      </w:r>
    </w:p>
    <w:p>
      <w:pPr>
        <w:numPr>
          <w:ilvl w:val="0"/>
          <w:numId w:val="10"/>
        </w:numPr>
        <w:jc w:val="left"/>
      </w:pPr>
      <w:r>
        <w:t>Verification scope: component tests, TypeScript type checking, production web build, Python compilation, lint, and Docker Compose configuration. No production deployment, penetration test, target-user study, or on-wheelchair validation was performed.</w:t>
      </w:r>
    </w:p>
    <w:p>
      <w:pPr>
        <w:numPr>
          <w:ilvl w:val="0"/>
          <w:numId w:val="10"/>
        </w:numPr>
        <w:jc w:val="left"/>
      </w:pPr>
      <w:r>
        <w:t>Evidence rule: a feature was described as implemented only when represented in source; as verified only when a relevant check passed; and as validated only when supported by a suitable external study, which the current project does not provide.</w:t>
      </w:r>
    </w:p>
    <w:p>
      <w:pPr>
        <w:pStyle w:val="Heading2"/>
      </w:pPr>
      <w:r>
        <w:t>Unit of analysis and ethical scope</w:t>
      </w:r>
    </w:p>
    <w:p>
      <w:r>
        <w:t>The unit of analysis is the engineering artifact, not a patient population. No human participants were recruited, no clinical records were accessed, and no repository dataset of patient gestures was available. Programmatic synthetic sequences and protocol fixtures exercise implementation behavior but cannot establish diagnostic, therapeutic, communication, or real-world recognition outcomes. The ethical priority in this manuscript is therefore claim containment: potential benefit is discussed without implying safety, effectiveness, accessibility compliance, or emergency reliability.</w:t>
      </w:r>
    </w:p>
    <w:p>
      <w:pPr>
        <w:pStyle w:val="Heading1"/>
      </w:pPr>
      <w:r>
        <w:t>Whole System Architecture</w:t>
      </w:r>
    </w:p>
    <w:p>
      <w:r>
        <w:t>FingerSpeak is best understood as four cooperating planes: the patient interaction plane, the wheelchair edge plane, the cloud control plane, and the offline model/tooling plane. Figure 1 shows the complete logical architecture. The primary local path runs from patient-device sensing through decision logic to captions and speech; the Pi and cloud are additive endpoints rather than prerequisites for message formation.</w:t>
      </w:r>
    </w:p>
    <w:p>
      <w:pPr>
        <w:keepNext/>
        <w:spacing w:before="80" w:after="0"/>
        <w:jc w:val="center"/>
      </w:pPr>
      <w:r>
        <w:drawing>
          <wp:inline xmlns:a="http://schemas.openxmlformats.org/drawingml/2006/main" xmlns:pic="http://schemas.openxmlformats.org/drawingml/2006/picture">
            <wp:extent cx="5897880" cy="3931920"/>
            <wp:docPr id="1" name="Picture 1" descr="Logical architecture of FingerSpeak showing patient web and mobile clients, Raspberry Pi edge, cloud API and database, caregiver, optional AI, and offline model tooling." title="architecture"/>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897880" cy="3931920"/>
                    </a:xfrm>
                    <a:prstGeom prst="rect"/>
                  </pic:spPr>
                </pic:pic>
              </a:graphicData>
            </a:graphic>
          </wp:inline>
        </w:drawing>
      </w:r>
    </w:p>
    <w:p>
      <w:pPr>
        <w:pStyle w:val="Caption"/>
      </w:pPr>
      <w:r>
        <w:rPr>
          <w:b/>
        </w:rPr>
        <w:t xml:space="preserve">Figure 1. </w:t>
      </w:r>
      <w:r>
        <w:t>End-to-end logical architecture. Solid lines are runtime paths; dashed lines are optional cloud or offline artifact paths.</w:t>
      </w:r>
    </w:p>
    <w:p>
      <w:pPr>
        <w:pStyle w:val="Heading2"/>
      </w:pPr>
      <w:r>
        <w:t>Patient interaction plane</w:t>
      </w:r>
    </w:p>
    <w:p>
      <w:r>
        <w:t>The primary React/Vinext PWA provides patient, Pi-display, caregiver, and calibration views. Its patient view combines personalized hand gestures, calibrated face or eye controls, quick phrases, typed input, optional user-initiated browser speech recognition, local speech synthesis, visible captions, phone-call handoff, Asha conversation, and explicit help confirmation. IndexedDB stores the local profile, calibration samples, active prototype model, consent state, retry outbox, Pi link, contacts, care routines, and selected speech configuration. The service worker caches the application shell and pinned static assets while API, profile, authentication, and Asha responses remain network-only.</w:t>
      </w:r>
    </w:p>
    <w:p>
      <w:r>
        <w:t>The Flutter client provides a native patient and caregiver shell with protected Pi credential storage, notifications, native call handoff, caregiver recordings, a WebView-based hand studio, and platform face signals. It should not be described as inference-equivalent to the primary PWA. Its hand model, thresholds, OOD behavior, persistence, and dependency strategy diverge materially from the Python/web v1 contract. Its current cloud and Asha boundaries also contain serious contradictions: a user-supplied Gemini key can be stored in ordinary SharedPreferences and transmitted in a query URL, cloud consent defaults to enabled, caregiver-alert broadcast code is not called from recognized phrases, production identity is omitted from mobile cloud requests, and the alert WebSocket wrapper is parsed as if it were the alert itself. Pi caption and emergency commands are also fire-and-forget in the mobile UI, which can report success without a matched acknowledgement. The primary web application is therefore the coherent reference implementation in this manuscript; mobile is a parallel experimental client requiring security and contract convergence.</w:t>
      </w:r>
    </w:p>
    <w:p>
      <w:pPr>
        <w:pStyle w:val="Heading2"/>
      </w:pPr>
      <w:r>
        <w:t>Wheelchair edge plane</w:t>
      </w:r>
    </w:p>
    <w:p>
      <w:r>
        <w:t>The edge service runs beside the NoIR camera and caption display. It owns camera lifecycle, display state, phone presence, caption and emergency-display application, telemetry, one-time pairing, optional credential-digest persistence, bounded WebSocket parsing, idempotency, and an optional outbound cloud relay. Its hardware-free simulator uses the same state machine for tests. The source tree also contains an opt-in MediaPipe Face Landmarker adapter for Picamera2 frames. This adapter reduces results to normalized blink, gaze, eyebrow, and mouth scores and retains raw frames only within the detector call. Hardware safety defaults to off, and no installed-camera validation is reported.</w:t>
      </w:r>
    </w:p>
    <w:tbl>
      <w:tblPr>
        <w:tblW w:w="9360" w:type="dxa"/>
        <w:jc w:val="left"/>
        <w:tblLook w:firstColumn="1" w:firstRow="1" w:lastColumn="0" w:lastRow="0" w:noHBand="0" w:noVBand="1" w:val="04A0"/>
        <w:tblInd w:w="120" w:type="dxa"/>
        <w:tblLayout w:type="fixed"/>
        <w:tblBorders>
          <w:top w:val="single" w:sz="7" w:space="0" w:color="D38B2C"/>
          <w:left w:val="single" w:sz="7" w:space="0" w:color="D38B2C"/>
          <w:bottom w:val="single" w:sz="7" w:space="0" w:color="D38B2C"/>
          <w:right w:val="single" w:sz="7" w:space="0" w:color="D38B2C"/>
          <w:insideH w:val="single" w:sz="7" w:space="0" w:color="D38B2C"/>
          <w:insideV w:val="single" w:sz="7" w:space="0" w:color="D38B2C"/>
        </w:tblBorders>
      </w:tblPr>
      <w:tblGrid>
        <w:gridCol w:w="9360"/>
      </w:tblGrid>
      <w:tr>
        <w:trPr>
          <w:cantSplit/>
          <w:tblHeader w:val="true"/>
        </w:trPr>
        <w:tc>
          <w:tcPr>
            <w:tcW w:type="dxa" w:w="9360"/>
            <w:vAlign w:val="center"/>
            <w:tcMar>
              <w:top w:w="150" w:type="dxa"/>
              <w:start w:w="180" w:type="dxa"/>
              <w:bottom w:w="150" w:type="dxa"/>
              <w:end w:w="180" w:type="dxa"/>
            </w:tcMar>
            <w:shd w:fill="FFF4E5" w:val="clear"/>
          </w:tcPr>
          <w:p>
            <w:pPr>
              <w:spacing w:before="0" w:after="0" w:line="276" w:lineRule="auto"/>
            </w:pPr>
            <w:r>
              <w:rPr>
                <w:rFonts w:ascii="Calibri" w:hAnsi="Calibri" w:eastAsia="Calibri"/>
                <w:b/>
                <w:color w:val="8A5A16"/>
                <w:sz w:val="19"/>
              </w:rPr>
              <w:t xml:space="preserve">PHYSICAL BOUNDARY  </w:t>
            </w:r>
            <w:r>
              <w:rPr>
                <w:rFonts w:ascii="Calibri" w:hAnsi="Calibri" w:eastAsia="Calibri"/>
                <w:color w:val="000000"/>
                <w:sz w:val="19"/>
              </w:rPr>
              <w:t>The current edge display and telemetry adapters are largely simulated. Exact Raspberry Pi, NoIR camera, display, enclosure, cabling, battery monitor, wheelchair/BMS interface, and isolated power design are unresolved. No propulsion or motor-control interface exists.</w:t>
            </w:r>
          </w:p>
        </w:tc>
      </w:tr>
    </w:tbl>
    <w:p>
      <w:pPr>
        <w:spacing w:after="40"/>
      </w:pPr>
    </w:p>
    <w:p>
      <w:pPr>
        <w:pStyle w:val="Heading2"/>
      </w:pPr>
      <w:r>
        <w:t>Cloud control plane</w:t>
      </w:r>
    </w:p>
    <w:p>
      <w:r>
        <w:t>FastAPI and PostgreSQL manage verified actor identity, profiles, caregiver grants, consented sessions and derived events, model metadata, durable caregiver alerts, registered devices, cloud device state, queued captions, and bounded Asha text requests. Health liveness is process-local, while readiness depends on database connectivity. The API contains no inference or media-upload route and rejects image, video, multipart, binary, landmark, biometric-template, and raw-calibration bodies. Multi-replica deployments require shared pub/sub because live fan-out and revocation registries are process-local even though alerts are durably replayable.</w:t>
      </w:r>
    </w:p>
    <w:p>
      <w:pPr>
        <w:pStyle w:val="Heading2"/>
      </w:pPr>
      <w:r>
        <w:t>Offline model and tooling plane</w:t>
      </w:r>
    </w:p>
    <w:p>
      <w:r>
        <w:t>The Python ML package validates profile JSON, reproduces the web feature pipeline, fits DTW and nearest-prototype baselines, provides session-aware closed-set evaluation, and optionally trains a TensorFlow BiGRU. Exported bundles include a manifest, browser-readable edge prototype, NumPy baseline arrays, and optional TF.js files. The tooling does not host live inference or upload data. Browser activation currently consumes the JSON prototype, not the NumPy or optional TensorFlow artifacts.</w:t>
      </w:r>
    </w:p>
    <w:p>
      <w:pPr>
        <w:pStyle w:val="Caption"/>
        <w:keepNext/>
        <w:spacing w:before="160" w:after="80"/>
        <w:jc w:val="left"/>
      </w:pPr>
      <w:r>
        <w:rPr>
          <w:b/>
        </w:rPr>
        <w:t xml:space="preserve">Table 3. </w:t>
      </w:r>
      <w:r>
        <w:t>Architecture component matrix</w:t>
      </w:r>
    </w:p>
    <w:tbl>
      <w:tblPr>
        <w:tblW w:w="9360" w:type="dxa"/>
        <w:tblLook w:firstColumn="1" w:firstRow="1" w:lastColumn="0" w:lastRow="0" w:noHBand="0" w:noVBand="1" w:val="04A0"/>
        <w:jc w:val="left"/>
        <w:tblBorders>
          <w:top w:val="single" w:sz="5" w:space="0" w:color="D7DBE2"/>
          <w:left w:val="single" w:sz="5" w:space="0" w:color="D7DBE2"/>
          <w:bottom w:val="single" w:sz="5" w:space="0" w:color="D7DBE2"/>
          <w:right w:val="single" w:sz="5" w:space="0" w:color="D7DBE2"/>
          <w:insideH w:val="single" w:sz="5" w:space="0" w:color="D7DBE2"/>
          <w:insideV w:val="single" w:sz="5" w:space="0" w:color="D7DBE2"/>
        </w:tblBorders>
        <w:tblInd w:w="120" w:type="dxa"/>
        <w:tblLayout w:type="fixed"/>
      </w:tblPr>
      <w:tblGrid>
        <w:gridCol w:w="1250"/>
        <w:gridCol w:w="2300"/>
        <w:gridCol w:w="3830"/>
        <w:gridCol w:w="1980"/>
      </w:tblGrid>
      <w:tr>
        <w:trPr>
          <w:cantSplit/>
          <w:tblHeader w:val="true"/>
        </w:trPr>
        <w:tc>
          <w:tcPr>
            <w:tcW w:type="dxa" w:w="125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Plane</w:t>
            </w:r>
          </w:p>
        </w:tc>
        <w:tc>
          <w:tcPr>
            <w:tcW w:type="dxa" w:w="230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Primary components</w:t>
            </w:r>
          </w:p>
        </w:tc>
        <w:tc>
          <w:tcPr>
            <w:tcW w:type="dxa" w:w="383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Authoritative responsibilities</w:t>
            </w:r>
          </w:p>
        </w:tc>
        <w:tc>
          <w:tcPr>
            <w:tcW w:type="dxa" w:w="198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Required dependencies</w:t>
            </w:r>
          </w:p>
        </w:tc>
      </w:tr>
      <w:tr>
        <w:trPr>
          <w:cantSplit/>
        </w:trPr>
        <w:tc>
          <w:tcPr>
            <w:tcW w:type="dxa" w:w="125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Patient</w:t>
            </w:r>
          </w:p>
        </w:tc>
        <w:tc>
          <w:tcPr>
            <w:tcW w:type="dxa" w:w="230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React/Vinext PWA; Flutter app</w:t>
            </w:r>
          </w:p>
        </w:tc>
        <w:tc>
          <w:tcPr>
            <w:tcW w:type="dxa" w:w="383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Interaction, local perception, personalization, confirmation, captions, speech, calls, contacts, consent and optional cloud access</w:t>
            </w:r>
          </w:p>
        </w:tc>
        <w:tc>
          <w:tcPr>
            <w:tcW w:type="dxa" w:w="198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Phone camera and OS/browser services; cloud optional for core communication</w:t>
            </w:r>
          </w:p>
        </w:tc>
      </w:tr>
      <w:tr>
        <w:trPr>
          <w:cantSplit/>
        </w:trPr>
        <w:tc>
          <w:tcPr>
            <w:tcW w:type="dxa" w:w="12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Edge</w:t>
            </w:r>
          </w:p>
        </w:tc>
        <w:tc>
          <w:tcPr>
            <w:tcW w:type="dxa" w:w="23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Raspberry Pi service; Picamera2/NoIR; display</w:t>
            </w:r>
          </w:p>
        </w:tc>
        <w:tc>
          <w:tcPr>
            <w:tcW w:type="dxa" w:w="383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Pairing, presence, bounded commands, semantic intent, status, telemetry, caption/emergency priority</w:t>
            </w:r>
          </w:p>
        </w:tc>
        <w:tc>
          <w:tcPr>
            <w:tcW w:type="dxa" w:w="198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Local power and network; real sensor/display hardware still to be finalized</w:t>
            </w:r>
          </w:p>
        </w:tc>
      </w:tr>
      <w:tr>
        <w:trPr>
          <w:cantSplit/>
        </w:trPr>
        <w:tc>
          <w:tcPr>
            <w:tcW w:type="dxa" w:w="125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Cloud</w:t>
            </w:r>
          </w:p>
        </w:tc>
        <w:tc>
          <w:tcPr>
            <w:tcW w:type="dxa" w:w="230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Gateway; FastAPI; PostgreSQL; optional provider</w:t>
            </w:r>
          </w:p>
        </w:tc>
        <w:tc>
          <w:tcPr>
            <w:tcW w:type="dxa" w:w="383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Identity, ownership, grants, consented metadata, alerts, device relay, bounded Asha text</w:t>
            </w:r>
          </w:p>
        </w:tc>
        <w:tc>
          <w:tcPr>
            <w:tcW w:type="dxa" w:w="198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TLS, gateway, database; AI provider optional</w:t>
            </w:r>
          </w:p>
        </w:tc>
      </w:tr>
      <w:tr>
        <w:trPr>
          <w:cantSplit/>
        </w:trPr>
        <w:tc>
          <w:tcPr>
            <w:tcW w:type="dxa" w:w="12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Tooling</w:t>
            </w:r>
          </w:p>
        </w:tc>
        <w:tc>
          <w:tcPr>
            <w:tcW w:type="dxa" w:w="23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Python ML CLI; schemas; bundles</w:t>
            </w:r>
          </w:p>
        </w:tc>
        <w:tc>
          <w:tcPr>
            <w:tcW w:type="dxa" w:w="383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Validation, features, baseline fitting, closed-set evaluation, integrity metadata and export</w:t>
            </w:r>
          </w:p>
        </w:tc>
        <w:tc>
          <w:tcPr>
            <w:tcW w:type="dxa" w:w="198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Offline/training machine; not required during browser inference</w:t>
            </w:r>
          </w:p>
        </w:tc>
      </w:tr>
    </w:tbl>
    <w:p>
      <w:pPr>
        <w:spacing w:after="40"/>
      </w:pPr>
    </w:p>
    <w:p>
      <w:pPr>
        <w:pStyle w:val="Heading2"/>
      </w:pPr>
      <w:r>
        <w:t>Trust boundaries and permitted data</w:t>
      </w:r>
    </w:p>
    <w:p>
      <w:pPr>
        <w:keepNext/>
        <w:spacing w:before="80" w:after="0"/>
        <w:jc w:val="center"/>
      </w:pPr>
      <w:r>
        <w:drawing>
          <wp:inline xmlns:a="http://schemas.openxmlformats.org/drawingml/2006/main" xmlns:pic="http://schemas.openxmlformats.org/drawingml/2006/picture">
            <wp:extent cx="5897880" cy="3145536"/>
            <wp:docPr id="2" name="Picture 2" descr="Trust-boundary diagram showing local patient sensing, Raspberry Pi sensing and bounded state, cloud API and AI text, with prohibited media and motor-control data." title="trust boundaries"/>
            <wp:cNvGraphicFramePr>
              <a:graphicFrameLocks noChangeAspect="1"/>
            </wp:cNvGraphicFramePr>
            <a:graphic>
              <a:graphicData uri="http://schemas.openxmlformats.org/drawingml/2006/picture">
                <pic:pic>
                  <pic:nvPicPr>
                    <pic:cNvPr id="0" name="trust_boundaries.png"/>
                    <pic:cNvPicPr/>
                  </pic:nvPicPr>
                  <pic:blipFill>
                    <a:blip r:embed="rId14"/>
                    <a:stretch>
                      <a:fillRect/>
                    </a:stretch>
                  </pic:blipFill>
                  <pic:spPr>
                    <a:xfrm>
                      <a:off x="0" y="0"/>
                      <a:ext cx="5897880" cy="3145536"/>
                    </a:xfrm>
                    <a:prstGeom prst="rect"/>
                  </pic:spPr>
                </pic:pic>
              </a:graphicData>
            </a:graphic>
          </wp:inline>
        </w:drawing>
      </w:r>
    </w:p>
    <w:p>
      <w:pPr>
        <w:pStyle w:val="Caption"/>
      </w:pPr>
      <w:r>
        <w:rPr>
          <w:b/>
        </w:rPr>
        <w:t xml:space="preserve">Figure 2. </w:t>
      </w:r>
      <w:r>
        <w:t>Trust boundaries and permitted data movement. The red band lists data and capabilities intentionally excluded from network contracts.</w:t>
      </w:r>
    </w:p>
    <w:p>
      <w:r>
        <w:t>Figure 2 separates raw sensing, semantic device communication, cloud metadata, and optional provider text. The strongest architectural privacy claim is not that data never leaves a device, but that each boundary has a narrow permitted vocabulary and consent model. Raw frames and landmarks are intentionally absent from device and API schemas. Semantic intent remains bounded to a fixed label set, while phrase text may cross only for an intentional caption or caregiver request.</w:t>
      </w:r>
    </w:p>
    <w:p>
      <w:pPr>
        <w:pStyle w:val="Caption"/>
        <w:keepNext/>
        <w:spacing w:before="160" w:after="80"/>
        <w:jc w:val="left"/>
      </w:pPr>
      <w:r>
        <w:rPr>
          <w:b/>
        </w:rPr>
        <w:t xml:space="preserve">Table 4. </w:t>
      </w:r>
      <w:r>
        <w:t>Trust-boundary flow inventory</w:t>
      </w:r>
    </w:p>
    <w:tbl>
      <w:tblPr>
        <w:tblW w:w="9360" w:type="dxa"/>
        <w:tblLook w:firstColumn="1" w:firstRow="1" w:lastColumn="0" w:lastRow="0" w:noHBand="0" w:noVBand="1" w:val="04A0"/>
        <w:jc w:val="left"/>
        <w:tblBorders>
          <w:top w:val="single" w:sz="5" w:space="0" w:color="D7DBE2"/>
          <w:left w:val="single" w:sz="5" w:space="0" w:color="D7DBE2"/>
          <w:bottom w:val="single" w:sz="5" w:space="0" w:color="D7DBE2"/>
          <w:right w:val="single" w:sz="5" w:space="0" w:color="D7DBE2"/>
          <w:insideH w:val="single" w:sz="5" w:space="0" w:color="D7DBE2"/>
          <w:insideV w:val="single" w:sz="5" w:space="0" w:color="D7DBE2"/>
        </w:tblBorders>
        <w:tblInd w:w="120" w:type="dxa"/>
        <w:tblLayout w:type="fixed"/>
      </w:tblPr>
      <w:tblGrid>
        <w:gridCol w:w="1650"/>
        <w:gridCol w:w="2460"/>
        <w:gridCol w:w="3060"/>
        <w:gridCol w:w="2190"/>
      </w:tblGrid>
      <w:tr>
        <w:trPr>
          <w:cantSplit/>
          <w:tblHeader w:val="true"/>
        </w:trPr>
        <w:tc>
          <w:tcPr>
            <w:tcW w:type="dxa" w:w="165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Boundary</w:t>
            </w:r>
          </w:p>
        </w:tc>
        <w:tc>
          <w:tcPr>
            <w:tcW w:type="dxa" w:w="246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Permitted flow</w:t>
            </w:r>
          </w:p>
        </w:tc>
        <w:tc>
          <w:tcPr>
            <w:tcW w:type="dxa" w:w="306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Controls</w:t>
            </w:r>
          </w:p>
        </w:tc>
        <w:tc>
          <w:tcPr>
            <w:tcW w:type="dxa" w:w="219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Explicitly excluded</w:t>
            </w:r>
          </w:p>
        </w:tc>
      </w:tr>
      <w:tr>
        <w:trPr>
          <w:cantSplit/>
        </w:trPr>
        <w:tc>
          <w:tcPr>
            <w:tcW w:type="dxa" w:w="165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Phone to Pi</w:t>
            </w:r>
          </w:p>
        </w:tc>
        <w:tc>
          <w:tcPr>
            <w:tcW w:type="dxa" w:w="246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Pairing, heartbeat, status request, caption, emergency display</w:t>
            </w:r>
          </w:p>
        </w:tc>
        <w:tc>
          <w:tcPr>
            <w:tcW w:type="dxa" w:w="306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Subprotocol, first-frame authentication, strict JSON, size/time bounds, sequence and message IDs</w:t>
            </w:r>
          </w:p>
        </w:tc>
        <w:tc>
          <w:tcPr>
            <w:tcW w:type="dxa" w:w="219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Frames, audio, landmarks, URLs to media, shell and motor commands</w:t>
            </w:r>
          </w:p>
        </w:tc>
      </w:tr>
      <w:tr>
        <w:trPr>
          <w:cantSplit/>
        </w:trPr>
        <w:tc>
          <w:tcPr>
            <w:tcW w:type="dxa" w:w="16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Pi to phone</w:t>
            </w:r>
          </w:p>
        </w:tc>
        <w:tc>
          <w:tcPr>
            <w:tcW w:type="dxa" w:w="246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Authentication result, status, semantic patient intent, command acknowledgement, protocol error</w:t>
            </w:r>
          </w:p>
        </w:tc>
        <w:tc>
          <w:tcPr>
            <w:tcW w:type="dxa" w:w="306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Fixed intent vocabulary, timestamps, replay/flood/staleness gates</w:t>
            </w:r>
          </w:p>
        </w:tc>
        <w:tc>
          <w:tcPr>
            <w:tcW w:type="dxa" w:w="219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Identity, emotion, pain, diagnosis and raw sensing</w:t>
            </w:r>
          </w:p>
        </w:tc>
      </w:tr>
      <w:tr>
        <w:trPr>
          <w:cantSplit/>
        </w:trPr>
        <w:tc>
          <w:tcPr>
            <w:tcW w:type="dxa" w:w="16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User to API</w:t>
            </w:r>
          </w:p>
        </w:tc>
        <w:tc>
          <w:tcPr>
            <w:tcW w:type="dxa" w:w="24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Profiles, consented metadata, alerts, model metadata, Asha text, device operations</w:t>
            </w:r>
          </w:p>
        </w:tc>
        <w:tc>
          <w:tcPr>
            <w:tcW w:type="dxa" w:w="30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Verified actor assertion, ownership/grants, consent, no-store headers, strict schemas</w:t>
            </w:r>
          </w:p>
        </w:tc>
        <w:tc>
          <w:tcPr>
            <w:tcW w:type="dxa" w:w="219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Media, raw calibration, unbounded context, client-held gateway secret</w:t>
            </w:r>
          </w:p>
        </w:tc>
      </w:tr>
      <w:tr>
        <w:trPr>
          <w:cantSplit/>
        </w:trPr>
        <w:tc>
          <w:tcPr>
            <w:tcW w:type="dxa" w:w="1650"/>
            <w:shd w:fill="FAFBFC" w:val="clear"/>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Pi to API</w:t>
            </w:r>
          </w:p>
        </w:tc>
        <w:tc>
          <w:tcPr>
            <w:tcW w:type="dxa" w:w="2460"/>
            <w:shd w:fill="FAFBFC" w:val="clear"/>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Telemetry, caption acknowledgement and ping</w:t>
            </w:r>
          </w:p>
        </w:tc>
        <w:tc>
          <w:tcPr>
            <w:tcW w:type="dxa" w:w="3060"/>
            <w:shd w:fill="FAFBFC" w:val="clear"/>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Owner-issued scoped bearer token, exact origin, token digest at rest, strict text JSON</w:t>
            </w:r>
          </w:p>
        </w:tc>
        <w:tc>
          <w:tcPr>
            <w:tcW w:type="dxa" w:w="2190"/>
            <w:shd w:fill="FAFBFC" w:val="clear"/>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Query-string credentials, media, user session, arbitrary commands</w:t>
            </w:r>
          </w:p>
        </w:tc>
      </w:tr>
      <w:tr>
        <w:trPr>
          <w:cantSplit/>
        </w:trPr>
        <w:tc>
          <w:tcPr>
            <w:tcW w:type="dxa" w:w="16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API to AI provider</w:t>
            </w:r>
          </w:p>
        </w:tc>
        <w:tc>
          <w:tcPr>
            <w:tcW w:type="dxa" w:w="24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Bounded text, locale, short context and optional profile-filtered retrieval</w:t>
            </w:r>
          </w:p>
        </w:tc>
        <w:tc>
          <w:tcPr>
            <w:tcW w:type="dxa" w:w="30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Server-only key, timeout/output bounds, store=false, owner authorization</w:t>
            </w:r>
          </w:p>
        </w:tc>
        <w:tc>
          <w:tcPr>
            <w:tcW w:type="dxa" w:w="219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Camera/audio stream, direct action authority, general document upload</w:t>
            </w:r>
          </w:p>
        </w:tc>
      </w:tr>
    </w:tbl>
    <w:p>
      <w:pPr>
        <w:spacing w:after="40"/>
      </w:pPr>
    </w:p>
    <w:p>
      <w:pPr>
        <w:pStyle w:val="Heading2"/>
      </w:pPr>
      <w:r>
        <w:t>Storage and data lifecycle</w:t>
      </w:r>
    </w:p>
    <w:p>
      <w:r>
        <w:t>Storage is deliberately split by purpose. Device-local stores support immediate communication and personalization; PostgreSQL provides durable multi-actor state; the Pi may retain only a credential digest; and model bundles transfer engineered artifacts. The design minimizes cloud collection, but exports and bundles remain sensitive because movement patterns, personalized phrases, and stable profile digests can reveal health or communication context.</w:t>
      </w:r>
    </w:p>
    <w:p>
      <w:pPr>
        <w:pStyle w:val="Caption"/>
        <w:keepNext/>
        <w:spacing w:before="160" w:after="80"/>
        <w:jc w:val="left"/>
      </w:pPr>
      <w:r>
        <w:rPr>
          <w:b/>
        </w:rPr>
        <w:t xml:space="preserve">Table 5. </w:t>
      </w:r>
      <w:r>
        <w:t>Data stores, sensitivity, and lifecycle controls</w:t>
      </w:r>
    </w:p>
    <w:tbl>
      <w:tblPr>
        <w:tblW w:w="9360" w:type="dxa"/>
        <w:tblLook w:firstColumn="1" w:firstRow="1" w:lastColumn="0" w:lastRow="0" w:noHBand="0" w:noVBand="1" w:val="04A0"/>
        <w:jc w:val="left"/>
        <w:tblBorders>
          <w:top w:val="single" w:sz="5" w:space="0" w:color="D7DBE2"/>
          <w:left w:val="single" w:sz="5" w:space="0" w:color="D7DBE2"/>
          <w:bottom w:val="single" w:sz="5" w:space="0" w:color="D7DBE2"/>
          <w:right w:val="single" w:sz="5" w:space="0" w:color="D7DBE2"/>
          <w:insideH w:val="single" w:sz="5" w:space="0" w:color="D7DBE2"/>
          <w:insideV w:val="single" w:sz="5" w:space="0" w:color="D7DBE2"/>
        </w:tblBorders>
        <w:tblInd w:w="120" w:type="dxa"/>
        <w:tblLayout w:type="fixed"/>
      </w:tblPr>
      <w:tblGrid>
        <w:gridCol w:w="1450"/>
        <w:gridCol w:w="2800"/>
        <w:gridCol w:w="2550"/>
        <w:gridCol w:w="2560"/>
      </w:tblGrid>
      <w:tr>
        <w:trPr>
          <w:cantSplit/>
          <w:tblHeader w:val="true"/>
        </w:trPr>
        <w:tc>
          <w:tcPr>
            <w:tcW w:type="dxa" w:w="145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Store</w:t>
            </w:r>
          </w:p>
        </w:tc>
        <w:tc>
          <w:tcPr>
            <w:tcW w:type="dxa" w:w="280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Representative data</w:t>
            </w:r>
          </w:p>
        </w:tc>
        <w:tc>
          <w:tcPr>
            <w:tcW w:type="dxa" w:w="255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Current control</w:t>
            </w:r>
          </w:p>
        </w:tc>
        <w:tc>
          <w:tcPr>
            <w:tcW w:type="dxa" w:w="256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Required hardening</w:t>
            </w:r>
          </w:p>
        </w:tc>
      </w:tr>
      <w:tr>
        <w:trPr>
          <w:cantSplit/>
        </w:trPr>
        <w:tc>
          <w:tcPr>
            <w:tcW w:type="dxa" w:w="145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Browser IndexedDB</w:t>
            </w:r>
          </w:p>
        </w:tc>
        <w:tc>
          <w:tcPr>
            <w:tcW w:type="dxa" w:w="280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Profile, raw calibration landmarks, active model, consent, outbox, contacts and settings</w:t>
            </w:r>
          </w:p>
        </w:tc>
        <w:tc>
          <w:tcPr>
            <w:tcW w:type="dxa" w:w="255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Origin-scoped local storage; atomic profile/model save</w:t>
            </w:r>
          </w:p>
        </w:tc>
        <w:tc>
          <w:tcPr>
            <w:tcW w:type="dxa" w:w="256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Encryption strategy, export/delete workflow, backup and migration policy</w:t>
            </w:r>
          </w:p>
        </w:tc>
      </w:tr>
      <w:tr>
        <w:trPr>
          <w:cantSplit/>
        </w:trPr>
        <w:tc>
          <w:tcPr>
            <w:tcW w:type="dxa" w:w="14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Flutter protected/local storage</w:t>
            </w:r>
          </w:p>
        </w:tc>
        <w:tc>
          <w:tcPr>
            <w:tcW w:type="dxa" w:w="28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Pi credentials, settings, recordings and model state</w:t>
            </w:r>
          </w:p>
        </w:tc>
        <w:tc>
          <w:tcPr>
            <w:tcW w:type="dxa" w:w="25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Protected credential API for secrets; bounded recordings</w:t>
            </w:r>
          </w:p>
        </w:tc>
        <w:tc>
          <w:tcPr>
            <w:tcW w:type="dxa" w:w="256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Document platform-specific key lifecycle and purge semantics</w:t>
            </w:r>
          </w:p>
        </w:tc>
      </w:tr>
      <w:tr>
        <w:trPr>
          <w:cantSplit/>
        </w:trPr>
        <w:tc>
          <w:tcPr>
            <w:tcW w:type="dxa" w:w="14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Pi credential file</w:t>
            </w:r>
          </w:p>
        </w:tc>
        <w:tc>
          <w:tcPr>
            <w:tcW w:type="dxa" w:w="28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Device ID and SHA-256 credential digest</w:t>
            </w:r>
          </w:p>
        </w:tc>
        <w:tc>
          <w:tcPr>
            <w:tcW w:type="dxa" w:w="25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Optional absolute path, atomic replacement, POSIX ownership/mode checks</w:t>
            </w:r>
          </w:p>
        </w:tc>
        <w:tc>
          <w:tcPr>
            <w:tcW w:type="dxa" w:w="25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Provisioning, backup exclusion, rotation and auditable revocation</w:t>
            </w:r>
          </w:p>
        </w:tc>
      </w:tr>
      <w:tr>
        <w:trPr>
          <w:cantSplit/>
        </w:trPr>
        <w:tc>
          <w:tcPr>
            <w:tcW w:type="dxa" w:w="1450"/>
            <w:shd w:fill="FAFBFC" w:val="clear"/>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PostgreSQL</w:t>
            </w:r>
          </w:p>
        </w:tc>
        <w:tc>
          <w:tcPr>
            <w:tcW w:type="dxa" w:w="2800"/>
            <w:shd w:fill="FAFBFC" w:val="clear"/>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Profiles, grants, sessions, derived events, alerts, device state and captions</w:t>
            </w:r>
          </w:p>
        </w:tc>
        <w:tc>
          <w:tcPr>
            <w:tcW w:type="dxa" w:w="2550"/>
            <w:shd w:fill="FAFBFC" w:val="clear"/>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Ownership/consent checks, migrations, durable alert commit</w:t>
            </w:r>
          </w:p>
        </w:tc>
        <w:tc>
          <w:tcPr>
            <w:tcW w:type="dxa" w:w="2560"/>
            <w:shd w:fill="FAFBFC" w:val="clear"/>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Retention/export/delete jobs, at-rest key management and multi-region policy</w:t>
            </w:r>
          </w:p>
        </w:tc>
      </w:tr>
      <w:tr>
        <w:trPr>
          <w:cantSplit/>
        </w:trPr>
        <w:tc>
          <w:tcPr>
            <w:tcW w:type="dxa" w:w="14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Model bundle</w:t>
            </w:r>
          </w:p>
        </w:tc>
        <w:tc>
          <w:tcPr>
            <w:tcW w:type="dxa" w:w="28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Engineered sequences, centroids, spreads, vocabulary, metrics and profile digest</w:t>
            </w:r>
          </w:p>
        </w:tc>
        <w:tc>
          <w:tcPr>
            <w:tcW w:type="dxa" w:w="25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Size/hash descriptors and schema bounds</w:t>
            </w:r>
          </w:p>
        </w:tc>
        <w:tc>
          <w:tcPr>
            <w:tcW w:type="dxa" w:w="25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Publisher signature, trust root, encryption and minimization of per-sample arrays</w:t>
            </w:r>
          </w:p>
        </w:tc>
      </w:tr>
    </w:tbl>
    <w:p>
      <w:pPr>
        <w:spacing w:after="40"/>
      </w:pPr>
    </w:p>
    <w:p>
      <w:pPr>
        <w:pStyle w:val="Heading2"/>
      </w:pPr>
      <w:r>
        <w:t>Connectivity and deployment modes</w:t>
      </w:r>
    </w:p>
    <w:p>
      <w:pPr>
        <w:pStyle w:val="Heading3"/>
      </w:pPr>
      <w:r>
        <w:t>Offline phone mode</w:t>
      </w:r>
    </w:p>
    <w:p>
      <w:r>
        <w:t>The PWA continues local gesture processing, captions, local speech attempts, stored contacts, quick phrases, and deterministic offline companion responses when the API is absent. A service worker supplies the cached shell and versioned assets. Browser speech recognition may depend on the operating system or browser provider and must not be grouped with the stronger local-speech-synthesis claim.</w:t>
      </w:r>
    </w:p>
    <w:p>
      <w:pPr>
        <w:pStyle w:val="Heading3"/>
      </w:pPr>
      <w:r>
        <w:t>Direct phone-to-Pi mode</w:t>
      </w:r>
    </w:p>
    <w:p>
      <w:r>
        <w:t>The preferred prototype network is the patient's hotspot. USB tethering is a cable fallback using the same IP/WebSocket contract. Plain ws:// is limited to controlled prototype networking; production requires wss:// or an equivalent platform-supported local-network design. The phone waits for the matching command acknowledgement before declaring Pi delivery.</w:t>
      </w:r>
    </w:p>
    <w:p>
      <w:pPr>
        <w:pStyle w:val="Heading3"/>
      </w:pPr>
      <w:r>
        <w:t>Cloud-connected mode</w:t>
      </w:r>
    </w:p>
    <w:p>
      <w:r>
        <w:t>The phone and caregiver use HTTPS and authorized WebSockets through the API. A separately scoped Pi bearer token enables optional outbound device status and caregiver captions. A cloud socket proves only that a specific edge client is connected to the API; it does not prove the patient phone, local camera, display, or caregiver is reachable.</w:t>
      </w:r>
    </w:p>
    <w:p>
      <w:pPr>
        <w:pStyle w:val="Heading3"/>
      </w:pPr>
      <w:r>
        <w:t>Development Compose mode</w:t>
      </w:r>
    </w:p>
    <w:p>
      <w:r>
        <w:t>Docker Compose launches PostgreSQL 17, the API, and the primary web app on a private bridge with host ports bound to loopback by default. It is a development slice, not a production topology: identity gateway, TLS termination, shared pub/sub, secret manager, observability, backup, edge runtime, mobile app, AI retrieval administration, and physical hardware remain external.</w:t>
      </w:r>
    </w:p>
    <w:p>
      <w:pPr>
        <w:pStyle w:val="Heading1"/>
      </w:pPr>
      <w:r>
        <w:t>Perception, Personalization, and Decision Logic</w:t>
      </w:r>
    </w:p>
    <w:p>
      <w:r>
        <w:t>Figure 3 summarizes the primary web gesture pipeline. It is a personalized small-data system rather than a population model. The implementation intentionally separates sensing, geometric feature construction, statistical similarity, policy gating, and communication output so each stage can fail closed and be tested independently.</w:t>
      </w:r>
    </w:p>
    <w:p>
      <w:pPr>
        <w:keepNext/>
        <w:spacing w:before="80" w:after="0"/>
        <w:jc w:val="center"/>
      </w:pPr>
      <w:r>
        <w:drawing>
          <wp:inline xmlns:a="http://schemas.openxmlformats.org/drawingml/2006/main" xmlns:pic="http://schemas.openxmlformats.org/drawingml/2006/picture">
            <wp:extent cx="5897880" cy="2198301"/>
            <wp:docPr id="3" name="Picture 3" descr="Horizontal gesture pipeline from RGB frame through MediaPipe landmarks, 83 static features, 20 by 98 temporal tensor, prototype score, safety gate, and caption or speech output." title="inference pipeline"/>
            <wp:cNvGraphicFramePr>
              <a:graphicFrameLocks noChangeAspect="1"/>
            </wp:cNvGraphicFramePr>
            <a:graphic>
              <a:graphicData uri="http://schemas.openxmlformats.org/drawingml/2006/picture">
                <pic:pic>
                  <pic:nvPicPr>
                    <pic:cNvPr id="0" name="inference_pipeline.png"/>
                    <pic:cNvPicPr/>
                  </pic:nvPicPr>
                  <pic:blipFill>
                    <a:blip r:embed="rId15"/>
                    <a:stretch>
                      <a:fillRect/>
                    </a:stretch>
                  </pic:blipFill>
                  <pic:spPr>
                    <a:xfrm>
                      <a:off x="0" y="0"/>
                      <a:ext cx="5897880" cy="2198301"/>
                    </a:xfrm>
                    <a:prstGeom prst="rect"/>
                  </pic:spPr>
                </pic:pic>
              </a:graphicData>
            </a:graphic>
          </wp:inline>
        </w:drawing>
      </w:r>
    </w:p>
    <w:p>
      <w:pPr>
        <w:pStyle w:val="Caption"/>
      </w:pPr>
      <w:r>
        <w:rPr>
          <w:b/>
        </w:rPr>
        <w:t xml:space="preserve">Figure 3. </w:t>
      </w:r>
      <w:r>
        <w:t>Primary web gesture-to-phrase pipeline. The score is an inverse normalized distance and must not be interpreted as a calibrated probability.</w:t>
      </w:r>
    </w:p>
    <w:p>
      <w:pPr>
        <w:pStyle w:val="Heading2"/>
      </w:pPr>
      <w:r>
        <w:t>Hand landmark and feature pipeline</w:t>
      </w:r>
    </w:p>
    <w:p>
      <w:r>
        <w:t>MediaPipe supplies one hand with 21 three-dimensional landmark coordinates, yielding 63 raw values per frame. Frames are collected in memory and resampled over a 900 ms window to 20 positions, with a 50 ms grace interval and interpolation clamped to the retained frame range. Each frame is transformed into 83 static features: 63 wrist-relative coordinates in a scale-normalized, hand-local basis; 10 joint-angle features; and 10 fingertip-distance features. Fifteen fingertip coordinate differences are then appended as motion features, producing a 20 x 98 tensor. Separate Python and TypeScript tests check shape and invariance properties, but the repository lacks a full numerical cross-runtime golden feature vector.</w:t>
      </w:r>
    </w:p>
    <w:p>
      <w:pPr>
        <w:keepNext w:val="0"/>
        <w:keepLines/>
        <w:widowControl/>
      </w:pPr>
      <w:r>
        <w:t>Raw and engineered shapes:</w:t>
      </w:r>
    </w:p>
    <w:p>
      <w:pPr>
        <w:pStyle w:val="CodeBlock"/>
      </w:pPr>
      <w:r>
        <w:t>frame: 21 landmarks x 3 coordinates = 63</w:t>
      </w:r>
    </w:p>
    <w:p>
      <w:pPr>
        <w:pStyle w:val="CodeBlock"/>
      </w:pPr>
      <w:r>
        <w:t>static frame: 63 local coordinates + 10 angles + 10 distances = 83</w:t>
      </w:r>
    </w:p>
    <w:p>
      <w:pPr>
        <w:pStyle w:val="CodeBlock"/>
      </w:pPr>
      <w:r>
        <w:t>model sequence: 20 frames x (83 static + 15 fingertip deltas) = 20 x 98</w:t>
      </w:r>
    </w:p>
    <w:p>
      <w:pPr>
        <w:pStyle w:val="Heading2"/>
      </w:pPr>
      <w:r>
        <w:t>Nearest-prototype classifier</w:t>
      </w:r>
    </w:p>
    <w:p>
      <w:r>
        <w:t>For each sequence, the runtime concatenates the population mean and population standard deviation of every feature, yielding a 196-value summary. Calibration summaries are averaged into one centroid per class. Class spread is the mean Euclidean distance from class summaries to the centroid and is floored at 0.05. Inference selects the class with the smallest absolute Euclidean distance. Only after selection is the distance divided by that class's spread.</w:t>
      </w:r>
    </w:p>
    <w:p>
      <w:pPr>
        <w:pStyle w:val="CodeBlock"/>
      </w:pPr>
      <w:r>
        <w:t>score = 1 / (1 + distance / selected_class_spread)</w:t>
      </w:r>
    </w:p>
    <w:p>
      <w:pPr>
        <w:pStyle w:val="CodeBlock"/>
      </w:pPr>
      <w:r>
        <w:t>in_distribution = distance &lt;= 2.2 x selected_class_spread</w:t>
      </w:r>
    </w:p>
    <w:p>
      <w:pPr>
        <w:pStyle w:val="CodeBlock"/>
      </w:pPr>
      <w:r>
        <w:t>candidate = in_distribution AND score &gt;= 0.72</w:t>
      </w:r>
    </w:p>
    <w:tbl>
      <w:tblPr>
        <w:tblW w:w="9360" w:type="dxa"/>
        <w:jc w:val="left"/>
        <w:tblLook w:firstColumn="1" w:firstRow="1" w:lastColumn="0" w:lastRow="0" w:noHBand="0" w:noVBand="1" w:val="04A0"/>
        <w:tblInd w:w="120" w:type="dxa"/>
        <w:tblLayout w:type="fixed"/>
        <w:tblBorders>
          <w:top w:val="single" w:sz="7" w:space="0" w:color="D38B2C"/>
          <w:left w:val="single" w:sz="7" w:space="0" w:color="D38B2C"/>
          <w:bottom w:val="single" w:sz="7" w:space="0" w:color="D38B2C"/>
          <w:right w:val="single" w:sz="7" w:space="0" w:color="D38B2C"/>
          <w:insideH w:val="single" w:sz="7" w:space="0" w:color="D38B2C"/>
          <w:insideV w:val="single" w:sz="7" w:space="0" w:color="D38B2C"/>
        </w:tblBorders>
      </w:tblPr>
      <w:tblGrid>
        <w:gridCol w:w="9360"/>
      </w:tblGrid>
      <w:tr>
        <w:trPr>
          <w:cantSplit/>
          <w:tblHeader w:val="true"/>
        </w:trPr>
        <w:tc>
          <w:tcPr>
            <w:tcW w:type="dxa" w:w="9360"/>
            <w:vAlign w:val="center"/>
            <w:tcMar>
              <w:top w:w="150" w:type="dxa"/>
              <w:start w:w="180" w:type="dxa"/>
              <w:bottom w:w="150" w:type="dxa"/>
              <w:end w:w="180" w:type="dxa"/>
            </w:tcMar>
            <w:shd w:fill="FFF4E5" w:val="clear"/>
          </w:tcPr>
          <w:p>
            <w:pPr>
              <w:spacing w:before="0" w:after="0" w:line="276" w:lineRule="auto"/>
            </w:pPr>
            <w:r>
              <w:rPr>
                <w:rFonts w:ascii="Calibri" w:hAnsi="Calibri" w:eastAsia="Calibri"/>
                <w:b/>
                <w:color w:val="8A5A16"/>
                <w:sz w:val="19"/>
              </w:rPr>
              <w:t xml:space="preserve">ANALYTICAL OBSERVATION  </w:t>
            </w:r>
            <w:r>
              <w:rPr>
                <w:rFonts w:ascii="Calibri" w:hAnsi="Calibri" w:eastAsia="Calibri"/>
                <w:color w:val="000000"/>
                <w:sz w:val="19"/>
              </w:rPr>
              <w:t>For this backend, score &gt;= 0.72 implies distance/spread &lt;= about 0.389. That is already much stricter than the documented OOD radius of 2.2 spreads, so the OOD gate is mathematically redundant for actual trigger acceptance. Independent OOD thresholds, validation data, and false-activation measures are needed.</w:t>
            </w:r>
          </w:p>
        </w:tc>
      </w:tr>
    </w:tbl>
    <w:p>
      <w:pPr>
        <w:spacing w:after="40"/>
      </w:pPr>
    </w:p>
    <w:p>
      <w:pPr>
        <w:pStyle w:val="Heading2"/>
      </w:pPr>
      <w:r>
        <w:t>Temporal state machine and risk policy</w:t>
      </w:r>
    </w:p>
    <w:p>
      <w:r>
        <w:t>A frame-level candidate is not an output. The REST state ignores rest, missing-hand, unknown, low-score, and rejected inputs. A valid non-rest class enters CANDIDATE and must remain uninterrupted for its configured dwell duration. On trigger, the phrase is emitted once and the machine enters WAIT_RELEASE. Five release ticks of rest or no hand are required before rearming. Emergency categories use longer dwell values and touch actions use a separate two-step confirmation. Pi-originated emergency mappings require two deliberate semantic events within a bounded window because the mapping exists only on the phone.</w:t>
      </w:r>
    </w:p>
    <w:p>
      <w:pPr>
        <w:pStyle w:val="Heading2"/>
      </w:pPr>
      <w:r>
        <w:t>Calibration and small-data limitations</w:t>
      </w:r>
    </w:p>
    <w:p>
      <w:r>
        <w:t>The primary web calibration accepts two samples per gesture and labels captures as a single local session. The browser trains on all available samples with no holdout or augmentation. Python tooling can hold out the smallest complete session when multiple sessions exist, or use a deterministic same-session split when necessary; the latter is explicitly directional rather than evidence of generalization. Augmentation functions implement modest planar rotation, scale, time warp, and jitter, but the Python CLI and training backends do not invoke them. These facts preclude claims about patient-independent accuracy, longitudinal robustness, fatigue, camera relocation, lighting, clothing, skin appearance, or disease progression.</w:t>
      </w:r>
    </w:p>
    <w:p>
      <w:pPr>
        <w:pStyle w:val="Heading2"/>
      </w:pPr>
      <w:r>
        <w:t>DTW and optional BiGRU</w:t>
      </w:r>
    </w:p>
    <w:p>
      <w:r>
        <w:t>The Python package includes a DTW k-nearest-neighbour baseline with k = 3 and inverse-distance voting. DTW is a long-established method for aligning sequences with nonlinear timing differences [16]. The optional TensorFlow backend uses a bidirectional GRU with 24 units per direction, dropout, a 20-unit dense layer, and softmax output. Neither is the primary web runtime: browser import activates the JSON nearest-prototype artifact, while the mobile WebView trains and persists a separate BiGRU implementation with different policies.</w:t>
      </w:r>
    </w:p>
    <w:p>
      <w:pPr>
        <w:pStyle w:val="Heading2"/>
      </w:pPr>
      <w:r>
        <w:t>Face and eye intent</w:t>
      </w:r>
    </w:p>
    <w:p>
      <w:r>
        <w:t>The primary web face path uses MediaPipe outputs with deterministic calibrated rules, not an emotion, pain, identity, or diagnostic model. A neutral calibration normally collects 30 complete frames and estimates median and median absolute deviation for each signal. Activation requires a fixed minimum change relative to neutral and a multiple of measured noise, followed by debounce, hold, cooldown, and release. Phrase safety dwell can override shorter face holds. The Pi adapter follows the same semantic principle: frames and landmarks remain method-local, and only bounded movement scores reach the monitor. The mobile client uses on-device ML Kit face detection plus heuristic stability gates, a separate implementation that has not been shown equivalent.</w:t>
      </w:r>
    </w:p>
    <w:p>
      <w:pPr>
        <w:pStyle w:val="Heading2"/>
      </w:pPr>
      <w:r>
        <w:t>Model bundle and import</w:t>
      </w:r>
    </w:p>
    <w:p>
      <w:r>
        <w:t>The documented v1 bundle contract includes schema and feature versions, dimensions, ordered class metadata, dwell and risk policy, artifact sizes and hashes, a training-profile digest, baseline arrays, and the browser JSON prototype. The browser checks the manifest version, dimensions, class order, gesture identifiers, phrase/risk/dwell equality, artifact size, and SHA-256 before constructing the prototype; profile and model are saved atomically. However, the importer does not parse or compare the documented training_profile_sha256. It instead computes a fingerprint of the current active profile and assigns that value to the imported model. Integrity is therefore only partial: corruption of the referenced JSON is detected relative to the supplied manifest, but exact binding to the training samples is not enforced and no publisher signature establishes authenticity.</w:t>
      </w:r>
    </w:p>
    <w:p>
      <w:pPr>
        <w:pStyle w:val="Heading1"/>
      </w:pPr>
      <w:r>
        <w:t>Interfaces, Protocols, and Communication Workflows</w:t>
      </w:r>
    </w:p>
    <w:p>
      <w:pPr>
        <w:pStyle w:val="Heading2"/>
      </w:pPr>
      <w:r>
        <w:t>Patient and caregiver interfaces</w:t>
      </w:r>
    </w:p>
    <w:p>
      <w:r>
        <w:t>The patient interface prioritizes large, direct controls, visible captions, immediate local output, and a corner Asha surface rather than an AI-first workflow. The caregiver interface shows confirmed activity and alerts, patient and Pi connectivity as separate concepts, distinct Pi and wheelchair battery values, and call/message actions. Advanced settings cover grants, consent, pairing, and calibration. The Pi display is deliberately simpler: it presents the current caption or emergency state plus camera, tracking, phone-link, display, and power telemetry without conversation controls. In both Next and Flutter, patient/caregiver role selection is only a navigation choice, not an authorization boundary; backend ownership and caregiver grants are the actual remote access-control mechanism. Several current presentation strings overstate evidence: the web interface hard-codes normal breathing and monitored tremor labels and calls caregiver instructions a clinical protocol, while Flutter can show a fixed normal breathing value and simulate a face signal after camera failure. These labels must be replaced by explicit unknown, unavailable, demonstration, or unvalidated states.</w:t>
      </w:r>
    </w:p>
    <w:p>
      <w:pPr>
        <w:pStyle w:val="Heading2"/>
      </w:pPr>
      <w:r>
        <w:t>Local device protocol</w:t>
      </w:r>
    </w:p>
    <w:p>
      <w:r>
        <w:t>The normative local endpoint is /v1/device/ws with WebSocket subprotocol fingerspeak.device.v1. Frames are UTF-8 JSON and default to a 4096-byte maximum. Every envelope contains a version, UUID message identifier, device identifier, type, timestamp, monotonically handled sequence, and strict payload. Unknown fields or types, stale timestamps, binary frames, oversize messages, missing subprotocol, disallowed origins, and failed authentication are rejected with defined error or close semantics.</w:t>
      </w:r>
    </w:p>
    <w:p>
      <w:r>
        <w:t>Browser WebSockets cannot set an Authorization header, so the first application frame carries a one-time pairing code or rotated device credential. The Pi emits no trusted status before authentication. A successful one-time code is consumed and exchanged for a longer credential; the Pi retains only a digest, optionally in a protected local file. Device commands are idempotent by message_id. An exact retry receives a duplicate acknowledgement without rendering twice; reuse of an identifier with altered content is an error. Emergency display has priority over routine caption commands until expiry.</w:t>
      </w:r>
    </w:p>
    <w:p>
      <w:pPr>
        <w:pStyle w:val="Caption"/>
        <w:keepNext/>
        <w:spacing w:before="160" w:after="80"/>
        <w:jc w:val="left"/>
      </w:pPr>
      <w:r>
        <w:rPr>
          <w:b/>
        </w:rPr>
        <w:t xml:space="preserve">Table 6. </w:t>
      </w:r>
      <w:r>
        <w:t>Local device protocol message matrix</w:t>
      </w:r>
    </w:p>
    <w:tbl>
      <w:tblPr>
        <w:tblW w:w="9360" w:type="dxa"/>
        <w:tblLook w:firstColumn="1" w:firstRow="1" w:lastColumn="0" w:lastRow="0" w:noHBand="0" w:noVBand="1" w:val="04A0"/>
        <w:jc w:val="left"/>
        <w:tblBorders>
          <w:top w:val="single" w:sz="5" w:space="0" w:color="D7DBE2"/>
          <w:left w:val="single" w:sz="5" w:space="0" w:color="D7DBE2"/>
          <w:bottom w:val="single" w:sz="5" w:space="0" w:color="D7DBE2"/>
          <w:right w:val="single" w:sz="5" w:space="0" w:color="D7DBE2"/>
          <w:insideH w:val="single" w:sz="5" w:space="0" w:color="D7DBE2"/>
          <w:insideV w:val="single" w:sz="5" w:space="0" w:color="D7DBE2"/>
        </w:tblBorders>
        <w:tblInd w:w="120" w:type="dxa"/>
        <w:tblLayout w:type="fixed"/>
      </w:tblPr>
      <w:tblGrid>
        <w:gridCol w:w="1300"/>
        <w:gridCol w:w="1800"/>
        <w:gridCol w:w="2700"/>
        <w:gridCol w:w="3560"/>
      </w:tblGrid>
      <w:tr>
        <w:trPr>
          <w:cantSplit/>
          <w:tblHeader w:val="true"/>
        </w:trPr>
        <w:tc>
          <w:tcPr>
            <w:tcW w:type="dxa" w:w="130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5"/>
              </w:rPr>
              <w:t>Direction</w:t>
            </w:r>
          </w:p>
        </w:tc>
        <w:tc>
          <w:tcPr>
            <w:tcW w:type="dxa" w:w="180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5"/>
              </w:rPr>
              <w:t>Type</w:t>
            </w:r>
          </w:p>
        </w:tc>
        <w:tc>
          <w:tcPr>
            <w:tcW w:type="dxa" w:w="270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5"/>
              </w:rPr>
              <w:t>Purpose</w:t>
            </w:r>
          </w:p>
        </w:tc>
        <w:tc>
          <w:tcPr>
            <w:tcW w:type="dxa" w:w="356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5"/>
              </w:rPr>
              <w:t>Safety or reliability property</w:t>
            </w:r>
          </w:p>
        </w:tc>
      </w:tr>
      <w:tr>
        <w:trPr>
          <w:cantSplit/>
        </w:trPr>
        <w:tc>
          <w:tcPr>
            <w:tcW w:type="dxa" w:w="130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Phone -&gt; Pi</w:t>
            </w:r>
          </w:p>
        </w:tc>
        <w:tc>
          <w:tcPr>
            <w:tcW w:type="dxa" w:w="180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pairing.authenticate</w:t>
            </w:r>
          </w:p>
        </w:tc>
        <w:tc>
          <w:tcPr>
            <w:tcW w:type="dxa" w:w="270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Exchange one-time code or reconnect credential</w:t>
            </w:r>
          </w:p>
        </w:tc>
        <w:tc>
          <w:tcPr>
            <w:tcW w:type="dxa" w:w="356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Must be first; no status before success; credential never in URL</w:t>
            </w:r>
          </w:p>
        </w:tc>
      </w:tr>
      <w:tr>
        <w:trPr>
          <w:cantSplit/>
        </w:trPr>
        <w:tc>
          <w:tcPr>
            <w:tcW w:type="dxa" w:w="13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Phone -&gt; Pi</w:t>
            </w:r>
          </w:p>
        </w:tc>
        <w:tc>
          <w:tcPr>
            <w:tcW w:type="dxa" w:w="18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heartbeat</w:t>
            </w:r>
          </w:p>
        </w:tc>
        <w:tc>
          <w:tcPr>
            <w:tcW w:type="dxa" w:w="27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Maintain phone presence</w:t>
            </w:r>
          </w:p>
        </w:tc>
        <w:tc>
          <w:tcPr>
            <w:tcW w:type="dxa" w:w="356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Presence expires after timeout; absence is not inferred as emergency</w:t>
            </w:r>
          </w:p>
        </w:tc>
      </w:tr>
      <w:tr>
        <w:trPr>
          <w:cantSplit/>
        </w:trPr>
        <w:tc>
          <w:tcPr>
            <w:tcW w:type="dxa" w:w="13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Phone -&gt; Pi</w:t>
            </w:r>
          </w:p>
        </w:tc>
        <w:tc>
          <w:tcPr>
            <w:tcW w:type="dxa" w:w="18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status.get</w:t>
            </w:r>
          </w:p>
        </w:tc>
        <w:tc>
          <w:tcPr>
            <w:tcW w:type="dxa" w:w="27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Request current snapshot</w:t>
            </w:r>
          </w:p>
        </w:tc>
        <w:tc>
          <w:tcPr>
            <w:tcW w:type="dxa" w:w="35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Returns independently nullable telemetry</w:t>
            </w:r>
          </w:p>
        </w:tc>
      </w:tr>
      <w:tr>
        <w:trPr>
          <w:cantSplit/>
        </w:trPr>
        <w:tc>
          <w:tcPr>
            <w:tcW w:type="dxa" w:w="13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Phone -&gt; Pi</w:t>
            </w:r>
          </w:p>
        </w:tc>
        <w:tc>
          <w:tcPr>
            <w:tcW w:type="dxa" w:w="18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caption.set</w:t>
            </w:r>
          </w:p>
        </w:tc>
        <w:tc>
          <w:tcPr>
            <w:tcW w:type="dxa" w:w="27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Display plain text up to 280 characters</w:t>
            </w:r>
          </w:p>
        </w:tc>
        <w:tc>
          <w:tcPr>
            <w:tcW w:type="dxa" w:w="356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NFC normalization, control-character rejection, text rendering, idempotency and expiry</w:t>
            </w:r>
          </w:p>
        </w:tc>
      </w:tr>
      <w:tr>
        <w:trPr>
          <w:cantSplit/>
        </w:trPr>
        <w:tc>
          <w:tcPr>
            <w:tcW w:type="dxa" w:w="13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Phone -&gt; Pi</w:t>
            </w:r>
          </w:p>
        </w:tc>
        <w:tc>
          <w:tcPr>
            <w:tcW w:type="dxa" w:w="18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emergency.display</w:t>
            </w:r>
          </w:p>
        </w:tc>
        <w:tc>
          <w:tcPr>
            <w:tcW w:type="dxa" w:w="27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Display confirmed urgent text up to 500 characters</w:t>
            </w:r>
          </w:p>
        </w:tc>
        <w:tc>
          <w:tcPr>
            <w:tcW w:type="dxa" w:w="35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Priority over routine caption; display only; no emergency-service call</w:t>
            </w:r>
          </w:p>
        </w:tc>
      </w:tr>
      <w:tr>
        <w:trPr>
          <w:cantSplit/>
        </w:trPr>
        <w:tc>
          <w:tcPr>
            <w:tcW w:type="dxa" w:w="13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Pi -&gt; phone</w:t>
            </w:r>
          </w:p>
        </w:tc>
        <w:tc>
          <w:tcPr>
            <w:tcW w:type="dxa" w:w="18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device.status</w:t>
            </w:r>
          </w:p>
        </w:tc>
        <w:tc>
          <w:tcPr>
            <w:tcW w:type="dxa" w:w="27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Camera, tracking, display, presence and power state</w:t>
            </w:r>
          </w:p>
        </w:tc>
        <w:tc>
          <w:tcPr>
            <w:tcW w:type="dxa" w:w="356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Unknown battery remains null rather than zero</w:t>
            </w:r>
          </w:p>
        </w:tc>
      </w:tr>
      <w:tr>
        <w:trPr>
          <w:cantSplit/>
        </w:trPr>
        <w:tc>
          <w:tcPr>
            <w:tcW w:type="dxa" w:w="13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Pi -&gt; phone</w:t>
            </w:r>
          </w:p>
        </w:tc>
        <w:tc>
          <w:tcPr>
            <w:tcW w:type="dxa" w:w="18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patient.intent</w:t>
            </w:r>
          </w:p>
        </w:tc>
        <w:tc>
          <w:tcPr>
            <w:tcW w:type="dxa" w:w="27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Bounded blink, gaze, eyebrow or mouth semantic</w:t>
            </w:r>
          </w:p>
        </w:tc>
        <w:tc>
          <w:tcPr>
            <w:tcW w:type="dxa" w:w="35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No media or diagnosis; phone performs replay, confidence and policy gates</w:t>
            </w:r>
          </w:p>
        </w:tc>
      </w:tr>
      <w:tr>
        <w:trPr>
          <w:cantSplit/>
        </w:trPr>
        <w:tc>
          <w:tcPr>
            <w:tcW w:type="dxa" w:w="1300"/>
            <w:shd w:fill="FAFBFC" w:val="clear"/>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Pi -&gt; phone</w:t>
            </w:r>
          </w:p>
        </w:tc>
        <w:tc>
          <w:tcPr>
            <w:tcW w:type="dxa" w:w="1800"/>
            <w:shd w:fill="FAFBFC" w:val="clear"/>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command.ack</w:t>
            </w:r>
          </w:p>
        </w:tc>
        <w:tc>
          <w:tcPr>
            <w:tcW w:type="dxa" w:w="2700"/>
            <w:shd w:fill="FAFBFC" w:val="clear"/>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Report applied, duplicate or rejected command</w:t>
            </w:r>
          </w:p>
        </w:tc>
        <w:tc>
          <w:tcPr>
            <w:tcW w:type="dxa" w:w="3560"/>
            <w:shd w:fill="FAFBFC" w:val="clear"/>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Phone waits for matching acknowledgement before reporting delivery</w:t>
            </w:r>
          </w:p>
        </w:tc>
      </w:tr>
      <w:tr>
        <w:trPr>
          <w:cantSplit/>
        </w:trPr>
        <w:tc>
          <w:tcPr>
            <w:tcW w:type="dxa" w:w="13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Pi -&gt; phone</w:t>
            </w:r>
          </w:p>
        </w:tc>
        <w:tc>
          <w:tcPr>
            <w:tcW w:type="dxa" w:w="18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protocol.error</w:t>
            </w:r>
          </w:p>
        </w:tc>
        <w:tc>
          <w:tcPr>
            <w:tcW w:type="dxa" w:w="27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Return bounded failure detail</w:t>
            </w:r>
          </w:p>
        </w:tc>
        <w:tc>
          <w:tcPr>
            <w:tcW w:type="dxa" w:w="35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Connection may close with explicit protocol code</w:t>
            </w:r>
          </w:p>
        </w:tc>
      </w:tr>
    </w:tbl>
    <w:p>
      <w:pPr>
        <w:spacing w:after="40"/>
      </w:pPr>
    </w:p>
    <w:p>
      <w:pPr>
        <w:pStyle w:val="Heading2"/>
      </w:pPr>
      <w:r>
        <w:t>Confirmed request workflow</w:t>
      </w:r>
    </w:p>
    <w:p>
      <w:pPr>
        <w:keepNext/>
        <w:spacing w:before="80" w:after="0"/>
        <w:jc w:val="center"/>
      </w:pPr>
      <w:r>
        <w:drawing>
          <wp:inline xmlns:a="http://schemas.openxmlformats.org/drawingml/2006/main" xmlns:pic="http://schemas.openxmlformats.org/drawingml/2006/picture">
            <wp:extent cx="5897880" cy="4212771"/>
            <wp:docPr id="4" name="Picture 4" descr="Sequence diagram with lanes for patient, phone app, Raspberry Pi edge, API and database, and caregiver. It shows local confirmation and output before optional Pi acknowledgement and caregiver alert commit and acknowledgement." title="confirmed request sequence"/>
            <wp:cNvGraphicFramePr>
              <a:graphicFrameLocks noChangeAspect="1"/>
            </wp:cNvGraphicFramePr>
            <a:graphic>
              <a:graphicData uri="http://schemas.openxmlformats.org/drawingml/2006/picture">
                <pic:pic>
                  <pic:nvPicPr>
                    <pic:cNvPr id="0" name="confirmed_request_sequence.png"/>
                    <pic:cNvPicPr/>
                  </pic:nvPicPr>
                  <pic:blipFill>
                    <a:blip r:embed="rId16"/>
                    <a:stretch>
                      <a:fillRect/>
                    </a:stretch>
                  </pic:blipFill>
                  <pic:spPr>
                    <a:xfrm>
                      <a:off x="0" y="0"/>
                      <a:ext cx="5897880" cy="4212771"/>
                    </a:xfrm>
                    <a:prstGeom prst="rect"/>
                  </pic:spPr>
                </pic:pic>
              </a:graphicData>
            </a:graphic>
          </wp:inline>
        </w:drawing>
      </w:r>
    </w:p>
    <w:p>
      <w:pPr>
        <w:pStyle w:val="Caption"/>
      </w:pPr>
      <w:r>
        <w:rPr>
          <w:b/>
        </w:rPr>
        <w:t xml:space="preserve">Figure 4. </w:t>
      </w:r>
      <w:r>
        <w:t>Confirmed request and caregiver-alert sequence. Local output precedes optional network delivery, and each channel has its own acknowledgement semantics.</w:t>
      </w:r>
    </w:p>
    <w:p>
      <w:r>
        <w:t>Figure 4 traces an urgent or caregiver-relevant request. The first usable output is local: after the patient completes the deliberate gesture or touch confirmation, the phone displays the caption and attempts speech. Pi display and caregiver delivery are separate channels with separate acknowledgements. This ordering prevents network latency from delaying local communication and prevents cloud or AI inference from becoming the sole initiator of a consequential action.</w:t>
      </w:r>
    </w:p>
    <w:p>
      <w:pPr>
        <w:pStyle w:val="Heading2"/>
      </w:pPr>
      <w:r>
        <w:t>Durable caregiver alerts</w:t>
      </w:r>
    </w:p>
    <w:p>
      <w:r>
        <w:t>A consented caregiver alert is committed to PostgreSQL before best-effort live fan-out. On WebSocket connection, an authorized caregiver receives a bounded snapshot of unresolved alerts followed by live created or acknowledged events. Client event identifiers make retried writes idempotent. Revoking a caregiver grant closes that caregiver's sockets; withdrawing alert consent closes all relevant profile sockets. In a multi-replica API deployment, alert IDs and revocations require a shared pub/sub substrate so every replica can wake or close its local connections.</w:t>
      </w:r>
    </w:p>
    <w:p>
      <w:pPr>
        <w:pStyle w:val="Heading2"/>
      </w:pPr>
      <w:r>
        <w:t>Asha text companion boundary</w:t>
      </w:r>
    </w:p>
    <w:p>
      <w:r>
        <w:t>POST /v1/asha/chat accepts bounded text, locale, and optional patient-owned context. The server may select a configured provider and owner-scoped retrieval plan, uses bounded timeout and output, requests store=false where supported, and returns a deterministic fallback when no provider is configured or a call fails. An urgent classification changes the response mode but cannot independently call a contact, publish an alert, or alter the Pi display. Server-side credentials are never placed in browser or Pi code. That boundary is not consistently preserved by Flutter: its optional direct Gemini path stores a user key in ordinary preferences and sends it in a Google query URL. This path must be removed or replaced with a protected, header-based, server-mediated design before the mobile client can inherit the manuscript's server-only credential claim. The source also contains multiple provider adapters, so deployment documentation should state exactly which provider, model, retention terms, and retrieval store are active.</w:t>
      </w:r>
    </w:p>
    <w:p>
      <w:pPr>
        <w:pStyle w:val="Heading2"/>
      </w:pPr>
      <w:r>
        <w:t>Care routines, recordings, and calls</w:t>
      </w:r>
    </w:p>
    <w:p>
      <w:r>
        <w:t>Hydration and check-in routines are scheduled locally and advance only after actual delivery. Caregiver phrase recordings are bounded by type, duration, size, profile, caregiver identity, and current phrase text; if a recording is unavailable or stale, the system falls back to a local system voice or visible caption. Phone calls are explicit operating-system handoffs with dialable characters bounded and sanitized. The Flutter Asha voice-input control is currently a timed demonstration that inserts a canned phrase rather than speech recognition and must be labelled accordingly. These mechanisms expand communication options but are not monitoring or emergency-service guarantees.</w:t>
      </w:r>
    </w:p>
    <w:p>
      <w:pPr>
        <w:pStyle w:val="Heading1"/>
      </w:pPr>
      <w:r>
        <w:t>Privacy, Security, Safety, and Resilience</w:t>
      </w:r>
    </w:p>
    <w:p>
      <w:pPr>
        <w:pStyle w:val="Heading2"/>
      </w:pPr>
      <w:r>
        <w:t>Threat model</w:t>
      </w:r>
    </w:p>
    <w:p>
      <w:r>
        <w:t>The repository's most relevant threats are unauthorized profile or alert access; credential leakage through URLs, logs, or unprotected local storage; media or landmark exfiltration; forged actor identity; replayed or stale device messages; command duplication; malicious or malformed model artifacts; unsafe text rendering; false or missed activation; stale urgent alerts; cloud unavailability; and expansion of the Pi into an arbitrary command or mobility controller. The design uses narrow contracts and local decision authority to reduce the attack and harm surface, but formal threat modeling and security testing remain future work.</w:t>
      </w:r>
    </w:p>
    <w:p>
      <w:pPr>
        <w:pStyle w:val="Heading2"/>
      </w:pPr>
      <w:r>
        <w:t>Identity, authentication, and authorization</w:t>
      </w:r>
    </w:p>
    <w:p>
      <w:r>
        <w:t>Development may allow an unsigned subject handoff, but staging and production require an upstream gateway to validate the user's session or OIDC credential, remove all client X-Actor headers, and inject a timestamped HMAC-SHA256 assertion bound to method, path, subject, and version. The API compares the digest in constant time and enforces a short time-to-live. Credentialed HTTP and WebSocket origins must match an explicit allow-list. Browser clients never receive the gateway secret. Owners mutate profiles, consent, devices, and grants; enabled caregivers receive only the allowed read and acknowledgement operations.</w:t>
      </w:r>
    </w:p>
    <w:p>
      <w:pPr>
        <w:pStyle w:val="Heading2"/>
      </w:pPr>
      <w:r>
        <w:t>Data minimization and consent</w:t>
      </w:r>
    </w:p>
    <w:p>
      <w:r>
        <w:t>In the canonical PWA design, nothing is intended to sync by default. Consented derived activity uses an opaque per-profile salted gesture token rather than a phrase or semantic label. A caregiver alert may carry the confirmed request text because conveying that text is its purpose and the alert consent is separate. Import resets network-sharing controls rather than adopting flags from another file. Consent withdrawal is persisted and retried, disallowed queued categories are purged, and unsent urgent alerts expire so a stale message is not delivered as current. Flutter currently contradicts this boundary by defaulting cloud consent to enabled, and its recognized-phrase path does not call the available caregiver-alert broadcast method. These inconsistencies must be resolved before making a system-wide default-off or mobile caregiver-delivery claim. The absence of completed deletion, export, retention, backup, and encryption workflows also prevents a comprehensive privacy claim under the NIST lifecycle model [11].</w:t>
      </w:r>
    </w:p>
    <w:p>
      <w:pPr>
        <w:pStyle w:val="Heading2"/>
      </w:pPr>
      <w:r>
        <w:t>Safety controls</w:t>
      </w:r>
    </w:p>
    <w:p>
      <w:pPr>
        <w:numPr>
          <w:ilvl w:val="0"/>
          <w:numId w:val="10"/>
        </w:numPr>
        <w:jc w:val="left"/>
      </w:pPr>
      <w:r>
        <w:t>Unknown movement is rejected rather than forced into the nearest phrase.</w:t>
      </w:r>
    </w:p>
    <w:p>
      <w:pPr>
        <w:numPr>
          <w:ilvl w:val="0"/>
          <w:numId w:val="10"/>
        </w:numPr>
        <w:jc w:val="left"/>
      </w:pPr>
      <w:r>
        <w:t>Per-gesture dwell, release-before-rearm, cooldown, and risk-specific confirmation reduce accidental repeat activation.</w:t>
      </w:r>
    </w:p>
    <w:p>
      <w:pPr>
        <w:numPr>
          <w:ilvl w:val="0"/>
          <w:numId w:val="10"/>
        </w:numPr>
        <w:jc w:val="left"/>
      </w:pPr>
      <w:r>
        <w:t>Local caption and speech attempt occur before optional cloud delivery.</w:t>
      </w:r>
    </w:p>
    <w:p>
      <w:pPr>
        <w:numPr>
          <w:ilvl w:val="0"/>
          <w:numId w:val="10"/>
        </w:numPr>
        <w:jc w:val="left"/>
      </w:pPr>
      <w:r>
        <w:t>Speech failure is visible; the interface does not imply audio was produced when no suitable local voice is available.</w:t>
      </w:r>
    </w:p>
    <w:p>
      <w:pPr>
        <w:numPr>
          <w:ilvl w:val="0"/>
          <w:numId w:val="10"/>
        </w:numPr>
        <w:jc w:val="left"/>
      </w:pPr>
      <w:r>
        <w:t>Emergency display has priority but never implies that emergency services were contacted.</w:t>
      </w:r>
    </w:p>
    <w:p>
      <w:pPr>
        <w:numPr>
          <w:ilvl w:val="0"/>
          <w:numId w:val="10"/>
        </w:numPr>
        <w:jc w:val="left"/>
      </w:pPr>
      <w:r>
        <w:t>Camera lifecycle has an explicit stop path, and media tracks are stopped on view change or unmount.</w:t>
      </w:r>
    </w:p>
    <w:p>
      <w:pPr>
        <w:numPr>
          <w:ilvl w:val="0"/>
          <w:numId w:val="10"/>
        </w:numPr>
        <w:jc w:val="left"/>
      </w:pPr>
      <w:r>
        <w:t>Pi and wheelchair battery fields are separate and nullable; unavailable values are rendered as Unknown.</w:t>
      </w:r>
    </w:p>
    <w:p>
      <w:pPr>
        <w:keepNext/>
        <w:numPr>
          <w:ilvl w:val="0"/>
          <w:numId w:val="10"/>
        </w:numPr>
        <w:jc w:val="left"/>
      </w:pPr>
      <w:r>
        <w:t>No protocol message executes a shell command or controls wheelchair motors.</w:t>
      </w:r>
    </w:p>
    <w:p>
      <w:pPr>
        <w:numPr>
          <w:ilvl w:val="0"/>
          <w:numId w:val="10"/>
        </w:numPr>
        <w:jc w:val="left"/>
      </w:pPr>
      <w:r>
        <w:t>An independent tested AAC and calling pathway remains necessary.</w:t>
      </w:r>
    </w:p>
    <w:p>
      <w:pPr>
        <w:pStyle w:val="Heading2"/>
      </w:pPr>
      <w:r>
        <w:t>Failure and degradation behavior</w:t>
      </w:r>
    </w:p>
    <w:p>
      <w:pPr>
        <w:pStyle w:val="Caption"/>
        <w:keepNext/>
        <w:spacing w:before="160" w:after="80"/>
        <w:jc w:val="left"/>
      </w:pPr>
      <w:r>
        <w:rPr>
          <w:b/>
        </w:rPr>
        <w:t xml:space="preserve">Table 7. </w:t>
      </w:r>
      <w:r>
        <w:t>Degradation behavior by failure condition</w:t>
      </w:r>
    </w:p>
    <w:tbl>
      <w:tblPr>
        <w:tblW w:w="9360" w:type="dxa"/>
        <w:tblLook w:firstColumn="1" w:firstRow="1" w:lastColumn="0" w:lastRow="0" w:noHBand="0" w:noVBand="1" w:val="04A0"/>
        <w:jc w:val="left"/>
        <w:tblBorders>
          <w:top w:val="single" w:sz="5" w:space="0" w:color="D7DBE2"/>
          <w:left w:val="single" w:sz="5" w:space="0" w:color="D7DBE2"/>
          <w:bottom w:val="single" w:sz="5" w:space="0" w:color="D7DBE2"/>
          <w:right w:val="single" w:sz="5" w:space="0" w:color="D7DBE2"/>
          <w:insideH w:val="single" w:sz="5" w:space="0" w:color="D7DBE2"/>
          <w:insideV w:val="single" w:sz="5" w:space="0" w:color="D7DBE2"/>
        </w:tblBorders>
        <w:tblInd w:w="120" w:type="dxa"/>
        <w:tblLayout w:type="fixed"/>
      </w:tblPr>
      <w:tblGrid>
        <w:gridCol w:w="1950"/>
        <w:gridCol w:w="4030"/>
        <w:gridCol w:w="3380"/>
      </w:tblGrid>
      <w:tr>
        <w:trPr>
          <w:cantSplit/>
          <w:tblHeader w:val="true"/>
        </w:trPr>
        <w:tc>
          <w:tcPr>
            <w:tcW w:type="dxa" w:w="195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Condition</w:t>
            </w:r>
          </w:p>
        </w:tc>
        <w:tc>
          <w:tcPr>
            <w:tcW w:type="dxa" w:w="403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Expected behavior</w:t>
            </w:r>
          </w:p>
        </w:tc>
        <w:tc>
          <w:tcPr>
            <w:tcW w:type="dxa" w:w="338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Residual risk</w:t>
            </w:r>
          </w:p>
        </w:tc>
      </w:tr>
      <w:tr>
        <w:trPr>
          <w:cantSplit/>
        </w:trPr>
        <w:tc>
          <w:tcPr>
            <w:tcW w:type="dxa" w:w="195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API or internet unavailable</w:t>
            </w:r>
          </w:p>
        </w:tc>
        <w:tc>
          <w:tcPr>
            <w:tcW w:type="dxa" w:w="403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Local gesture path, captions, speech attempts, contacts and fallback interaction continue</w:t>
            </w:r>
          </w:p>
        </w:tc>
        <w:tc>
          <w:tcPr>
            <w:tcW w:type="dxa" w:w="338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Remote caregivers, cloud device state and provider responses are unavailable</w:t>
            </w:r>
          </w:p>
        </w:tc>
      </w:tr>
      <w:tr>
        <w:trPr>
          <w:cantSplit/>
        </w:trPr>
        <w:tc>
          <w:tcPr>
            <w:tcW w:type="dxa" w:w="19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AI provider unavailable</w:t>
            </w:r>
          </w:p>
        </w:tc>
        <w:tc>
          <w:tcPr>
            <w:tcW w:type="dxa" w:w="403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Deterministic fallback response; no API key required for core communication</w:t>
            </w:r>
          </w:p>
        </w:tc>
        <w:tc>
          <w:tcPr>
            <w:tcW w:type="dxa" w:w="338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Fallback may be generic and is not a substitute for clinical guidance</w:t>
            </w:r>
          </w:p>
        </w:tc>
      </w:tr>
      <w:tr>
        <w:trPr>
          <w:cantSplit/>
        </w:trPr>
        <w:tc>
          <w:tcPr>
            <w:tcW w:type="dxa" w:w="19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Phone-to-Pi link unavailable</w:t>
            </w:r>
          </w:p>
        </w:tc>
        <w:tc>
          <w:tcPr>
            <w:tcW w:type="dxa" w:w="403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Phone retains local output; delivery is not shown as acknowledged</w:t>
            </w:r>
          </w:p>
        </w:tc>
        <w:tc>
          <w:tcPr>
            <w:tcW w:type="dxa" w:w="338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Pi display may not receive the request</w:t>
            </w:r>
          </w:p>
        </w:tc>
      </w:tr>
      <w:tr>
        <w:trPr>
          <w:cantSplit/>
        </w:trPr>
        <w:tc>
          <w:tcPr>
            <w:tcW w:type="dxa" w:w="19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Caregiver disconnect</w:t>
            </w:r>
          </w:p>
        </w:tc>
        <w:tc>
          <w:tcPr>
            <w:tcW w:type="dxa" w:w="403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Alerts persist and replay after authorization and reconnect</w:t>
            </w:r>
          </w:p>
        </w:tc>
        <w:tc>
          <w:tcPr>
            <w:tcW w:type="dxa" w:w="338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WebSocket is not guaranteed emergency delivery; stale alerts expire</w:t>
            </w:r>
          </w:p>
        </w:tc>
      </w:tr>
      <w:tr>
        <w:trPr>
          <w:cantSplit/>
        </w:trPr>
        <w:tc>
          <w:tcPr>
            <w:tcW w:type="dxa" w:w="19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Unknown or invalid model input</w:t>
            </w:r>
          </w:p>
        </w:tc>
        <w:tc>
          <w:tcPr>
            <w:tcW w:type="dxa" w:w="403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Candidate rejected; prior active model retained on failed import</w:t>
            </w:r>
          </w:p>
        </w:tc>
        <w:tc>
          <w:tcPr>
            <w:tcW w:type="dxa" w:w="338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False negatives remain possible and are unmeasured</w:t>
            </w:r>
          </w:p>
        </w:tc>
      </w:tr>
      <w:tr>
        <w:trPr>
          <w:cantSplit/>
        </w:trPr>
        <w:tc>
          <w:tcPr>
            <w:tcW w:type="dxa" w:w="19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Unknown battery sensor</w:t>
            </w:r>
          </w:p>
        </w:tc>
        <w:tc>
          <w:tcPr>
            <w:tcW w:type="dxa" w:w="403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UI shows Unknown</w:t>
            </w:r>
          </w:p>
        </w:tc>
        <w:tc>
          <w:tcPr>
            <w:tcW w:type="dxa" w:w="338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No power prognosis; separate physical monitoring required</w:t>
            </w:r>
          </w:p>
        </w:tc>
      </w:tr>
      <w:tr>
        <w:trPr>
          <w:cantSplit/>
        </w:trPr>
        <w:tc>
          <w:tcPr>
            <w:tcW w:type="dxa" w:w="195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Database unavailable</w:t>
            </w:r>
          </w:p>
        </w:tc>
        <w:tc>
          <w:tcPr>
            <w:tcW w:type="dxa" w:w="403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Readiness fails; local phone communication remains</w:t>
            </w:r>
          </w:p>
        </w:tc>
        <w:tc>
          <w:tcPr>
            <w:tcW w:type="dxa" w:w="338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Cloud writes and alert replay unavailable</w:t>
            </w:r>
          </w:p>
        </w:tc>
      </w:tr>
      <w:tr>
        <w:trPr>
          <w:cantSplit/>
        </w:trPr>
        <w:tc>
          <w:tcPr>
            <w:tcW w:type="dxa" w:w="19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Multiple API replicas without pub/sub</w:t>
            </w:r>
          </w:p>
        </w:tc>
        <w:tc>
          <w:tcPr>
            <w:tcW w:type="dxa" w:w="403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Durable replay survives, but live fan-out/revocation is replica-local</w:t>
            </w:r>
          </w:p>
        </w:tc>
        <w:tc>
          <w:tcPr>
            <w:tcW w:type="dxa" w:w="338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Delayed notification or stale socket until reconnect</w:t>
            </w:r>
          </w:p>
        </w:tc>
      </w:tr>
    </w:tbl>
    <w:p>
      <w:pPr>
        <w:spacing w:after="40"/>
      </w:pPr>
    </w:p>
    <w:tbl>
      <w:tblPr>
        <w:tblW w:w="9360" w:type="dxa"/>
        <w:jc w:val="left"/>
        <w:tblLook w:firstColumn="1" w:firstRow="1" w:lastColumn="0" w:lastRow="0" w:noHBand="0" w:noVBand="1" w:val="04A0"/>
        <w:tblInd w:w="120" w:type="dxa"/>
        <w:tblLayout w:type="fixed"/>
        <w:tblBorders>
          <w:top w:val="single" w:sz="7" w:space="0" w:color="A23B3B"/>
          <w:left w:val="single" w:sz="7" w:space="0" w:color="A23B3B"/>
          <w:bottom w:val="single" w:sz="7" w:space="0" w:color="A23B3B"/>
          <w:right w:val="single" w:sz="7" w:space="0" w:color="A23B3B"/>
          <w:insideH w:val="single" w:sz="7" w:space="0" w:color="A23B3B"/>
          <w:insideV w:val="single" w:sz="7" w:space="0" w:color="A23B3B"/>
        </w:tblBorders>
      </w:tblPr>
      <w:tblGrid>
        <w:gridCol w:w="9360"/>
      </w:tblGrid>
      <w:tr>
        <w:trPr>
          <w:cantSplit/>
          <w:tblHeader w:val="true"/>
        </w:trPr>
        <w:tc>
          <w:tcPr>
            <w:tcW w:type="dxa" w:w="9360"/>
            <w:vAlign w:val="center"/>
            <w:tcMar>
              <w:top w:w="150" w:type="dxa"/>
              <w:start w:w="180" w:type="dxa"/>
              <w:bottom w:w="150" w:type="dxa"/>
              <w:end w:w="180" w:type="dxa"/>
            </w:tcMar>
            <w:shd w:fill="FDECEC" w:val="clear"/>
          </w:tcPr>
          <w:p>
            <w:pPr>
              <w:spacing w:before="0" w:after="0" w:line="276" w:lineRule="auto"/>
            </w:pPr>
            <w:r>
              <w:rPr>
                <w:rFonts w:ascii="Calibri" w:hAnsi="Calibri" w:eastAsia="Calibri"/>
                <w:b/>
                <w:color w:val="A23B3B"/>
                <w:sz w:val="19"/>
              </w:rPr>
              <w:t xml:space="preserve">SAFETY CONCLUSION  </w:t>
            </w:r>
            <w:r>
              <w:rPr>
                <w:rFonts w:ascii="Calibri" w:hAnsi="Calibri" w:eastAsia="Calibri"/>
                <w:color w:val="000000"/>
                <w:sz w:val="19"/>
              </w:rPr>
              <w:t>The architecture contains useful harm-reduction mechanisms, but there is no completed safety case. False activation, missed communication, caregiver delay, device misuse, accessibility barriers, and physical integration hazards require formal analysis with representative users and environments.</w:t>
            </w:r>
          </w:p>
        </w:tc>
      </w:tr>
    </w:tbl>
    <w:p>
      <w:pPr>
        <w:spacing w:after="40"/>
      </w:pPr>
    </w:p>
    <w:p>
      <w:pPr>
        <w:pStyle w:val="Heading1"/>
      </w:pPr>
      <w:r>
        <w:t>Implementation</w:t>
      </w:r>
    </w:p>
    <w:p>
      <w:pPr>
        <w:pStyle w:val="Heading2"/>
      </w:pPr>
      <w:r>
        <w:t>Technology stack</w:t>
      </w:r>
    </w:p>
    <w:p>
      <w:pPr>
        <w:pStyle w:val="Caption"/>
        <w:keepNext/>
        <w:spacing w:before="160" w:after="80"/>
        <w:jc w:val="left"/>
      </w:pPr>
      <w:r>
        <w:rPr>
          <w:b/>
        </w:rPr>
        <w:t xml:space="preserve">Table 8. </w:t>
      </w:r>
      <w:r>
        <w:t>Implementation technologies and roles</w:t>
      </w:r>
    </w:p>
    <w:tbl>
      <w:tblPr>
        <w:tblW w:w="9360" w:type="dxa"/>
        <w:tblLook w:firstColumn="1" w:firstRow="1" w:lastColumn="0" w:lastRow="0" w:noHBand="0" w:noVBand="1" w:val="04A0"/>
        <w:jc w:val="left"/>
        <w:tblBorders>
          <w:top w:val="single" w:sz="5" w:space="0" w:color="D7DBE2"/>
          <w:left w:val="single" w:sz="5" w:space="0" w:color="D7DBE2"/>
          <w:bottom w:val="single" w:sz="5" w:space="0" w:color="D7DBE2"/>
          <w:right w:val="single" w:sz="5" w:space="0" w:color="D7DBE2"/>
          <w:insideH w:val="single" w:sz="5" w:space="0" w:color="D7DBE2"/>
          <w:insideV w:val="single" w:sz="5" w:space="0" w:color="D7DBE2"/>
        </w:tblBorders>
        <w:tblInd w:w="120" w:type="dxa"/>
        <w:tblLayout w:type="fixed"/>
      </w:tblPr>
      <w:tblGrid>
        <w:gridCol w:w="1500"/>
        <w:gridCol w:w="2860"/>
        <w:gridCol w:w="5000"/>
      </w:tblGrid>
      <w:tr>
        <w:trPr>
          <w:cantSplit/>
          <w:tblHeader w:val="true"/>
        </w:trPr>
        <w:tc>
          <w:tcPr>
            <w:tcW w:type="dxa" w:w="150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Layer</w:t>
            </w:r>
          </w:p>
        </w:tc>
        <w:tc>
          <w:tcPr>
            <w:tcW w:type="dxa" w:w="286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Technology</w:t>
            </w:r>
          </w:p>
        </w:tc>
        <w:tc>
          <w:tcPr>
            <w:tcW w:type="dxa" w:w="500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Role in the current repository</w:t>
            </w:r>
          </w:p>
        </w:tc>
      </w:tr>
      <w:tr>
        <w:trPr>
          <w:cantSplit/>
        </w:trPr>
        <w:tc>
          <w:tcPr>
            <w:tcW w:type="dxa" w:w="150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Primary web</w:t>
            </w:r>
          </w:p>
        </w:tc>
        <w:tc>
          <w:tcPr>
            <w:tcW w:type="dxa" w:w="286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React 19, Vinext/Vite, TypeScript, PWA service worker</w:t>
            </w:r>
          </w:p>
        </w:tc>
        <w:tc>
          <w:tcPr>
            <w:tcW w:type="dxa" w:w="500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Patient, Pi display, caregiver and calibration UI; local inference and IndexedDB</w:t>
            </w:r>
          </w:p>
        </w:tc>
      </w:tr>
      <w:tr>
        <w:trPr>
          <w:cantSplit/>
        </w:trPr>
        <w:tc>
          <w:tcPr>
            <w:tcW w:type="dxa" w:w="15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Web perception</w:t>
            </w:r>
          </w:p>
        </w:tc>
        <w:tc>
          <w:tcPr>
            <w:tcW w:type="dxa" w:w="286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MediaPipe Hand and Face Landmarker assets/WASM</w:t>
            </w:r>
          </w:p>
        </w:tc>
        <w:tc>
          <w:tcPr>
            <w:tcW w:type="dxa" w:w="50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On-device landmarks and calibrated face/eye signals</w:t>
            </w:r>
          </w:p>
        </w:tc>
      </w:tr>
      <w:tr>
        <w:trPr>
          <w:cantSplit/>
        </w:trPr>
        <w:tc>
          <w:tcPr>
            <w:tcW w:type="dxa" w:w="15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Native mobile</w:t>
            </w:r>
          </w:p>
        </w:tc>
        <w:tc>
          <w:tcPr>
            <w:tcW w:type="dxa" w:w="28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Flutter/Dart, WebView, ML Kit/platform services</w:t>
            </w:r>
          </w:p>
        </w:tc>
        <w:tc>
          <w:tcPr>
            <w:tcW w:type="dxa" w:w="50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Native shell, protected credentials, notifications, recordings, calls and experimental hand studio</w:t>
            </w:r>
          </w:p>
        </w:tc>
      </w:tr>
      <w:tr>
        <w:trPr>
          <w:cantSplit/>
        </w:trPr>
        <w:tc>
          <w:tcPr>
            <w:tcW w:type="dxa" w:w="15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Edge</w:t>
            </w:r>
          </w:p>
        </w:tc>
        <w:tc>
          <w:tcPr>
            <w:tcW w:type="dxa" w:w="286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Python, FastAPI/Starlette WebSockets, Picamera2 adapter, optional MediaPipe</w:t>
            </w:r>
          </w:p>
        </w:tc>
        <w:tc>
          <w:tcPr>
            <w:tcW w:type="dxa" w:w="50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Pi pairing, bounded protocol, semantic intent, display state, telemetry and cloud relay</w:t>
            </w:r>
          </w:p>
        </w:tc>
      </w:tr>
      <w:tr>
        <w:trPr>
          <w:cantSplit/>
        </w:trPr>
        <w:tc>
          <w:tcPr>
            <w:tcW w:type="dxa" w:w="15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Cloud API</w:t>
            </w:r>
          </w:p>
        </w:tc>
        <w:tc>
          <w:tcPr>
            <w:tcW w:type="dxa" w:w="28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FastAPI, Pydantic, SQLAlchemy async, Alembic</w:t>
            </w:r>
          </w:p>
        </w:tc>
        <w:tc>
          <w:tcPr>
            <w:tcW w:type="dxa" w:w="50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Identity boundary, profiles, consent, events, alerts, devices and Asha</w:t>
            </w:r>
          </w:p>
        </w:tc>
      </w:tr>
      <w:tr>
        <w:trPr>
          <w:cantSplit/>
        </w:trPr>
        <w:tc>
          <w:tcPr>
            <w:tcW w:type="dxa" w:w="15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Persistence</w:t>
            </w:r>
          </w:p>
        </w:tc>
        <w:tc>
          <w:tcPr>
            <w:tcW w:type="dxa" w:w="286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PostgreSQL 17; IndexedDB; protected/local files</w:t>
            </w:r>
          </w:p>
        </w:tc>
        <w:tc>
          <w:tcPr>
            <w:tcW w:type="dxa" w:w="50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Durable cloud metadata, local communication state and credential digests</w:t>
            </w:r>
          </w:p>
        </w:tc>
      </w:tr>
      <w:tr>
        <w:trPr>
          <w:cantSplit/>
        </w:trPr>
        <w:tc>
          <w:tcPr>
            <w:tcW w:type="dxa" w:w="150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ML tooling</w:t>
            </w:r>
          </w:p>
        </w:tc>
        <w:tc>
          <w:tcPr>
            <w:tcW w:type="dxa" w:w="286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NumPy; optional TensorFlow/Keras and TF.js export</w:t>
            </w:r>
          </w:p>
        </w:tc>
        <w:tc>
          <w:tcPr>
            <w:tcW w:type="dxa" w:w="500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Feature parity, baselines, closed-set evaluation and model bundles</w:t>
            </w:r>
          </w:p>
        </w:tc>
      </w:tr>
      <w:tr>
        <w:trPr>
          <w:cantSplit/>
        </w:trPr>
        <w:tc>
          <w:tcPr>
            <w:tcW w:type="dxa" w:w="15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Deployment</w:t>
            </w:r>
          </w:p>
        </w:tc>
        <w:tc>
          <w:tcPr>
            <w:tcW w:type="dxa" w:w="286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Docker Compose, Dockerfiles, PowerShell scripts, GitHub Actions</w:t>
            </w:r>
          </w:p>
        </w:tc>
        <w:tc>
          <w:tcPr>
            <w:tcW w:type="dxa" w:w="50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Development orchestration, verification and mobile artifact workflows</w:t>
            </w:r>
          </w:p>
        </w:tc>
      </w:tr>
    </w:tbl>
    <w:p>
      <w:pPr>
        <w:spacing w:after="40"/>
      </w:pPr>
    </w:p>
    <w:p>
      <w:pPr>
        <w:pStyle w:val="Heading2"/>
      </w:pPr>
      <w:r>
        <w:t>Primary web runtime</w:t>
      </w:r>
    </w:p>
    <w:p>
      <w:r>
        <w:t>The primary web camera loop configures one hand in VIDEO mode and attempts a local GPU delegate before CPU fallback. Hand frames are processed at roughly 90 ms intervals and prototype inference at roughly 120 ms intervals in the implementation scheduler; these are loop targets, not measured end-to-end latency results. The profile parser bounds gesture counts, identifiers, phrase lengths, dwell ranges, sample dimensions, timestamps, and finite coordinate values. The intent machine and Pi intent gate are implemented as small deterministic modules with direct tests.</w:t>
      </w:r>
    </w:p>
    <w:p>
      <w:pPr>
        <w:pStyle w:val="Heading2"/>
      </w:pPr>
      <w:r>
        <w:t>Mobile implementation divergence</w:t>
      </w:r>
    </w:p>
    <w:p>
      <w:r>
        <w:t>The mobile hand studio loads TensorFlow.js and MediaPipe JavaScript from CDNs, trains its own BiGRU, DTW, and prototype models, uses a 0.75 threshold, and derives dwell from gesture names rather than the shared risk metadata. Its prototype confidence, spread handling, and any-class OOD rule differ from the primary contract. After reload it persists BiGRU weights and vocabulary but disables OOD because prototypes are not retained. A corrected clamped resampler is unit-tested in a helper file, yet the production HTML contains an inline extrapolating resampler and does not import that helper. The Dart hand pipeline is test-oriented and not wired into the production UI. These facts mean offline mobile hand operation and mobile/web inference parity are not defensible claims.</w:t>
      </w:r>
    </w:p>
    <w:p>
      <w:pPr>
        <w:pStyle w:val="Heading2"/>
      </w:pPr>
      <w:r>
        <w:t>Edge implementation</w:t>
      </w:r>
    </w:p>
    <w:p>
      <w:r>
        <w:t>The edge runtime separates camera, display, telemetry, pairing, credential storage, cloud relay, and intent-monitor interfaces. The simulator permits hardware-independent testing. A Picamera2 lifecycle adapter and an opt-in MediaPipe Face Landmarker adapter exist in source; the latter pins a model hash, imports vision dependencies lazily, requires Picamera2, and keeps frames method-local. Its production suitability still depends on Raspberry Pi generation, OS image, native wheels, camera mounting, lighting, thermal behavior, frame rate, and target-user validation.</w:t>
      </w:r>
    </w:p>
    <w:p>
      <w:pPr>
        <w:pStyle w:val="Heading2"/>
      </w:pPr>
      <w:r>
        <w:t>Cloud and deployment implementation</w:t>
      </w:r>
    </w:p>
    <w:p>
      <w:r>
        <w:t>The API uses strict Pydantic models, ownership checks, explicit consent gates, HMAC gateway assertions, exact-origin checks, no-store response headers, bounded WebSocket frames, durable alert persistence, token digests, and Alembic migrations. Development Compose starts migrations in the API container; production guidance correctly recommends a separate release step. The repository does not include the production gateway, TLS ingress, secret manager, shared pub/sub, observability, backup, or disaster-recovery configuration, so deployment readiness must be evaluated outside the current Compose slice.</w:t>
      </w:r>
    </w:p>
    <w:p>
      <w:pPr>
        <w:pStyle w:val="Heading1"/>
      </w:pPr>
      <w:r>
        <w:t>Verification and Results</w:t>
      </w:r>
    </w:p>
    <w:p>
      <w:pPr>
        <w:pStyle w:val="Heading2"/>
      </w:pPr>
      <w:r>
        <w:t>Verification procedure</w:t>
      </w:r>
    </w:p>
    <w:p>
      <w:r>
        <w:t>Verification was executed in the shared Windows workspace on the repository snapshot stated above. The repository-wide PowerShell check was started first; it completed TypeScript type checking and then stopped at the frontend lint gate. Component checks were subsequently run independently to distinguish test behavior from lint status. API tests were isolated from local provider credentials by explicitly blanking provider-key environment variables and selecting the in-memory SQLite test database. No test result was inferred from source inspection alone.</w:t>
      </w:r>
    </w:p>
    <w:p>
      <w:pPr>
        <w:pStyle w:val="Caption"/>
        <w:keepNext/>
        <w:spacing w:before="160" w:after="80"/>
        <w:jc w:val="left"/>
      </w:pPr>
      <w:r>
        <w:rPr>
          <w:b/>
        </w:rPr>
        <w:t xml:space="preserve">Table 9. </w:t>
      </w:r>
      <w:r>
        <w:t>Observed engineering verification results</w:t>
      </w:r>
    </w:p>
    <w:tbl>
      <w:tblPr>
        <w:tblW w:w="9360" w:type="dxa"/>
        <w:tblLook w:firstColumn="1" w:firstRow="1" w:lastColumn="0" w:lastRow="0" w:noHBand="0" w:noVBand="1" w:val="04A0"/>
        <w:jc w:val="left"/>
        <w:tblBorders>
          <w:top w:val="single" w:sz="5" w:space="0" w:color="D7DBE2"/>
          <w:left w:val="single" w:sz="5" w:space="0" w:color="D7DBE2"/>
          <w:bottom w:val="single" w:sz="5" w:space="0" w:color="D7DBE2"/>
          <w:right w:val="single" w:sz="5" w:space="0" w:color="D7DBE2"/>
          <w:insideH w:val="single" w:sz="5" w:space="0" w:color="D7DBE2"/>
          <w:insideV w:val="single" w:sz="5" w:space="0" w:color="D7DBE2"/>
        </w:tblBorders>
        <w:tblInd w:w="120" w:type="dxa"/>
        <w:tblLayout w:type="fixed"/>
      </w:tblPr>
      <w:tblGrid>
        <w:gridCol w:w="2050"/>
        <w:gridCol w:w="2050"/>
        <w:gridCol w:w="1100"/>
        <w:gridCol w:w="4160"/>
      </w:tblGrid>
      <w:tr>
        <w:trPr>
          <w:cantSplit/>
          <w:tblHeader w:val="true"/>
        </w:trPr>
        <w:tc>
          <w:tcPr>
            <w:tcW w:type="dxa" w:w="205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5"/>
              </w:rPr>
              <w:t>Check</w:t>
            </w:r>
          </w:p>
        </w:tc>
        <w:tc>
          <w:tcPr>
            <w:tcW w:type="dxa" w:w="205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5"/>
              </w:rPr>
              <w:t>Observed result</w:t>
            </w:r>
          </w:p>
        </w:tc>
        <w:tc>
          <w:tcPr>
            <w:tcW w:type="dxa" w:w="110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5"/>
              </w:rPr>
              <w:t>Status</w:t>
            </w:r>
          </w:p>
        </w:tc>
        <w:tc>
          <w:tcPr>
            <w:tcW w:type="dxa" w:w="416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5"/>
              </w:rPr>
              <w:t>Interpretation</w:t>
            </w:r>
          </w:p>
        </w:tc>
      </w:tr>
      <w:tr>
        <w:trPr>
          <w:cantSplit/>
        </w:trPr>
        <w:tc>
          <w:tcPr>
            <w:tcW w:type="dxa" w:w="205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Web TypeScript typecheck</w:t>
            </w:r>
          </w:p>
        </w:tc>
        <w:tc>
          <w:tcPr>
            <w:tcW w:type="dxa" w:w="205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Completed without error</w:t>
            </w:r>
          </w:p>
        </w:tc>
        <w:tc>
          <w:tcPr>
            <w:tcW w:type="dxa" w:w="110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Pass</w:t>
            </w:r>
          </w:p>
        </w:tc>
        <w:tc>
          <w:tcPr>
            <w:tcW w:type="dxa" w:w="416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Primary web source type-checks in the inspected environment</w:t>
            </w:r>
          </w:p>
        </w:tc>
      </w:tr>
      <w:tr>
        <w:trPr>
          <w:cantSplit/>
        </w:trPr>
        <w:tc>
          <w:tcPr>
            <w:tcW w:type="dxa" w:w="20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Web core tests</w:t>
            </w:r>
          </w:p>
        </w:tc>
        <w:tc>
          <w:tcPr>
            <w:tcW w:type="dxa" w:w="20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52 passed</w:t>
            </w:r>
          </w:p>
        </w:tc>
        <w:tc>
          <w:tcPr>
            <w:tcW w:type="dxa" w:w="11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Pass</w:t>
            </w:r>
          </w:p>
        </w:tc>
        <w:tc>
          <w:tcPr>
            <w:tcW w:type="dxa" w:w="416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Offline fallback, features, model import, intent, voice, device and face logic covered</w:t>
            </w:r>
          </w:p>
        </w:tc>
      </w:tr>
      <w:tr>
        <w:trPr>
          <w:cantSplit/>
        </w:trPr>
        <w:tc>
          <w:tcPr>
            <w:tcW w:type="dxa" w:w="20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Rendered worker tests</w:t>
            </w:r>
          </w:p>
        </w:tc>
        <w:tc>
          <w:tcPr>
            <w:tcW w:type="dxa" w:w="20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2 passed</w:t>
            </w:r>
          </w:p>
        </w:tc>
        <w:tc>
          <w:tcPr>
            <w:tcW w:type="dxa" w:w="11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Pass</w:t>
            </w:r>
          </w:p>
        </w:tc>
        <w:tc>
          <w:tcPr>
            <w:tcW w:type="dxa" w:w="41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Server-rendered application and service-worker shell behavior covered</w:t>
            </w:r>
          </w:p>
        </w:tc>
      </w:tr>
      <w:tr>
        <w:trPr>
          <w:cantSplit/>
        </w:trPr>
        <w:tc>
          <w:tcPr>
            <w:tcW w:type="dxa" w:w="20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Vue reference tests</w:t>
            </w:r>
          </w:p>
        </w:tc>
        <w:tc>
          <w:tcPr>
            <w:tcW w:type="dxa" w:w="20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14 passed</w:t>
            </w:r>
          </w:p>
        </w:tc>
        <w:tc>
          <w:tcPr>
            <w:tcW w:type="dxa" w:w="11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Pass</w:t>
            </w:r>
          </w:p>
        </w:tc>
        <w:tc>
          <w:tcPr>
            <w:tcW w:type="dxa" w:w="416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Legacy/reference presentation behaviors covered; not evidence for the primary PWA</w:t>
            </w:r>
          </w:p>
        </w:tc>
      </w:tr>
      <w:tr>
        <w:trPr>
          <w:cantSplit/>
        </w:trPr>
        <w:tc>
          <w:tcPr>
            <w:tcW w:type="dxa" w:w="20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Web production build</w:t>
            </w:r>
          </w:p>
        </w:tc>
        <w:tc>
          <w:tcPr>
            <w:tcW w:type="dxa" w:w="20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Vinext build completed</w:t>
            </w:r>
          </w:p>
        </w:tc>
        <w:tc>
          <w:tcPr>
            <w:tcW w:type="dxa" w:w="11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Pass</w:t>
            </w:r>
          </w:p>
        </w:tc>
        <w:tc>
          <w:tcPr>
            <w:tcW w:type="dxa" w:w="41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Client, server, RSC and SSR environments built; route classification warning only</w:t>
            </w:r>
          </w:p>
        </w:tc>
      </w:tr>
      <w:tr>
        <w:trPr>
          <w:cantSplit/>
        </w:trPr>
        <w:tc>
          <w:tcPr>
            <w:tcW w:type="dxa" w:w="20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API tests</w:t>
            </w:r>
          </w:p>
        </w:tc>
        <w:tc>
          <w:tcPr>
            <w:tcW w:type="dxa" w:w="20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41 passed with provider keys blanked</w:t>
            </w:r>
          </w:p>
        </w:tc>
        <w:tc>
          <w:tcPr>
            <w:tcW w:type="dxa" w:w="11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Pass</w:t>
            </w:r>
          </w:p>
        </w:tc>
        <w:tc>
          <w:tcPr>
            <w:tcW w:type="dxa" w:w="416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Ownership, gateway, privacy, Asha fallback, devices, alerts and workflow covered</w:t>
            </w:r>
          </w:p>
        </w:tc>
      </w:tr>
      <w:tr>
        <w:trPr>
          <w:cantSplit/>
        </w:trPr>
        <w:tc>
          <w:tcPr>
            <w:tcW w:type="dxa" w:w="20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ML tests</w:t>
            </w:r>
          </w:p>
        </w:tc>
        <w:tc>
          <w:tcPr>
            <w:tcW w:type="dxa" w:w="20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76 passed</w:t>
            </w:r>
          </w:p>
        </w:tc>
        <w:tc>
          <w:tcPr>
            <w:tcW w:type="dxa" w:w="11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Pass</w:t>
            </w:r>
          </w:p>
        </w:tc>
        <w:tc>
          <w:tcPr>
            <w:tcW w:type="dxa" w:w="41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Validation, features, classifiers, evaluation and bundle CLI covered with synthetic fixtures</w:t>
            </w:r>
          </w:p>
        </w:tc>
      </w:tr>
      <w:tr>
        <w:trPr>
          <w:cantSplit/>
        </w:trPr>
        <w:tc>
          <w:tcPr>
            <w:tcW w:type="dxa" w:w="20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Edge initial suite</w:t>
            </w:r>
          </w:p>
        </w:tc>
        <w:tc>
          <w:tcPr>
            <w:tcW w:type="dxa" w:w="20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46 passed; 1 POSIX-only skip</w:t>
            </w:r>
          </w:p>
        </w:tc>
        <w:tc>
          <w:tcPr>
            <w:tcW w:type="dxa" w:w="11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Conditional</w:t>
            </w:r>
          </w:p>
        </w:tc>
        <w:tc>
          <w:tcPr>
            <w:tcW w:type="dxa" w:w="416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Initial run green except Windows-inapplicable mode-bit test</w:t>
            </w:r>
          </w:p>
        </w:tc>
      </w:tr>
      <w:tr>
        <w:trPr>
          <w:cantSplit/>
        </w:trPr>
        <w:tc>
          <w:tcPr>
            <w:tcW w:type="dxa" w:w="20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Edge repeated suite</w:t>
            </w:r>
          </w:p>
        </w:tc>
        <w:tc>
          <w:tcPr>
            <w:tcW w:type="dxa" w:w="20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44 passed; 2 failed; 1 skipped</w:t>
            </w:r>
          </w:p>
        </w:tc>
        <w:tc>
          <w:tcPr>
            <w:tcW w:type="dxa" w:w="11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Fail</w:t>
            </w:r>
          </w:p>
        </w:tc>
        <w:tc>
          <w:tcPr>
            <w:tcW w:type="dxa" w:w="41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WebSocket teardown CancelledError makes repeatability gate red</w:t>
            </w:r>
          </w:p>
        </w:tc>
      </w:tr>
      <w:tr>
        <w:trPr>
          <w:cantSplit/>
        </w:trPr>
        <w:tc>
          <w:tcPr>
            <w:tcW w:type="dxa" w:w="20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Targeted edge rerun</w:t>
            </w:r>
          </w:p>
        </w:tc>
        <w:tc>
          <w:tcPr>
            <w:tcW w:type="dxa" w:w="20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1 passed; patient-intent socket test failed</w:t>
            </w:r>
          </w:p>
        </w:tc>
        <w:tc>
          <w:tcPr>
            <w:tcW w:type="dxa" w:w="11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Fail</w:t>
            </w:r>
          </w:p>
        </w:tc>
        <w:tc>
          <w:tcPr>
            <w:tcW w:type="dxa" w:w="416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Confirms at least one reproducible teardown instability</w:t>
            </w:r>
          </w:p>
        </w:tc>
      </w:tr>
      <w:tr>
        <w:trPr>
          <w:cantSplit/>
        </w:trPr>
        <w:tc>
          <w:tcPr>
            <w:tcW w:type="dxa" w:w="20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Mobile JS runtime tests</w:t>
            </w:r>
          </w:p>
        </w:tc>
        <w:tc>
          <w:tcPr>
            <w:tcW w:type="dxa" w:w="20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7 passed</w:t>
            </w:r>
          </w:p>
        </w:tc>
        <w:tc>
          <w:tcPr>
            <w:tcW w:type="dxa" w:w="11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Pass</w:t>
            </w:r>
          </w:p>
        </w:tc>
        <w:tc>
          <w:tcPr>
            <w:tcW w:type="dxa" w:w="41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Helper presence, resampling, persistence and patient auto-load covered</w:t>
            </w:r>
          </w:p>
        </w:tc>
      </w:tr>
      <w:tr>
        <w:trPr>
          <w:cantSplit/>
        </w:trPr>
        <w:tc>
          <w:tcPr>
            <w:tcW w:type="dxa" w:w="20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Flutter/Dart suite</w:t>
            </w:r>
          </w:p>
        </w:tc>
        <w:tc>
          <w:tcPr>
            <w:tcW w:type="dxa" w:w="20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54 passed</w:t>
            </w:r>
          </w:p>
        </w:tc>
        <w:tc>
          <w:tcPr>
            <w:tcW w:type="dxa" w:w="11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Pass</w:t>
            </w:r>
          </w:p>
        </w:tc>
        <w:tc>
          <w:tcPr>
            <w:tcW w:type="dxa" w:w="416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Native widget and service behavior covered at unit/widget level; implementation gaps remain</w:t>
            </w:r>
          </w:p>
        </w:tc>
      </w:tr>
      <w:tr>
        <w:trPr>
          <w:cantSplit/>
        </w:trPr>
        <w:tc>
          <w:tcPr>
            <w:tcW w:type="dxa" w:w="20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Python compileall</w:t>
            </w:r>
          </w:p>
        </w:tc>
        <w:tc>
          <w:tcPr>
            <w:tcW w:type="dxa" w:w="20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Completed without error</w:t>
            </w:r>
          </w:p>
        </w:tc>
        <w:tc>
          <w:tcPr>
            <w:tcW w:type="dxa" w:w="11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Pass</w:t>
            </w:r>
          </w:p>
        </w:tc>
        <w:tc>
          <w:tcPr>
            <w:tcW w:type="dxa" w:w="41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API, ML and edge source compiled</w:t>
            </w:r>
          </w:p>
        </w:tc>
      </w:tr>
      <w:tr>
        <w:trPr>
          <w:cantSplit/>
        </w:trPr>
        <w:tc>
          <w:tcPr>
            <w:tcW w:type="dxa" w:w="20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ESLint</w:t>
            </w:r>
          </w:p>
        </w:tc>
        <w:tc>
          <w:tcPr>
            <w:tcW w:type="dxa" w:w="20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4 errors at two clickable non-interactive elements</w:t>
            </w:r>
          </w:p>
        </w:tc>
        <w:tc>
          <w:tcPr>
            <w:tcW w:type="dxa" w:w="11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Fail</w:t>
            </w:r>
          </w:p>
        </w:tc>
        <w:tc>
          <w:tcPr>
            <w:tcW w:type="dxa" w:w="416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Keyboard/semantic accessibility debt in FingerSpeakApp</w:t>
            </w:r>
          </w:p>
        </w:tc>
      </w:tr>
      <w:tr>
        <w:trPr>
          <w:cantSplit/>
        </w:trPr>
        <w:tc>
          <w:tcPr>
            <w:tcW w:type="dxa" w:w="205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Ruff</w:t>
            </w:r>
          </w:p>
        </w:tc>
        <w:tc>
          <w:tcPr>
            <w:tcW w:type="dxa" w:w="205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3 line-length and 1 import-order errors</w:t>
            </w:r>
          </w:p>
        </w:tc>
        <w:tc>
          <w:tcPr>
            <w:tcW w:type="dxa" w:w="110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Fail</w:t>
            </w:r>
          </w:p>
        </w:tc>
        <w:tc>
          <w:tcPr>
            <w:tcW w:type="dxa" w:w="416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Python style gate is red</w:t>
            </w:r>
          </w:p>
        </w:tc>
      </w:tr>
      <w:tr>
        <w:trPr>
          <w:cantSplit/>
        </w:trPr>
        <w:tc>
          <w:tcPr>
            <w:tcW w:type="dxa" w:w="20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Docker Compose config</w:t>
            </w:r>
          </w:p>
        </w:tc>
        <w:tc>
          <w:tcPr>
            <w:tcW w:type="dxa" w:w="20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Exit 0; global Docker config access warning</w:t>
            </w:r>
          </w:p>
        </w:tc>
        <w:tc>
          <w:tcPr>
            <w:tcW w:type="dxa" w:w="11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Pass</w:t>
            </w:r>
          </w:p>
        </w:tc>
        <w:tc>
          <w:tcPr>
            <w:tcW w:type="dxa" w:w="416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Development Compose resolves structurally</w:t>
            </w:r>
          </w:p>
        </w:tc>
      </w:tr>
    </w:tbl>
    <w:p>
      <w:pPr>
        <w:spacing w:after="40"/>
      </w:pPr>
    </w:p>
    <w:p>
      <w:r>
        <w:t>Across the Next web, rendered worker, Vue reference, API, ML, edge, mobile JavaScript, and Flutter suites, 293 tests were collected. All 246 non-edge tests passed. The 47-test edge suite was unstable: observed full runs ranged from 46 passing with one platform-specific skip to 44 passing, two failing, and one skipped, with another independent run yielding 45 passing, one failing, and one skipped. The targeted patient-intent rerun still failed during WebSocket teardown. These counts are descriptive, not a release-quality success rate; the repository-wide gate also remained red because lint stopped the scripted workflow before later stages.</w:t>
      </w:r>
    </w:p>
    <w:p>
      <w:pPr>
        <w:pStyle w:val="Heading2"/>
      </w:pPr>
      <w:r>
        <w:t>What the tests establish</w:t>
      </w:r>
    </w:p>
    <w:p>
      <w:r>
        <w:t>The automated evidence supports deterministic behavior for schema bounds, geometric feature shapes, basic invariance, prototype and DTW mechanics, temporal gating, profile import safety resets, artifact hashing, consent enforcement, ownership and caregiver grants, gateway signatures, alert persistence/replay, strict device envelopes, pairing rotation, caption idempotency, status semantics, face-signal rules, and offline companion behavior. The production web build and Python compilation show that the inspected source can be assembled at those layers.</w:t>
      </w:r>
    </w:p>
    <w:p>
      <w:pPr>
        <w:pStyle w:val="Heading2"/>
      </w:pPr>
      <w:r>
        <w:t>What the tests do not establish</w:t>
      </w:r>
    </w:p>
    <w:p>
      <w:r>
        <w:t>The repository tests do not establish communication effectiveness with intended users; recognition accuracy on real patient data; false activation or miss rates; OOD sensitivity or specificity; calibrated probability; end-to-end latency; long-session drift; fatigue; performance across skin appearance, lighting, camera angle, wheelchairs, tremor, contracture, or progressive conditions; audibility; caregiver response time; emergency delivery; WCAG conformance; cyber-resilience; Raspberry Pi thermal or power behavior; or physical safety. Python evaluation uses closed-set argmax on synthetic programmatic sequences and bypasses OOD, confidence, dwell, and release logic.</w:t>
      </w:r>
    </w:p>
    <w:p>
      <w:pPr>
        <w:pStyle w:val="Caption"/>
        <w:keepNext/>
        <w:spacing w:before="160" w:after="80"/>
        <w:jc w:val="left"/>
      </w:pPr>
      <w:r>
        <w:rPr>
          <w:b/>
        </w:rPr>
        <w:t xml:space="preserve">Table 10. </w:t>
      </w:r>
      <w:r>
        <w:t>Claim-evidence matrix</w:t>
      </w:r>
    </w:p>
    <w:tbl>
      <w:tblPr>
        <w:tblW w:w="9360" w:type="dxa"/>
        <w:tblLook w:firstColumn="1" w:firstRow="1" w:lastColumn="0" w:lastRow="0" w:noHBand="0" w:noVBand="1" w:val="04A0"/>
        <w:jc w:val="left"/>
        <w:tblBorders>
          <w:top w:val="single" w:sz="5" w:space="0" w:color="D7DBE2"/>
          <w:left w:val="single" w:sz="5" w:space="0" w:color="D7DBE2"/>
          <w:bottom w:val="single" w:sz="5" w:space="0" w:color="D7DBE2"/>
          <w:right w:val="single" w:sz="5" w:space="0" w:color="D7DBE2"/>
          <w:insideH w:val="single" w:sz="5" w:space="0" w:color="D7DBE2"/>
          <w:insideV w:val="single" w:sz="5" w:space="0" w:color="D7DBE2"/>
        </w:tblBorders>
        <w:tblInd w:w="120" w:type="dxa"/>
        <w:tblLayout w:type="fixed"/>
      </w:tblPr>
      <w:tblGrid>
        <w:gridCol w:w="3000"/>
        <w:gridCol w:w="2350"/>
        <w:gridCol w:w="4010"/>
      </w:tblGrid>
      <w:tr>
        <w:trPr>
          <w:cantSplit/>
          <w:tblHeader w:val="true"/>
        </w:trPr>
        <w:tc>
          <w:tcPr>
            <w:tcW w:type="dxa" w:w="300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Potential claim</w:t>
            </w:r>
          </w:p>
        </w:tc>
        <w:tc>
          <w:tcPr>
            <w:tcW w:type="dxa" w:w="235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Evidence status</w:t>
            </w:r>
          </w:p>
        </w:tc>
        <w:tc>
          <w:tcPr>
            <w:tcW w:type="dxa" w:w="401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Defensible wording</w:t>
            </w:r>
          </w:p>
        </w:tc>
      </w:tr>
      <w:tr>
        <w:trPr>
          <w:cantSplit/>
        </w:trPr>
        <w:tc>
          <w:tcPr>
            <w:tcW w:type="dxa" w:w="300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Local personalized hand pipeline exists</w:t>
            </w:r>
          </w:p>
        </w:tc>
        <w:tc>
          <w:tcPr>
            <w:tcW w:type="dxa" w:w="235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Supported by source and unit tests</w:t>
            </w:r>
          </w:p>
        </w:tc>
        <w:tc>
          <w:tcPr>
            <w:tcW w:type="dxa" w:w="401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FingerSpeak implements a local landmark, feature, prototype and temporal-gating pipeline</w:t>
            </w:r>
          </w:p>
        </w:tc>
      </w:tr>
      <w:tr>
        <w:trPr>
          <w:cantSplit/>
        </w:trPr>
        <w:tc>
          <w:tcPr>
            <w:tcW w:type="dxa" w:w="30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Core phone communication is cloud-optional</w:t>
            </w:r>
          </w:p>
        </w:tc>
        <w:tc>
          <w:tcPr>
            <w:tcW w:type="dxa" w:w="23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Supported architecturally and by offline tests</w:t>
            </w:r>
          </w:p>
        </w:tc>
        <w:tc>
          <w:tcPr>
            <w:tcW w:type="dxa" w:w="401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Local paths are designed to operate without the API; outage usability has not been studied</w:t>
            </w:r>
          </w:p>
        </w:tc>
      </w:tr>
      <w:tr>
        <w:trPr>
          <w:cantSplit/>
        </w:trPr>
        <w:tc>
          <w:tcPr>
            <w:tcW w:type="dxa" w:w="30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Bundle corruption detection</w:t>
            </w:r>
          </w:p>
        </w:tc>
        <w:tc>
          <w:tcPr>
            <w:tcW w:type="dxa" w:w="23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Partially supported</w:t>
            </w:r>
          </w:p>
        </w:tc>
        <w:tc>
          <w:tcPr>
            <w:tcW w:type="dxa" w:w="401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Referenced edge JSON size and SHA-256 are checked before parsing</w:t>
            </w:r>
          </w:p>
        </w:tc>
      </w:tr>
      <w:tr>
        <w:trPr>
          <w:cantSplit/>
        </w:trPr>
        <w:tc>
          <w:tcPr>
            <w:tcW w:type="dxa" w:w="30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Exact training-profile binding</w:t>
            </w:r>
          </w:p>
        </w:tc>
        <w:tc>
          <w:tcPr>
            <w:tcW w:type="dxa" w:w="23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Not supported by browser importer</w:t>
            </w:r>
          </w:p>
        </w:tc>
        <w:tc>
          <w:tcPr>
            <w:tcW w:type="dxa" w:w="401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Documented but not currently enforced; implementation gap</w:t>
            </w:r>
          </w:p>
        </w:tc>
      </w:tr>
      <w:tr>
        <w:trPr>
          <w:cantSplit/>
        </w:trPr>
        <w:tc>
          <w:tcPr>
            <w:tcW w:type="dxa" w:w="30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Confidence is probability of correctness</w:t>
            </w:r>
          </w:p>
        </w:tc>
        <w:tc>
          <w:tcPr>
            <w:tcW w:type="dxa" w:w="23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Contradicted by algorithm</w:t>
            </w:r>
          </w:p>
        </w:tc>
        <w:tc>
          <w:tcPr>
            <w:tcW w:type="dxa" w:w="401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Score is inverse normalized prototype distance and is uncalibrated</w:t>
            </w:r>
          </w:p>
        </w:tc>
      </w:tr>
      <w:tr>
        <w:trPr>
          <w:cantSplit/>
        </w:trPr>
        <w:tc>
          <w:tcPr>
            <w:tcW w:type="dxa" w:w="30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OOD safety effectiveness</w:t>
            </w:r>
          </w:p>
        </w:tc>
        <w:tc>
          <w:tcPr>
            <w:tcW w:type="dxa" w:w="23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Not evaluated; trigger gate makes configured OOD radius redundant</w:t>
            </w:r>
          </w:p>
        </w:tc>
        <w:tc>
          <w:tcPr>
            <w:tcW w:type="dxa" w:w="401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A simple distance gate exists; real OOD performance is unknown</w:t>
            </w:r>
          </w:p>
        </w:tc>
      </w:tr>
      <w:tr>
        <w:trPr>
          <w:cantSplit/>
        </w:trPr>
        <w:tc>
          <w:tcPr>
            <w:tcW w:type="dxa" w:w="30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Mobile and web model parity</w:t>
            </w:r>
          </w:p>
        </w:tc>
        <w:tc>
          <w:tcPr>
            <w:tcW w:type="dxa" w:w="23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Contradicted</w:t>
            </w:r>
          </w:p>
        </w:tc>
        <w:tc>
          <w:tcPr>
            <w:tcW w:type="dxa" w:w="401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Mobile is a divergent experimental client requiring contract convergence</w:t>
            </w:r>
          </w:p>
        </w:tc>
      </w:tr>
      <w:tr>
        <w:trPr>
          <w:cantSplit/>
        </w:trPr>
        <w:tc>
          <w:tcPr>
            <w:tcW w:type="dxa" w:w="30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System-wide default-off cloud sharing</w:t>
            </w:r>
          </w:p>
        </w:tc>
        <w:tc>
          <w:tcPr>
            <w:tcW w:type="dxa" w:w="23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Contradicted by Flutter defaults</w:t>
            </w:r>
          </w:p>
        </w:tc>
        <w:tc>
          <w:tcPr>
            <w:tcW w:type="dxa" w:w="401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The primary PWA is designed default-off; mobile must be corrected before a system-wide claim</w:t>
            </w:r>
          </w:p>
        </w:tc>
      </w:tr>
      <w:tr>
        <w:trPr>
          <w:cantSplit/>
        </w:trPr>
        <w:tc>
          <w:tcPr>
            <w:tcW w:type="dxa" w:w="30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Physiological or clinical status monitoring</w:t>
            </w:r>
          </w:p>
        </w:tc>
        <w:tc>
          <w:tcPr>
            <w:tcW w:type="dxa" w:w="23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Contradicted by hard-coded and simulated UI states</w:t>
            </w:r>
          </w:p>
        </w:tc>
        <w:tc>
          <w:tcPr>
            <w:tcW w:type="dxa" w:w="401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No breathing, tremor, or clinical monitoring performance claim is supportable</w:t>
            </w:r>
          </w:p>
        </w:tc>
      </w:tr>
      <w:tr>
        <w:trPr>
          <w:cantSplit/>
        </w:trPr>
        <w:tc>
          <w:tcPr>
            <w:tcW w:type="dxa" w:w="30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Clinical or emergency effectiveness</w:t>
            </w:r>
          </w:p>
        </w:tc>
        <w:tc>
          <w:tcPr>
            <w:tcW w:type="dxa" w:w="23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No evidence</w:t>
            </w:r>
          </w:p>
        </w:tc>
        <w:tc>
          <w:tcPr>
            <w:tcW w:type="dxa" w:w="401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Prototype only; independent AAC and emergency pathways required</w:t>
            </w:r>
          </w:p>
        </w:tc>
      </w:tr>
      <w:tr>
        <w:trPr>
          <w:cantSplit/>
        </w:trPr>
        <w:tc>
          <w:tcPr>
            <w:tcW w:type="dxa" w:w="300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WCAG 2.2 conformance</w:t>
            </w:r>
          </w:p>
        </w:tc>
        <w:tc>
          <w:tcPr>
            <w:tcW w:type="dxa" w:w="235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No audit; ESLint accessibility failures</w:t>
            </w:r>
          </w:p>
        </w:tc>
        <w:tc>
          <w:tcPr>
            <w:tcW w:type="dxa" w:w="401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WCAG is a future evaluation target</w:t>
            </w:r>
          </w:p>
        </w:tc>
      </w:tr>
      <w:tr>
        <w:trPr>
          <w:cantSplit/>
        </w:trPr>
        <w:tc>
          <w:tcPr>
            <w:tcW w:type="dxa" w:w="30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Real Pi face/eye usability</w:t>
            </w:r>
          </w:p>
        </w:tc>
        <w:tc>
          <w:tcPr>
            <w:tcW w:type="dxa" w:w="23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Adapter exists; no hardware or target-user validation</w:t>
            </w:r>
          </w:p>
        </w:tc>
        <w:tc>
          <w:tcPr>
            <w:tcW w:type="dxa" w:w="401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Opt-in local adapter is implemented but unvalidated</w:t>
            </w:r>
          </w:p>
        </w:tc>
      </w:tr>
    </w:tbl>
    <w:p>
      <w:pPr>
        <w:spacing w:after="40"/>
      </w:pPr>
    </w:p>
    <w:p>
      <w:pPr>
        <w:pStyle w:val="Heading1"/>
      </w:pPr>
      <w:r>
        <w:t>Discussion</w:t>
      </w:r>
    </w:p>
    <w:p>
      <w:pPr>
        <w:pStyle w:val="Heading2"/>
      </w:pPr>
      <w:r>
        <w:t>Architectural strengths</w:t>
      </w:r>
    </w:p>
    <w:p>
      <w:r>
        <w:t>FingerSpeak's strongest contribution is the separation of concerns. The patient device remains the communication authority; the Pi has a bounded appliance role; the API rejects media and controls consented metadata; the caregiver channel is durable but not misrepresented as emergency delivery; and the model toolchain is offline. This reduces accidental coupling between computer vision, AI text, cloud availability, and wheelchair hardware. Explicit unknown telemetry, command acknowledgement, idempotency, short-lived alerts, and release-before-rearm are examples of small design choices with meaningful safety value.</w:t>
      </w:r>
    </w:p>
    <w:p>
      <w:r>
        <w:t>The repository also demonstrates unusually broad contract thinking for a prototype: strict JSON schemas, stable identifiers, versioned features, bounded phrases, canonical profile encoding, artifact hashes, HMAC gateway assertions, token digests, exact-origin checks, durable commit-before-fan-out, and a protected Rest class. These controls create a useful foundation for future assurance work, provided documentation and runtime enforcement are reconciled.</w:t>
      </w:r>
    </w:p>
    <w:p>
      <w:pPr>
        <w:pStyle w:val="Heading2"/>
      </w:pPr>
      <w:r>
        <w:t>Trade-offs</w:t>
      </w:r>
    </w:p>
    <w:p>
      <w:r>
        <w:t>Local-first processing improves availability and data minimization but moves security and lifecycle responsibilities onto personal devices. Small-data personalization improves fit to individual movement but makes evaluation difficult and can overfit calibration conditions. Dwell and release reduce false activations but slow communication and may increase fatigue. A simple prototype model is inspectable and fast but may underperform in complex temporal or background conditions. Cloud durability supports caregivers but introduces identity, consent, retention, and operational dependencies. The correct balance cannot be selected from repository tests alone; representative users and clinical stakeholders must shape it.</w:t>
      </w:r>
    </w:p>
    <w:p>
      <w:pPr>
        <w:pStyle w:val="Heading2"/>
      </w:pPr>
      <w:r>
        <w:t>Documentation and implementation drift</w:t>
      </w:r>
    </w:p>
    <w:p>
      <w:r>
        <w:t>Several inconsistencies are consequential. Device documentation describes pairing digest persistence as memory-only, while source and edge documentation implement opt-in protected persistence. The standalone derived-event schema permits fields rejected by the API. Local and cloud profile vocabularies differ. The bundle contract requires a training-profile digest that the browser ignores. The mobile runtime diverges from the canonical feature and OOD contract. Edge prose understates a newly implemented MediaPipe adapter, while that adapter still lacks hardware evidence. These are not merely editorial defects: they can lead developers, testers, reviewers, and users to assume controls that do not exist or miss controls that do.</w:t>
      </w:r>
    </w:p>
    <w:p>
      <w:pPr>
        <w:pStyle w:val="Heading2"/>
      </w:pPr>
      <w:r>
        <w:t>Meaning of local-first for assistive communication</w:t>
      </w:r>
    </w:p>
    <w:p>
      <w:r>
        <w:t>In this system, local-first should mean that a useful communication route is available from locally stored state without waiting for a remote service, and that the cloud does not own the only copy of essential personalization. It should not mean that every modality is offline, every local store is encrypted, or every mobile path is parity-tested. The current PWA hand path, quick phrases, captioning, and local speech attempt align with that definition. Browser speech recognition, the mobile hand studio's CDN dependencies, remote caregiver delivery, and AI retrieval do not. Precise wording preserves user trust and produces actionable engineering requirements.</w:t>
      </w:r>
    </w:p>
    <w:p>
      <w:pPr>
        <w:pStyle w:val="Heading1"/>
      </w:pPr>
      <w:r>
        <w:t>Limitations and Threats to Validity</w:t>
      </w:r>
    </w:p>
    <w:p>
      <w:r>
        <w:rPr>
          <w:b/>
          <w:i w:val="0"/>
        </w:rPr>
        <w:t xml:space="preserve">No target-user evidence. </w:t>
      </w:r>
      <w:r>
        <w:rPr>
          <w:b w:val="0"/>
          <w:i w:val="0"/>
        </w:rPr>
        <w:t>The study includes no person who relies on AAC, no caregiver participant, no clinician, and no representative wheelchair environment. Usability, fatigue, acceptability, dignity, communication rate, error recovery, and participation outcomes are unknown.</w:t>
      </w:r>
    </w:p>
    <w:p>
      <w:r>
        <w:rPr>
          <w:b/>
          <w:i w:val="0"/>
        </w:rPr>
        <w:t xml:space="preserve">Synthetic and closed-set ML evidence. </w:t>
      </w:r>
      <w:r>
        <w:rPr>
          <w:b w:val="0"/>
          <w:i w:val="0"/>
        </w:rPr>
        <w:t>Python fixtures are programmatic. Evaluation uses argmax accuracy and per-class metrics without OOD, confidence threshold, dwell, release, or continuous-stream false activations. The available split does not establish patient-independent or longitudinal generalization.</w:t>
      </w:r>
    </w:p>
    <w:p>
      <w:r>
        <w:rPr>
          <w:b/>
          <w:i w:val="0"/>
        </w:rPr>
        <w:t xml:space="preserve">Small calibration regime. </w:t>
      </w:r>
      <w:r>
        <w:rPr>
          <w:b w:val="0"/>
          <w:i w:val="0"/>
        </w:rPr>
        <w:t>The primary browser can train from two samples per gesture in one labelled session and does not use holdout or augmentation. This is sufficient for a demonstration, not for a robust personalized model claim.</w:t>
      </w:r>
    </w:p>
    <w:p>
      <w:r>
        <w:rPr>
          <w:b/>
          <w:i w:val="0"/>
        </w:rPr>
        <w:t xml:space="preserve">Cross-client divergence. </w:t>
      </w:r>
      <w:r>
        <w:rPr>
          <w:b w:val="0"/>
          <w:i w:val="0"/>
        </w:rPr>
        <w:t>PWA, mobile WebView, Dart helpers, Python, and Pi face paths are not a single numerically equivalent inference stack. Results from one must not be transferred to another.</w:t>
      </w:r>
    </w:p>
    <w:p>
      <w:r>
        <w:rPr>
          <w:b/>
          <w:i w:val="0"/>
        </w:rPr>
        <w:t xml:space="preserve">Hardware incompleteness. </w:t>
      </w:r>
      <w:r>
        <w:rPr>
          <w:b w:val="0"/>
          <w:i w:val="0"/>
        </w:rPr>
        <w:t>Display, power, battery sensing, enclosure, camera mount, thermal behavior, electrical isolation, and wheelchair integration are unresolved. Simulator success does not predict deployment safety.</w:t>
      </w:r>
    </w:p>
    <w:p>
      <w:r>
        <w:rPr>
          <w:b/>
          <w:i w:val="0"/>
        </w:rPr>
        <w:t xml:space="preserve">Security scope. </w:t>
      </w:r>
      <w:r>
        <w:rPr>
          <w:b w:val="0"/>
          <w:i w:val="0"/>
        </w:rPr>
        <w:t>No penetration test, dependency-vulnerability review, mobile reverse-engineering review, secret-rotation exercise, abuse case, or signed update mechanism was completed.</w:t>
      </w:r>
    </w:p>
    <w:p>
      <w:r>
        <w:rPr>
          <w:b/>
          <w:i w:val="0"/>
        </w:rPr>
        <w:t xml:space="preserve">Operational scope. </w:t>
      </w:r>
      <w:r>
        <w:rPr>
          <w:b w:val="0"/>
          <w:i w:val="0"/>
        </w:rPr>
        <w:t>Compose omits production gateway, TLS, pub/sub, monitoring, backup, incident response, deletion jobs, and disaster recovery. Cloud availability and alert latency are unmeasured.</w:t>
      </w:r>
    </w:p>
    <w:p>
      <w:r>
        <w:rPr>
          <w:b/>
          <w:i w:val="0"/>
        </w:rPr>
        <w:t xml:space="preserve">Accessibility scope. </w:t>
      </w:r>
      <w:r>
        <w:rPr>
          <w:b w:val="0"/>
          <w:i w:val="0"/>
        </w:rPr>
        <w:t>No WCAG conformance evaluation or assistive-technology interoperability study was performed. The current frontend lint failure identifies keyboard and semantic issues.</w:t>
      </w:r>
    </w:p>
    <w:p>
      <w:r>
        <w:rPr>
          <w:b/>
          <w:i w:val="0"/>
        </w:rPr>
        <w:t xml:space="preserve">Verification repeatability. </w:t>
      </w:r>
      <w:r>
        <w:rPr>
          <w:b w:val="0"/>
          <w:i w:val="0"/>
        </w:rPr>
        <w:t>The edge suite passed initially but failed on repeat during WebSocket teardown. Flutter's 54 tests passed, but they do not cover the identified cloud, acknowledgement, or simulated-signal boundary defects. The repository-wide scripted gate did not finish because lint failed.</w:t>
      </w:r>
    </w:p>
    <w:p>
      <w:pPr>
        <w:keepNext/>
      </w:pPr>
      <w:r>
        <w:rPr>
          <w:b/>
          <w:i w:val="0"/>
        </w:rPr>
        <w:t xml:space="preserve">Manuscript source snapshot. </w:t>
      </w:r>
      <w:r>
        <w:rPr>
          <w:b w:val="0"/>
          <w:i w:val="0"/>
        </w:rPr>
        <w:t>The working tree contains active changes beyond commit 8860040. The document is a precise snapshot, not a stable release tag; future edits may invalidate page numbers or claims.</w:t>
      </w:r>
    </w:p>
    <w:tbl>
      <w:tblPr>
        <w:tblW w:w="9360" w:type="dxa"/>
        <w:jc w:val="left"/>
        <w:tblLook w:firstColumn="1" w:firstRow="1" w:lastColumn="0" w:lastRow="0" w:noHBand="0" w:noVBand="1" w:val="04A0"/>
        <w:tblInd w:w="120" w:type="dxa"/>
        <w:tblLayout w:type="fixed"/>
        <w:tblBorders>
          <w:top w:val="single" w:sz="7" w:space="0" w:color="A23B3B"/>
          <w:left w:val="single" w:sz="7" w:space="0" w:color="A23B3B"/>
          <w:bottom w:val="single" w:sz="7" w:space="0" w:color="A23B3B"/>
          <w:right w:val="single" w:sz="7" w:space="0" w:color="A23B3B"/>
          <w:insideH w:val="single" w:sz="7" w:space="0" w:color="A23B3B"/>
          <w:insideV w:val="single" w:sz="7" w:space="0" w:color="A23B3B"/>
        </w:tblBorders>
      </w:tblPr>
      <w:tblGrid>
        <w:gridCol w:w="9360"/>
      </w:tblGrid>
      <w:tr>
        <w:trPr>
          <w:cantSplit/>
          <w:tblHeader w:val="true"/>
        </w:trPr>
        <w:tc>
          <w:tcPr>
            <w:tcW w:type="dxa" w:w="9360"/>
            <w:vAlign w:val="center"/>
            <w:tcMar>
              <w:top w:w="150" w:type="dxa"/>
              <w:start w:w="180" w:type="dxa"/>
              <w:bottom w:w="150" w:type="dxa"/>
              <w:end w:w="180" w:type="dxa"/>
            </w:tcMar>
            <w:shd w:fill="FDECEC" w:val="clear"/>
          </w:tcPr>
          <w:p>
            <w:pPr>
              <w:spacing w:before="0" w:after="0" w:line="276" w:lineRule="auto"/>
            </w:pPr>
            <w:r>
              <w:rPr>
                <w:rFonts w:ascii="Calibri" w:hAnsi="Calibri" w:eastAsia="Calibri"/>
                <w:b/>
                <w:color w:val="A23B3B"/>
                <w:sz w:val="19"/>
              </w:rPr>
              <w:t xml:space="preserve">EXTERNAL VALIDITY  </w:t>
            </w:r>
            <w:r>
              <w:rPr>
                <w:rFonts w:ascii="Calibri" w:hAnsi="Calibri" w:eastAsia="Calibri"/>
                <w:color w:val="000000"/>
                <w:sz w:val="19"/>
              </w:rPr>
              <w:t>The manuscript's conclusions concern architecture completeness and repository evidence. They should not be generalized to communication outcomes, clinical safety, regulatory status, or a production service.</w:t>
            </w:r>
          </w:p>
        </w:tc>
      </w:tr>
    </w:tbl>
    <w:p>
      <w:pPr>
        <w:spacing w:after="40"/>
      </w:pPr>
    </w:p>
    <w:p>
      <w:pPr>
        <w:pStyle w:val="Heading1"/>
      </w:pPr>
      <w:r>
        <w:t>Future Work and Validation Roadmap</w:t>
      </w:r>
    </w:p>
    <w:p>
      <w:r>
        <w:t>Progression should be gated, with each phase producing evidence required by the next. The order below prioritizes internal consistency and bench safety before participant exposure. Formal risk management, human-centred design, and privacy/security practices should be maintained as living processes rather than a final compliance exercise [11]-[15], [18].</w:t>
      </w:r>
    </w:p>
    <w:p>
      <w:pPr>
        <w:numPr>
          <w:ilvl w:val="0"/>
          <w:numId w:val="11"/>
        </w:numPr>
        <w:jc w:val="left"/>
      </w:pPr>
      <w:r>
        <w:t>Contract convergence: choose the canonical runtime, enforce training_profile_sha256, sign bundles, reconcile schemas, remove stale documentation, import the corrected resampler, and align mobile risk/dwell/OOD behavior with the primary contract.</w:t>
      </w:r>
    </w:p>
    <w:p>
      <w:pPr>
        <w:numPr>
          <w:ilvl w:val="0"/>
          <w:numId w:val="11"/>
        </w:numPr>
        <w:jc w:val="left"/>
      </w:pPr>
      <w:r>
        <w:t>Release-gate repair: resolve keyboard semantics, Python lint, edge WebSocket teardown instability, environment-isolated Asha tests, and mobile boundary defects; require stable repeated runs in CI.</w:t>
      </w:r>
    </w:p>
    <w:p>
      <w:pPr>
        <w:numPr>
          <w:ilvl w:val="0"/>
          <w:numId w:val="11"/>
        </w:numPr>
        <w:jc w:val="left"/>
      </w:pPr>
      <w:r>
        <w:t>Bench and hardware validation: freeze Raspberry Pi, camera, display, enclosure, power, cable, and sensor selections; verify frame rate, thermal behavior, shutdown, mounting, glare, night/NoIR behavior, isolation, and failure modes.</w:t>
      </w:r>
    </w:p>
    <w:p>
      <w:pPr>
        <w:numPr>
          <w:ilvl w:val="0"/>
          <w:numId w:val="11"/>
        </w:numPr>
        <w:jc w:val="left"/>
      </w:pPr>
      <w:r>
        <w:t>Formative co-design: recruit representative AAC users, caregivers, speech-language pathologists, occupational therapists, and rehabilitation engineers to select gestures, phrases, dwell, displays, repair strategies, and backup pathways.</w:t>
      </w:r>
    </w:p>
    <w:p>
      <w:pPr>
        <w:numPr>
          <w:ilvl w:val="0"/>
          <w:numId w:val="11"/>
        </w:numPr>
        <w:jc w:val="left"/>
      </w:pPr>
      <w:r>
        <w:t>Model study: collect consented multi-session data; pre-register subject-independent and personalized analyses; measure continuous-stream false activations, misses, OOD behavior, calibration, latency, subgroup robustness, fatigue, and longitudinal drift with confidence intervals.</w:t>
      </w:r>
    </w:p>
    <w:p>
      <w:pPr>
        <w:numPr>
          <w:ilvl w:val="0"/>
          <w:numId w:val="11"/>
        </w:numPr>
        <w:jc w:val="left"/>
      </w:pPr>
      <w:r>
        <w:t>Safety-related usability engineering: identify critical tasks and foreseeable use errors; run formative studies; update risk controls; then conduct independent summative validation in representative environments if the intended use enters medical-device scope.</w:t>
      </w:r>
    </w:p>
    <w:p>
      <w:pPr>
        <w:numPr>
          <w:ilvl w:val="0"/>
          <w:numId w:val="11"/>
        </w:numPr>
        <w:jc w:val="left"/>
      </w:pPr>
      <w:r>
        <w:t>Privacy and security hardening: complete data maps, retention and deletion jobs, encrypted export or secure transfer, credential rotation, least privilege, signed updates, dependency assurance, threat modeling, penetration testing, audit logging, and incident response.</w:t>
      </w:r>
    </w:p>
    <w:p>
      <w:pPr>
        <w:keepNext/>
        <w:numPr>
          <w:ilvl w:val="0"/>
          <w:numId w:val="11"/>
        </w:numPr>
        <w:jc w:val="left"/>
      </w:pPr>
      <w:r>
        <w:t>Operational readiness: deploy identity gateway, TLS, shared pub/sub, monitoring, alerting, backups, recovery exercises, data-residency controls, provider governance, and an explicit support model.</w:t>
      </w:r>
    </w:p>
    <w:p>
      <w:pPr>
        <w:numPr>
          <w:ilvl w:val="0"/>
          <w:numId w:val="11"/>
        </w:numPr>
        <w:jc w:val="left"/>
      </w:pPr>
      <w:r>
        <w:t>Controlled pilot: only after prior gates, run an ethics-approved, closely supervised pilot with independent backup AAC and emergency pathways, predefined stopping rules, adverse-event reporting, and post-use support.</w:t>
      </w:r>
    </w:p>
    <w:p>
      <w:pPr>
        <w:pStyle w:val="Caption"/>
        <w:keepNext/>
        <w:spacing w:before="160" w:after="80"/>
        <w:jc w:val="left"/>
      </w:pPr>
      <w:r>
        <w:rPr>
          <w:b/>
        </w:rPr>
        <w:t xml:space="preserve">Table 11. </w:t>
      </w:r>
      <w:r>
        <w:t>Minimum evidence gates before a supervised pilot</w:t>
      </w:r>
    </w:p>
    <w:tbl>
      <w:tblPr>
        <w:tblW w:w="9360" w:type="dxa"/>
        <w:tblLook w:firstColumn="1" w:firstRow="1" w:lastColumn="0" w:lastRow="0" w:noHBand="0" w:noVBand="1" w:val="04A0"/>
        <w:jc w:val="left"/>
        <w:tblBorders>
          <w:top w:val="single" w:sz="5" w:space="0" w:color="D7DBE2"/>
          <w:left w:val="single" w:sz="5" w:space="0" w:color="D7DBE2"/>
          <w:bottom w:val="single" w:sz="5" w:space="0" w:color="D7DBE2"/>
          <w:right w:val="single" w:sz="5" w:space="0" w:color="D7DBE2"/>
          <w:insideH w:val="single" w:sz="5" w:space="0" w:color="D7DBE2"/>
          <w:insideV w:val="single" w:sz="5" w:space="0" w:color="D7DBE2"/>
        </w:tblBorders>
        <w:tblInd w:w="120" w:type="dxa"/>
        <w:tblLayout w:type="fixed"/>
      </w:tblPr>
      <w:tblGrid>
        <w:gridCol w:w="1450"/>
        <w:gridCol w:w="3890"/>
        <w:gridCol w:w="4020"/>
      </w:tblGrid>
      <w:tr>
        <w:trPr>
          <w:cantSplit/>
          <w:tblHeader w:val="true"/>
        </w:trPr>
        <w:tc>
          <w:tcPr>
            <w:tcW w:type="dxa" w:w="145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Gate</w:t>
            </w:r>
          </w:p>
        </w:tc>
        <w:tc>
          <w:tcPr>
            <w:tcW w:type="dxa" w:w="389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Minimum evidence</w:t>
            </w:r>
          </w:p>
        </w:tc>
        <w:tc>
          <w:tcPr>
            <w:tcW w:type="dxa" w:w="402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Example release condition</w:t>
            </w:r>
          </w:p>
        </w:tc>
      </w:tr>
      <w:tr>
        <w:trPr>
          <w:cantSplit/>
        </w:trPr>
        <w:tc>
          <w:tcPr>
            <w:tcW w:type="dxa" w:w="145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Architecture</w:t>
            </w:r>
          </w:p>
        </w:tc>
        <w:tc>
          <w:tcPr>
            <w:tcW w:type="dxa" w:w="389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Canonical contract implemented across active clients</w:t>
            </w:r>
          </w:p>
        </w:tc>
        <w:tc>
          <w:tcPr>
            <w:tcW w:type="dxa" w:w="402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No unresolved safety-metadata or digest drift; version-skew tests pass</w:t>
            </w:r>
          </w:p>
        </w:tc>
      </w:tr>
      <w:tr>
        <w:trPr>
          <w:cantSplit/>
        </w:trPr>
        <w:tc>
          <w:tcPr>
            <w:tcW w:type="dxa" w:w="14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Verification</w:t>
            </w:r>
          </w:p>
        </w:tc>
        <w:tc>
          <w:tcPr>
            <w:tcW w:type="dxa" w:w="389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Repeated CI stability</w:t>
            </w:r>
          </w:p>
        </w:tc>
        <w:tc>
          <w:tcPr>
            <w:tcW w:type="dxa" w:w="402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All required suites, lint, build, compile, schema and packaging checks green on repeated runs</w:t>
            </w:r>
          </w:p>
        </w:tc>
      </w:tr>
      <w:tr>
        <w:trPr>
          <w:cantSplit/>
        </w:trPr>
        <w:tc>
          <w:tcPr>
            <w:tcW w:type="dxa" w:w="14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Hardware</w:t>
            </w:r>
          </w:p>
        </w:tc>
        <w:tc>
          <w:tcPr>
            <w:tcW w:type="dxa" w:w="389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Installed-system bench report</w:t>
            </w:r>
          </w:p>
        </w:tc>
        <w:tc>
          <w:tcPr>
            <w:tcW w:type="dxa" w:w="402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Validated mount, display, power, sensors, shutdown and environmental limits</w:t>
            </w:r>
          </w:p>
        </w:tc>
      </w:tr>
      <w:tr>
        <w:trPr>
          <w:cantSplit/>
        </w:trPr>
        <w:tc>
          <w:tcPr>
            <w:tcW w:type="dxa" w:w="14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ML</w:t>
            </w:r>
          </w:p>
        </w:tc>
        <w:tc>
          <w:tcPr>
            <w:tcW w:type="dxa" w:w="389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Representative multi-session protocol</w:t>
            </w:r>
          </w:p>
        </w:tc>
        <w:tc>
          <w:tcPr>
            <w:tcW w:type="dxa" w:w="402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Predefined false-activation, miss, latency, OOD and calibration thresholds met with uncertainty reported</w:t>
            </w:r>
          </w:p>
        </w:tc>
      </w:tr>
      <w:tr>
        <w:trPr>
          <w:cantSplit/>
        </w:trPr>
        <w:tc>
          <w:tcPr>
            <w:tcW w:type="dxa" w:w="14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Usability</w:t>
            </w:r>
          </w:p>
        </w:tc>
        <w:tc>
          <w:tcPr>
            <w:tcW w:type="dxa" w:w="389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Formative critical-task evidence</w:t>
            </w:r>
          </w:p>
        </w:tc>
        <w:tc>
          <w:tcPr>
            <w:tcW w:type="dxa" w:w="402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Target users can set up, communicate, correct, stop, recover and use fallback paths</w:t>
            </w:r>
          </w:p>
        </w:tc>
      </w:tr>
      <w:tr>
        <w:trPr>
          <w:cantSplit/>
        </w:trPr>
        <w:tc>
          <w:tcPr>
            <w:tcW w:type="dxa" w:w="14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Safety</w:t>
            </w:r>
          </w:p>
        </w:tc>
        <w:tc>
          <w:tcPr>
            <w:tcW w:type="dxa" w:w="389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Risk-management file and traceability</w:t>
            </w:r>
          </w:p>
        </w:tc>
        <w:tc>
          <w:tcPr>
            <w:tcW w:type="dxa" w:w="402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Hazards, controls, verification, residual risk and benefit-risk rationale reviewed</w:t>
            </w:r>
          </w:p>
        </w:tc>
      </w:tr>
      <w:tr>
        <w:trPr>
          <w:cantSplit/>
        </w:trPr>
        <w:tc>
          <w:tcPr>
            <w:tcW w:type="dxa" w:w="145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Privacy/security</w:t>
            </w:r>
          </w:p>
        </w:tc>
        <w:tc>
          <w:tcPr>
            <w:tcW w:type="dxa" w:w="389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Lifecycle and adversarial assessment</w:t>
            </w:r>
          </w:p>
        </w:tc>
        <w:tc>
          <w:tcPr>
            <w:tcW w:type="dxa" w:w="402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Retention/delete/export, encryption, secrets, update trust and incident processes verified</w:t>
            </w:r>
          </w:p>
        </w:tc>
      </w:tr>
      <w:tr>
        <w:trPr>
          <w:cantSplit/>
        </w:trPr>
        <w:tc>
          <w:tcPr>
            <w:tcW w:type="dxa" w:w="14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Operations</w:t>
            </w:r>
          </w:p>
        </w:tc>
        <w:tc>
          <w:tcPr>
            <w:tcW w:type="dxa" w:w="389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Monitored pilot environment</w:t>
            </w:r>
          </w:p>
        </w:tc>
        <w:tc>
          <w:tcPr>
            <w:tcW w:type="dxa" w:w="402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Support, backup, escalation, audit, recovery and stopping rules in place</w:t>
            </w:r>
          </w:p>
        </w:tc>
      </w:tr>
    </w:tbl>
    <w:p>
      <w:pPr>
        <w:spacing w:after="40"/>
      </w:pPr>
    </w:p>
    <w:p>
      <w:pPr>
        <w:pStyle w:val="Heading1"/>
      </w:pPr>
      <w:r>
        <w:t>Conclusion</w:t>
      </w:r>
    </w:p>
    <w:p>
      <w:r>
        <w:t>FingerSpeak demonstrates a comprehensive local-first architecture for multimodal assistive communication across a patient device, wheelchair edge appliance, caregiver client, cloud control plane, and offline model toolchain. Its most valuable properties are architectural: local communication authority, bounded and authenticated device messages, explicit consent, durable but non-guaranteed caregiver delivery, provider isolation, honest unknown state, deterministic confirmation, and the categorical exclusion of wheelchair motor control.</w:t>
      </w:r>
    </w:p>
    <w:p>
      <w:r>
        <w:t>The source and test base are substantial, but the evidence does not support clinical, emergency, accessibility-compliance, or real-world recognition claims. Browser bundle binding is incomplete, confidence is uncalibrated, OOD performance is unevaluated, the configured OOD radius is redundant under the current trigger threshold, mobile inference and cloud boundaries diverge, some interface states imply unmeasured physiology, edge WebSocket tests are unstable on repeat, lint gates are red, and physical integration remains unresolved. The appropriate next step is not broader deployment; it is contract convergence, repeatable engineering verification, target-user co-design, installed-hardware testing, and a staged safety and privacy validation program.</w:t>
      </w:r>
    </w:p>
    <w:p>
      <w:pPr>
        <w:pStyle w:val="Heading1"/>
      </w:pPr>
      <w:r>
        <w:t>Declarations</w:t>
      </w:r>
    </w:p>
    <w:p>
      <w:r>
        <w:rPr>
          <w:b/>
          <w:i w:val="0"/>
        </w:rPr>
        <w:t xml:space="preserve">Author contributions. </w:t>
      </w:r>
      <w:r>
        <w:rPr>
          <w:b w:val="0"/>
          <w:i w:val="0"/>
        </w:rPr>
        <w:t>[Insert CRediT contribution statement for all authors.]</w:t>
      </w:r>
    </w:p>
    <w:p>
      <w:r>
        <w:rPr>
          <w:b/>
          <w:i w:val="0"/>
        </w:rPr>
        <w:t xml:space="preserve">Funding. </w:t>
      </w:r>
      <w:r>
        <w:rPr>
          <w:b w:val="0"/>
          <w:i w:val="0"/>
        </w:rPr>
        <w:t>[Insert funding source and grant number, or state that no external funding was received.]</w:t>
      </w:r>
    </w:p>
    <w:p>
      <w:r>
        <w:rPr>
          <w:b/>
          <w:i w:val="0"/>
        </w:rPr>
        <w:t xml:space="preserve">Competing interests. </w:t>
      </w:r>
      <w:r>
        <w:rPr>
          <w:b w:val="0"/>
          <w:i w:val="0"/>
        </w:rPr>
        <w:t>[Insert declaration of competing interests.]</w:t>
      </w:r>
    </w:p>
    <w:p>
      <w:r>
        <w:rPr>
          <w:b/>
          <w:i w:val="0"/>
        </w:rPr>
        <w:t xml:space="preserve">Ethics approval. </w:t>
      </w:r>
      <w:r>
        <w:rPr>
          <w:b w:val="0"/>
          <w:i w:val="0"/>
        </w:rPr>
        <w:t>The engineering evaluation reported here used source code, technical documentation, programmatic fixtures, and automated tests. No human participants or clinical records were involved. Any future participant study requires appropriate ethics review and informed consent.</w:t>
      </w:r>
    </w:p>
    <w:p>
      <w:r>
        <w:rPr>
          <w:b/>
          <w:i w:val="0"/>
        </w:rPr>
        <w:t xml:space="preserve">Data availability. </w:t>
      </w:r>
      <w:r>
        <w:rPr>
          <w:b w:val="0"/>
          <w:i w:val="0"/>
        </w:rPr>
        <w:t>No participant dataset was used or generated. The repository contains programmatic test fixtures and model-tooling code; sensitive calibration exports and model bundles should not be treated as anonymous by default.</w:t>
      </w:r>
    </w:p>
    <w:p>
      <w:r>
        <w:rPr>
          <w:b/>
          <w:i w:val="0"/>
        </w:rPr>
        <w:t xml:space="preserve">Code availability. </w:t>
      </w:r>
      <w:r>
        <w:rPr>
          <w:b w:val="0"/>
          <w:i w:val="0"/>
        </w:rPr>
        <w:t>The analysis refers to the FingerSpeak workspace at commit 8860040 plus working-tree changes dated 25 August 2026. Replace this statement with a public repository URL and immutable release tag if applicable.</w:t>
      </w:r>
    </w:p>
    <w:p>
      <w:r>
        <w:rPr>
          <w:b/>
          <w:i w:val="0"/>
        </w:rPr>
        <w:t xml:space="preserve">Generative AI assistance. </w:t>
      </w:r>
      <w:r>
        <w:rPr>
          <w:b w:val="0"/>
          <w:i w:val="0"/>
        </w:rPr>
        <w:t>An AI coding assistant was used to synthesize repository evidence, draft manuscript text, create diagrams, and format the Word document. Authors must verify all technical claims, citations, and journal-specific disclosure requirements before submission.</w:t>
      </w:r>
    </w:p>
    <w:p>
      <w:r>
        <w:rPr>
          <w:b/>
          <w:i w:val="0"/>
        </w:rPr>
        <w:t xml:space="preserve">Acknowledgements. </w:t>
      </w:r>
      <w:r>
        <w:rPr>
          <w:b w:val="0"/>
          <w:i w:val="0"/>
        </w:rPr>
        <w:t>[Insert acknowledgements.]</w:t>
      </w:r>
    </w:p>
    <w:p>
      <w:r>
        <w:br w:type="page"/>
      </w:r>
    </w:p>
    <w:p>
      <w:pPr>
        <w:pStyle w:val="Heading1"/>
      </w:pPr>
      <w:r>
        <w:t>References</w:t>
      </w:r>
    </w:p>
    <w:p>
      <w:pPr>
        <w:pStyle w:val="ReferenceText"/>
        <w:numPr>
          <w:ilvl w:val="0"/>
          <w:numId w:val="12"/>
        </w:numPr>
      </w:pPr>
      <w:r>
        <w:t xml:space="preserve"> World Health Organization and United Nations Children's Fund. Global report on assistive technology. Geneva: World Health Organization; 2022. ISBN 978-92-4-004945-1. https://www.who.int/publications/i/item/9789240049451</w:t>
      </w:r>
    </w:p>
    <w:p>
      <w:pPr>
        <w:pStyle w:val="ReferenceText"/>
        <w:numPr>
          <w:ilvl w:val="0"/>
          <w:numId w:val="12"/>
        </w:numPr>
      </w:pPr>
      <w:r>
        <w:t xml:space="preserve"> Light J, McNaughton D. Communicative competence for individuals who require augmentative and alternative communication: A new definition for a new era of communication? Augmentative and Alternative Communication. 2014;30(1):1-18. doi:10.3109/07434618.2014.885080</w:t>
      </w:r>
    </w:p>
    <w:p>
      <w:pPr>
        <w:pStyle w:val="ReferenceText"/>
        <w:numPr>
          <w:ilvl w:val="0"/>
          <w:numId w:val="12"/>
        </w:numPr>
      </w:pPr>
      <w:r>
        <w:t xml:space="preserve"> Zhang F, Bazarevsky V, Vakunov A, Tkachenka A, Sung G, Chang C-L, Grundmann M. MediaPipe Hands: On-device real-time hand tracking. CV4ARVR. 2020. doi:10.48550/arXiv.2006.10214</w:t>
      </w:r>
    </w:p>
    <w:p>
      <w:pPr>
        <w:pStyle w:val="ReferenceText"/>
        <w:numPr>
          <w:ilvl w:val="0"/>
          <w:numId w:val="12"/>
        </w:numPr>
      </w:pPr>
      <w:r>
        <w:t xml:space="preserve"> Molchanov P, Yang X, Gupta S, Kim K, Tyree S, Kautz J. Online detection and classification of dynamic hand gestures with recurrent 3D convolutional neural network. In: 2016 IEEE Conference on Computer Vision and Pattern Recognition. 2016:4207-4215. doi:10.1109/CVPR.2016.456</w:t>
      </w:r>
    </w:p>
    <w:p>
      <w:pPr>
        <w:pStyle w:val="ReferenceText"/>
        <w:numPr>
          <w:ilvl w:val="0"/>
          <w:numId w:val="12"/>
        </w:numPr>
      </w:pPr>
      <w:r>
        <w:t xml:space="preserve"> Murata K, Shibuya Y. Acceptable dwell time range in object selection using mid-air gesture interaction system. Transactions of Human Interface Society. 2018;20(4):479-490. doi:10.11184/his.20.4_479</w:t>
      </w:r>
    </w:p>
    <w:p>
      <w:pPr>
        <w:pStyle w:val="ReferenceText"/>
        <w:numPr>
          <w:ilvl w:val="0"/>
          <w:numId w:val="12"/>
        </w:numPr>
      </w:pPr>
      <w:r>
        <w:t xml:space="preserve"> Yamagami M, Portnova-Fahreeva AA, Kong J, Wobbrock JO, Mankoff J. How do people with limited movement personalize upper-body gestures? Considerations for the design of personalized and accessible gesture interfaces. In: Proceedings of ASSETS '23. 2023:1-15. doi:10.1145/3597638.3608430</w:t>
      </w:r>
    </w:p>
    <w:p>
      <w:pPr>
        <w:pStyle w:val="ReferenceText"/>
        <w:numPr>
          <w:ilvl w:val="0"/>
          <w:numId w:val="12"/>
        </w:numPr>
      </w:pPr>
      <w:r>
        <w:t xml:space="preserve"> Jiang H, Duerstock BS, Wachs JP. User-centered and analytic-based approaches to generate usable gestures for individuals with quadriplegia. IEEE Transactions on Human-Machine Systems. 2016;46(3):460-466. doi:10.1109/THMS.2015.2497346</w:t>
      </w:r>
    </w:p>
    <w:p>
      <w:pPr>
        <w:pStyle w:val="ReferenceText"/>
        <w:numPr>
          <w:ilvl w:val="0"/>
          <w:numId w:val="12"/>
        </w:numPr>
      </w:pPr>
      <w:r>
        <w:t xml:space="preserve"> Guo C, Pleiss G, Sun Y, Weinberger KQ. On calibration of modern neural networks. Proceedings of Machine Learning Research. 2017;70:1321-1330. https://proceedings.mlr.press/v70/guo17a.html</w:t>
      </w:r>
    </w:p>
    <w:p>
      <w:pPr>
        <w:pStyle w:val="ReferenceText"/>
        <w:numPr>
          <w:ilvl w:val="0"/>
          <w:numId w:val="12"/>
        </w:numPr>
      </w:pPr>
      <w:r>
        <w:t xml:space="preserve"> Lee K, Lee K, Lee H, Shin J. A simple unified framework for detecting out-of-distribution samples and adversarial attacks. Advances in Neural Information Processing Systems. 2018;31:7167-7177. https://proceedings.neurips.cc/paper_files/paper/2018/hash/abdeb6f575ac5c6676b747bca8d09cc2-Abstract.html</w:t>
      </w:r>
    </w:p>
    <w:p>
      <w:pPr>
        <w:pStyle w:val="ReferenceText"/>
        <w:numPr>
          <w:ilvl w:val="0"/>
          <w:numId w:val="12"/>
        </w:numPr>
      </w:pPr>
      <w:r>
        <w:t xml:space="preserve"> Shi W, Cao J, Zhang Q, Li Y, Xu L. Edge computing: Vision and challenges. IEEE Internet of Things Journal. 2016;3(5):637-646. doi:10.1109/JIOT.2016.2579198</w:t>
      </w:r>
    </w:p>
    <w:p>
      <w:pPr>
        <w:pStyle w:val="ReferenceText"/>
        <w:numPr>
          <w:ilvl w:val="0"/>
          <w:numId w:val="12"/>
        </w:numPr>
      </w:pPr>
      <w:r>
        <w:t xml:space="preserve"> Boeckl K, Lefkovitz N. NIST Privacy Framework: A tool for improving privacy through enterprise risk management, version 1.0. NIST CSWP 01162020. 2020. doi:10.6028/NIST.CSWP.01162020</w:t>
      </w:r>
    </w:p>
    <w:p>
      <w:pPr>
        <w:pStyle w:val="ReferenceText"/>
        <w:numPr>
          <w:ilvl w:val="0"/>
          <w:numId w:val="12"/>
        </w:numPr>
      </w:pPr>
      <w:r>
        <w:t xml:space="preserve"> World Wide Web Consortium. Web Content Accessibility Guidelines (WCAG) 2.2. W3C Recommendation. 12 December 2024. https://www.w3.org/TR/WCAG22/</w:t>
      </w:r>
    </w:p>
    <w:p>
      <w:pPr>
        <w:pStyle w:val="ReferenceText"/>
        <w:numPr>
          <w:ilvl w:val="0"/>
          <w:numId w:val="12"/>
        </w:numPr>
      </w:pPr>
      <w:r>
        <w:t xml:space="preserve"> International Organization for Standardization. ISO 21856:2022 Assistive products - General requirements and test methods. Geneva: ISO; 2022. https://www.iso.org/standard/71986.html</w:t>
      </w:r>
    </w:p>
    <w:p>
      <w:pPr>
        <w:pStyle w:val="ReferenceText"/>
        <w:numPr>
          <w:ilvl w:val="0"/>
          <w:numId w:val="12"/>
        </w:numPr>
      </w:pPr>
      <w:r>
        <w:t xml:space="preserve"> International Organization for Standardization. ISO 14971:2019 Medical devices - Application of risk management to medical devices. Geneva: ISO; 2019. https://www.iso.org/standard/72704.html</w:t>
      </w:r>
    </w:p>
    <w:p>
      <w:pPr>
        <w:pStyle w:val="ReferenceText"/>
        <w:numPr>
          <w:ilvl w:val="0"/>
          <w:numId w:val="12"/>
        </w:numPr>
      </w:pPr>
      <w:r>
        <w:t xml:space="preserve"> International Electrotechnical Commission. IEC 62366-1:2015+AMD1:2020 CSV Medical devices - Part 1: Application of usability engineering to medical devices. Geneva: IEC; 2020. https://webstore.iec.ch/en/publication/67220</w:t>
      </w:r>
    </w:p>
    <w:p>
      <w:pPr>
        <w:pStyle w:val="ReferenceText"/>
        <w:numPr>
          <w:ilvl w:val="0"/>
          <w:numId w:val="12"/>
        </w:numPr>
      </w:pPr>
      <w:r>
        <w:t xml:space="preserve"> Sakoe H, Chiba S. Dynamic programming algorithm optimization for spoken word recognition. IEEE Transactions on Acoustics, Speech, and Signal Processing. 1978;26(1):43-49. doi:10.1109/TASSP.1978.1163055</w:t>
      </w:r>
    </w:p>
    <w:p>
      <w:pPr>
        <w:pStyle w:val="ReferenceText"/>
        <w:numPr>
          <w:ilvl w:val="0"/>
          <w:numId w:val="12"/>
        </w:numPr>
      </w:pPr>
      <w:r>
        <w:t xml:space="preserve"> Kleppmann M, Wiggins A, van Hardenberg P, McGranaghan M. Local-first software: You own your data, in spite of the cloud. In: Proceedings of Onward! '19. 2019:154-178. doi:10.1145/3359591.3359737</w:t>
      </w:r>
    </w:p>
    <w:p>
      <w:pPr>
        <w:pStyle w:val="ReferenceText"/>
        <w:numPr>
          <w:ilvl w:val="0"/>
          <w:numId w:val="12"/>
        </w:numPr>
      </w:pPr>
      <w:r>
        <w:t xml:space="preserve"> Souppaya M, Scarfone K, Dodson D. Secure Software Development Framework (SSDF) Version 1.1. NIST Special Publication 800-218. 2022. doi:10.6028/NIST.SP.800-218</w:t>
      </w:r>
    </w:p>
    <w:p>
      <w:pPr>
        <w:pStyle w:val="Heading1"/>
      </w:pPr>
      <w:r>
        <w:t>Appendix A. Repository-to-Architecture Map</w:t>
      </w:r>
    </w:p>
    <w:p>
      <w:pPr>
        <w:pStyle w:val="Caption"/>
        <w:keepNext/>
        <w:spacing w:before="160" w:after="80"/>
        <w:jc w:val="left"/>
      </w:pPr>
      <w:r>
        <w:rPr>
          <w:b/>
        </w:rPr>
        <w:t xml:space="preserve">Table 12. </w:t>
      </w:r>
      <w:r>
        <w:t>Repository locations and manuscript roles</w:t>
      </w:r>
    </w:p>
    <w:tbl>
      <w:tblPr>
        <w:tblW w:w="9360" w:type="dxa"/>
        <w:tblLook w:firstColumn="1" w:firstRow="1" w:lastColumn="0" w:lastRow="0" w:noHBand="0" w:noVBand="1" w:val="04A0"/>
        <w:jc w:val="left"/>
        <w:tblBorders>
          <w:top w:val="single" w:sz="5" w:space="0" w:color="D7DBE2"/>
          <w:left w:val="single" w:sz="5" w:space="0" w:color="D7DBE2"/>
          <w:bottom w:val="single" w:sz="5" w:space="0" w:color="D7DBE2"/>
          <w:right w:val="single" w:sz="5" w:space="0" w:color="D7DBE2"/>
          <w:insideH w:val="single" w:sz="5" w:space="0" w:color="D7DBE2"/>
          <w:insideV w:val="single" w:sz="5" w:space="0" w:color="D7DBE2"/>
        </w:tblBorders>
        <w:tblInd w:w="120" w:type="dxa"/>
        <w:tblLayout w:type="fixed"/>
      </w:tblPr>
      <w:tblGrid>
        <w:gridCol w:w="2300"/>
        <w:gridCol w:w="2050"/>
        <w:gridCol w:w="5010"/>
      </w:tblGrid>
      <w:tr>
        <w:trPr>
          <w:cantSplit/>
          <w:tblHeader w:val="true"/>
        </w:trPr>
        <w:tc>
          <w:tcPr>
            <w:tcW w:type="dxa" w:w="230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Location</w:t>
            </w:r>
          </w:p>
        </w:tc>
        <w:tc>
          <w:tcPr>
            <w:tcW w:type="dxa" w:w="205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Role</w:t>
            </w:r>
          </w:p>
        </w:tc>
        <w:tc>
          <w:tcPr>
            <w:tcW w:type="dxa" w:w="501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6"/>
              </w:rPr>
              <w:t>Primary evidence represented</w:t>
            </w:r>
          </w:p>
        </w:tc>
      </w:tr>
      <w:tr>
        <w:trPr>
          <w:cantSplit/>
        </w:trPr>
        <w:tc>
          <w:tcPr>
            <w:tcW w:type="dxa" w:w="230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apps/web</w:t>
            </w:r>
          </w:p>
        </w:tc>
        <w:tc>
          <w:tcPr>
            <w:tcW w:type="dxa" w:w="205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Primary PWA</w:t>
            </w:r>
          </w:p>
        </w:tc>
        <w:tc>
          <w:tcPr>
            <w:tcW w:type="dxa" w:w="501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Patient/caregiver/Pi/setup UI, hand and face logic, intent machine, model import, storage, API/device clients and tests</w:t>
            </w:r>
          </w:p>
        </w:tc>
      </w:tr>
      <w:tr>
        <w:trPr>
          <w:cantSplit/>
        </w:trPr>
        <w:tc>
          <w:tcPr>
            <w:tcW w:type="dxa" w:w="23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apps/mobile</w:t>
            </w:r>
          </w:p>
        </w:tc>
        <w:tc>
          <w:tcPr>
            <w:tcW w:type="dxa" w:w="20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Native experimental client</w:t>
            </w:r>
          </w:p>
        </w:tc>
        <w:tc>
          <w:tcPr>
            <w:tcW w:type="dxa" w:w="501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Patient/caregiver shell, platform services, WebView hand studio, face signals, protected credentials and mobile tests</w:t>
            </w:r>
          </w:p>
        </w:tc>
      </w:tr>
      <w:tr>
        <w:trPr>
          <w:cantSplit/>
        </w:trPr>
        <w:tc>
          <w:tcPr>
            <w:tcW w:type="dxa" w:w="23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services/edge</w:t>
            </w:r>
          </w:p>
        </w:tc>
        <w:tc>
          <w:tcPr>
            <w:tcW w:type="dxa" w:w="20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Raspberry Pi bridge</w:t>
            </w:r>
          </w:p>
        </w:tc>
        <w:tc>
          <w:tcPr>
            <w:tcW w:type="dxa" w:w="501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Protocol parser, pairing, credential digest store, camera/display/telemetry adapters, intent monitor, cloud relay and simulator</w:t>
            </w:r>
          </w:p>
        </w:tc>
      </w:tr>
      <w:tr>
        <w:trPr>
          <w:cantSplit/>
        </w:trPr>
        <w:tc>
          <w:tcPr>
            <w:tcW w:type="dxa" w:w="23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services/api</w:t>
            </w:r>
          </w:p>
        </w:tc>
        <w:tc>
          <w:tcPr>
            <w:tcW w:type="dxa" w:w="20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Cloud control plane</w:t>
            </w:r>
          </w:p>
        </w:tc>
        <w:tc>
          <w:tcPr>
            <w:tcW w:type="dxa" w:w="501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Profiles, grants, consent, sessions, derived events, alerts, devices, Asha, database models, gateway security and privacy middleware</w:t>
            </w:r>
          </w:p>
        </w:tc>
      </w:tr>
      <w:tr>
        <w:trPr>
          <w:cantSplit/>
        </w:trPr>
        <w:tc>
          <w:tcPr>
            <w:tcW w:type="dxa" w:w="23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services/ml</w:t>
            </w:r>
          </w:p>
        </w:tc>
        <w:tc>
          <w:tcPr>
            <w:tcW w:type="dxa" w:w="20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Offline ML tooling</w:t>
            </w:r>
          </w:p>
        </w:tc>
        <w:tc>
          <w:tcPr>
            <w:tcW w:type="dxa" w:w="501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Profile validation, feature extraction, augmentation functions, DTW/prototype/BiGRU, evaluation and bundle export</w:t>
            </w:r>
          </w:p>
        </w:tc>
      </w:tr>
      <w:tr>
        <w:trPr>
          <w:cantSplit/>
        </w:trPr>
        <w:tc>
          <w:tcPr>
            <w:tcW w:type="dxa" w:w="23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contracts</w:t>
            </w:r>
          </w:p>
        </w:tc>
        <w:tc>
          <w:tcPr>
            <w:tcW w:type="dxa" w:w="20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Versioned boundary schemas</w:t>
            </w:r>
          </w:p>
        </w:tc>
        <w:tc>
          <w:tcPr>
            <w:tcW w:type="dxa" w:w="501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Local profile, model bundle, edge prototype, device link and derived-event definitions</w:t>
            </w:r>
          </w:p>
        </w:tc>
      </w:tr>
      <w:tr>
        <w:trPr>
          <w:cantSplit/>
        </w:trPr>
        <w:tc>
          <w:tcPr>
            <w:tcW w:type="dxa" w:w="230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docs</w:t>
            </w:r>
          </w:p>
        </w:tc>
        <w:tc>
          <w:tcPr>
            <w:tcW w:type="dxa" w:w="20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Architecture intent</w:t>
            </w:r>
          </w:p>
        </w:tc>
        <w:tc>
          <w:tcPr>
            <w:tcW w:type="dxa" w:w="501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System, hardware, device, privacy, setup, feature and model-contract prose</w:t>
            </w:r>
          </w:p>
        </w:tc>
      </w:tr>
      <w:tr>
        <w:trPr>
          <w:cantSplit/>
        </w:trPr>
        <w:tc>
          <w:tcPr>
            <w:tcW w:type="dxa" w:w="23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infra</w:t>
            </w:r>
          </w:p>
        </w:tc>
        <w:tc>
          <w:tcPr>
            <w:tcW w:type="dxa" w:w="20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Development deployment</w:t>
            </w:r>
          </w:p>
        </w:tc>
        <w:tc>
          <w:tcPr>
            <w:tcW w:type="dxa" w:w="501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PostgreSQL, API and primary web Compose topology</w:t>
            </w:r>
          </w:p>
        </w:tc>
      </w:tr>
      <w:tr>
        <w:trPr>
          <w:cantSplit/>
        </w:trPr>
        <w:tc>
          <w:tcPr>
            <w:tcW w:type="dxa" w:w="230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scripts</w:t>
            </w:r>
          </w:p>
        </w:tc>
        <w:tc>
          <w:tcPr>
            <w:tcW w:type="dxa" w:w="205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Workspace operations</w:t>
            </w:r>
          </w:p>
        </w:tc>
        <w:tc>
          <w:tcPr>
            <w:tcW w:type="dxa" w:w="501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6"/>
              </w:rPr>
              <w:t>Bootstrap, development and repository-wide verification</w:t>
            </w:r>
          </w:p>
        </w:tc>
      </w:tr>
      <w:tr>
        <w:trPr>
          <w:cantSplit/>
        </w:trPr>
        <w:tc>
          <w:tcPr>
            <w:tcW w:type="dxa" w:w="230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legacy and apps/web-vue</w:t>
            </w:r>
          </w:p>
        </w:tc>
        <w:tc>
          <w:tcPr>
            <w:tcW w:type="dxa" w:w="20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Reference/provenance</w:t>
            </w:r>
          </w:p>
        </w:tc>
        <w:tc>
          <w:tcPr>
            <w:tcW w:type="dxa" w:w="501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6"/>
              </w:rPr>
              <w:t>Original static prototype and non-primary presentation layer</w:t>
            </w:r>
          </w:p>
        </w:tc>
      </w:tr>
    </w:tbl>
    <w:p>
      <w:pPr>
        <w:spacing w:after="40"/>
      </w:pPr>
    </w:p>
    <w:p>
      <w:pPr>
        <w:pStyle w:val="TableCitation"/>
      </w:pPr>
      <w:r>
        <w:t>Interpretation note: paths identify implementation evidence, not a frozen public release. The active working tree contains changes beyond the named commit.</w:t>
      </w:r>
    </w:p>
    <w:p>
      <w:pPr>
        <w:pStyle w:val="Heading1"/>
      </w:pPr>
      <w:r>
        <w:t>Appendix B. Protocol and Data Contract Matrix</w:t>
      </w:r>
    </w:p>
    <w:p>
      <w:pPr>
        <w:pStyle w:val="Heading2"/>
      </w:pPr>
      <w:r>
        <w:t>Boundary invariants</w:t>
      </w:r>
    </w:p>
    <w:p>
      <w:pPr>
        <w:numPr>
          <w:ilvl w:val="0"/>
          <w:numId w:val="10"/>
        </w:numPr>
        <w:jc w:val="left"/>
      </w:pPr>
      <w:r>
        <w:t>Device frames are UTF-8 text JSON; binary and oversize frames are rejected.</w:t>
      </w:r>
    </w:p>
    <w:p>
      <w:pPr>
        <w:numPr>
          <w:ilvl w:val="0"/>
          <w:numId w:val="10"/>
        </w:numPr>
        <w:jc w:val="left"/>
      </w:pPr>
      <w:r>
        <w:t>Browser pairing credentials are sent in the first message and never in query parameters.</w:t>
      </w:r>
    </w:p>
    <w:p>
      <w:pPr>
        <w:numPr>
          <w:ilvl w:val="0"/>
          <w:numId w:val="10"/>
        </w:numPr>
        <w:jc w:val="left"/>
      </w:pPr>
      <w:r>
        <w:t>Message IDs, sequence values, timestamps, strict payloads, and normalization support replay, freshness, idempotency, and safe rendering checks.</w:t>
      </w:r>
    </w:p>
    <w:p>
      <w:pPr>
        <w:numPr>
          <w:ilvl w:val="0"/>
          <w:numId w:val="10"/>
        </w:numPr>
        <w:jc w:val="left"/>
      </w:pPr>
      <w:r>
        <w:t>The semantic patient-intent vocabulary is fixed and media-free; phrase bindings remain local to the phone.</w:t>
      </w:r>
    </w:p>
    <w:p>
      <w:pPr>
        <w:numPr>
          <w:ilvl w:val="0"/>
          <w:numId w:val="10"/>
        </w:numPr>
        <w:jc w:val="left"/>
      </w:pPr>
      <w:r>
        <w:t>Cloud device bearer tokens are owner-issued, scoped, returned once, stored only as a digest by the API, and distinct from user or AI credentials.</w:t>
      </w:r>
    </w:p>
    <w:p>
      <w:pPr>
        <w:numPr>
          <w:ilvl w:val="0"/>
          <w:numId w:val="10"/>
        </w:numPr>
        <w:jc w:val="left"/>
      </w:pPr>
      <w:r>
        <w:t>Caregiver authorization and consent changes revoke sockets; durable replay compensates for disconnect but not for multi-replica fan-out without pub/sub.</w:t>
      </w:r>
    </w:p>
    <w:p>
      <w:pPr>
        <w:numPr>
          <w:ilvl w:val="0"/>
          <w:numId w:val="10"/>
        </w:numPr>
        <w:jc w:val="left"/>
      </w:pPr>
      <w:r>
        <w:t>Asha accepts bounded text only and has no direct action authority.</w:t>
      </w:r>
    </w:p>
    <w:p>
      <w:pPr>
        <w:pStyle w:val="Heading2"/>
      </w:pPr>
      <w:r>
        <w:t>Known contract conflicts</w:t>
      </w:r>
    </w:p>
    <w:p>
      <w:pPr>
        <w:pStyle w:val="Caption"/>
        <w:keepNext/>
        <w:spacing w:before="160" w:after="80"/>
        <w:jc w:val="left"/>
      </w:pPr>
      <w:r>
        <w:rPr>
          <w:b/>
        </w:rPr>
        <w:t xml:space="preserve">Table 13. </w:t>
      </w:r>
      <w:r>
        <w:t>Contract and documentation discrepancies</w:t>
      </w:r>
    </w:p>
    <w:tbl>
      <w:tblPr>
        <w:tblW w:w="9360" w:type="dxa"/>
        <w:tblLook w:firstColumn="1" w:firstRow="1" w:lastColumn="0" w:lastRow="0" w:noHBand="0" w:noVBand="1" w:val="04A0"/>
        <w:jc w:val="left"/>
        <w:tblBorders>
          <w:top w:val="single" w:sz="5" w:space="0" w:color="D7DBE2"/>
          <w:left w:val="single" w:sz="5" w:space="0" w:color="D7DBE2"/>
          <w:bottom w:val="single" w:sz="5" w:space="0" w:color="D7DBE2"/>
          <w:right w:val="single" w:sz="5" w:space="0" w:color="D7DBE2"/>
          <w:insideH w:val="single" w:sz="5" w:space="0" w:color="D7DBE2"/>
          <w:insideV w:val="single" w:sz="5" w:space="0" w:color="D7DBE2"/>
        </w:tblBorders>
        <w:tblInd w:w="120" w:type="dxa"/>
        <w:tblLayout w:type="fixed"/>
      </w:tblPr>
      <w:tblGrid>
        <w:gridCol w:w="1760"/>
        <w:gridCol w:w="4320"/>
        <w:gridCol w:w="3280"/>
      </w:tblGrid>
      <w:tr>
        <w:trPr>
          <w:cantSplit/>
          <w:tblHeader w:val="true"/>
        </w:trPr>
        <w:tc>
          <w:tcPr>
            <w:tcW w:type="dxa" w:w="176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5"/>
              </w:rPr>
              <w:t>Area</w:t>
            </w:r>
          </w:p>
        </w:tc>
        <w:tc>
          <w:tcPr>
            <w:tcW w:type="dxa" w:w="432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5"/>
              </w:rPr>
              <w:t>Observed discrepancy</w:t>
            </w:r>
          </w:p>
        </w:tc>
        <w:tc>
          <w:tcPr>
            <w:tcW w:type="dxa" w:w="328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5"/>
              </w:rPr>
              <w:t>Required resolution</w:t>
            </w:r>
          </w:p>
        </w:tc>
      </w:tr>
      <w:tr>
        <w:trPr>
          <w:cantSplit/>
        </w:trPr>
        <w:tc>
          <w:tcPr>
            <w:tcW w:type="dxa" w:w="176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Pairing persistence</w:t>
            </w:r>
          </w:p>
        </w:tc>
        <w:tc>
          <w:tcPr>
            <w:tcW w:type="dxa" w:w="432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Protocol prose says in-memory only; edge source and README implement optional protected digest persistence</w:t>
            </w:r>
          </w:p>
        </w:tc>
        <w:tc>
          <w:tcPr>
            <w:tcW w:type="dxa" w:w="328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Update normative protocol and add restart/rotation tests for supported modes</w:t>
            </w:r>
          </w:p>
        </w:tc>
      </w:tr>
      <w:tr>
        <w:trPr>
          <w:cantSplit/>
        </w:trPr>
        <w:tc>
          <w:tcPr>
            <w:tcW w:type="dxa" w:w="176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Derived event schema</w:t>
            </w:r>
          </w:p>
        </w:tc>
        <w:tc>
          <w:tcPr>
            <w:tcW w:type="dxa" w:w="432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Standalone JSON Schema permits semantic/phrase fields rejected by current API</w:t>
            </w:r>
          </w:p>
        </w:tc>
        <w:tc>
          <w:tcPr>
            <w:tcW w:type="dxa" w:w="328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Retire or version the schema and generate API tests from the canonical contract</w:t>
            </w:r>
          </w:p>
        </w:tc>
      </w:tr>
      <w:tr>
        <w:trPr>
          <w:cantSplit/>
        </w:trPr>
        <w:tc>
          <w:tcPr>
            <w:tcW w:type="dxa" w:w="17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Profile vocabulary</w:t>
            </w:r>
          </w:p>
        </w:tc>
        <w:tc>
          <w:tcPr>
            <w:tcW w:type="dxa" w:w="432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Local profile and API vocabulary use different counts, phrase/dwell bounds and field names</w:t>
            </w:r>
          </w:p>
        </w:tc>
        <w:tc>
          <w:tcPr>
            <w:tcW w:type="dxa" w:w="328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Define explicit mapping or share one versioned schema</w:t>
            </w:r>
          </w:p>
        </w:tc>
      </w:tr>
      <w:tr>
        <w:trPr>
          <w:cantSplit/>
        </w:trPr>
        <w:tc>
          <w:tcPr>
            <w:tcW w:type="dxa" w:w="176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Bundle profile digest</w:t>
            </w:r>
          </w:p>
        </w:tc>
        <w:tc>
          <w:tcPr>
            <w:tcW w:type="dxa" w:w="432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Contract requires exact training digest; browser importer ignores it</w:t>
            </w:r>
          </w:p>
        </w:tc>
        <w:tc>
          <w:tcPr>
            <w:tcW w:type="dxa" w:w="328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Parse, validate and compare before activation; add tamper/mismatch tests</w:t>
            </w:r>
          </w:p>
        </w:tc>
      </w:tr>
      <w:tr>
        <w:trPr>
          <w:cantSplit/>
        </w:trPr>
        <w:tc>
          <w:tcPr>
            <w:tcW w:type="dxa" w:w="17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Hash case</w:t>
            </w:r>
          </w:p>
        </w:tc>
        <w:tc>
          <w:tcPr>
            <w:tcW w:type="dxa" w:w="432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Prose requires lowercase while one schema accepts uppercase</w:t>
            </w:r>
          </w:p>
        </w:tc>
        <w:tc>
          <w:tcPr>
            <w:tcW w:type="dxa" w:w="328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Select one canonical encoding and enforce in all runtimes</w:t>
            </w:r>
          </w:p>
        </w:tc>
      </w:tr>
      <w:tr>
        <w:trPr>
          <w:cantSplit/>
        </w:trPr>
        <w:tc>
          <w:tcPr>
            <w:tcW w:type="dxa" w:w="176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Mobile model</w:t>
            </w:r>
          </w:p>
        </w:tc>
        <w:tc>
          <w:tcPr>
            <w:tcW w:type="dxa" w:w="432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Threshold, scoring, OOD, resampling, dwell and persistence diverge</w:t>
            </w:r>
          </w:p>
        </w:tc>
        <w:tc>
          <w:tcPr>
            <w:tcW w:type="dxa" w:w="328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Adopt a shared conformance suite and version every active runtime</w:t>
            </w:r>
          </w:p>
        </w:tc>
      </w:tr>
      <w:tr>
        <w:trPr>
          <w:cantSplit/>
        </w:trPr>
        <w:tc>
          <w:tcPr>
            <w:tcW w:type="dxa" w:w="17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Mobile cloud boundary</w:t>
            </w:r>
          </w:p>
        </w:tc>
        <w:tc>
          <w:tcPr>
            <w:tcW w:type="dxa" w:w="432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Consent defaults on; identity and alert parsing are incomplete; direct Gemini path exposes a key in a URL</w:t>
            </w:r>
          </w:p>
        </w:tc>
        <w:tc>
          <w:tcPr>
            <w:tcW w:type="dxa" w:w="328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Default consent off, require authenticated server mediation, remove direct key path, and add end-to-end tests</w:t>
            </w:r>
          </w:p>
        </w:tc>
      </w:tr>
      <w:tr>
        <w:trPr>
          <w:cantSplit/>
        </w:trPr>
        <w:tc>
          <w:tcPr>
            <w:tcW w:type="dxa" w:w="176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Mobile Pi acknowledgement</w:t>
            </w:r>
          </w:p>
        </w:tc>
        <w:tc>
          <w:tcPr>
            <w:tcW w:type="dxa" w:w="432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Caption and emergency controls report success without matching an acknowledgement</w:t>
            </w:r>
          </w:p>
        </w:tc>
        <w:tc>
          <w:tcPr>
            <w:tcW w:type="dxa" w:w="328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Correlate command IDs, surface timeout/failure, and test reconnect and replay</w:t>
            </w:r>
          </w:p>
        </w:tc>
      </w:tr>
      <w:tr>
        <w:trPr>
          <w:cantSplit/>
        </w:trPr>
        <w:tc>
          <w:tcPr>
            <w:tcW w:type="dxa" w:w="17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Health-status presentation</w:t>
            </w:r>
          </w:p>
        </w:tc>
        <w:tc>
          <w:tcPr>
            <w:tcW w:type="dxa" w:w="432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Hard-coded or simulated breathing/tremor states and clinical wording imply unmeasured capability</w:t>
            </w:r>
          </w:p>
        </w:tc>
        <w:tc>
          <w:tcPr>
            <w:tcW w:type="dxa" w:w="328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Use unknown/unavailable labels and clinically review every health-related claim</w:t>
            </w:r>
          </w:p>
        </w:tc>
      </w:tr>
      <w:tr>
        <w:trPr>
          <w:cantSplit/>
        </w:trPr>
        <w:tc>
          <w:tcPr>
            <w:tcW w:type="dxa" w:w="176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Pi face adapter</w:t>
            </w:r>
          </w:p>
        </w:tc>
        <w:tc>
          <w:tcPr>
            <w:tcW w:type="dxa" w:w="432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Source implements an opt-in MediaPipe path while prose says no production adapter is bundled</w:t>
            </w:r>
          </w:p>
        </w:tc>
        <w:tc>
          <w:tcPr>
            <w:tcW w:type="dxa" w:w="328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Document as implemented but unvalidated; gate by hardware evidence</w:t>
            </w:r>
          </w:p>
        </w:tc>
      </w:tr>
      <w:tr>
        <w:trPr>
          <w:cantSplit/>
        </w:trPr>
        <w:tc>
          <w:tcPr>
            <w:tcW w:type="dxa" w:w="17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Speech privacy</w:t>
            </w:r>
          </w:p>
        </w:tc>
        <w:tc>
          <w:tcPr>
            <w:tcW w:type="dxa" w:w="432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Local-service statement covers synthesis, not necessarily browser recognition</w:t>
            </w:r>
          </w:p>
        </w:tc>
        <w:tc>
          <w:tcPr>
            <w:tcW w:type="dxa" w:w="328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Separate synthesis and recognition data-flow claims in UI and documentation</w:t>
            </w:r>
          </w:p>
        </w:tc>
      </w:tr>
      <w:tr>
        <w:trPr>
          <w:cantSplit/>
        </w:trPr>
        <w:tc>
          <w:tcPr>
            <w:tcW w:type="dxa" w:w="1760"/>
            <w:shd w:fill="FAFBFC" w:val="clear"/>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PWA credential storage</w:t>
            </w:r>
          </w:p>
        </w:tc>
        <w:tc>
          <w:tcPr>
            <w:tcW w:type="dxa" w:w="4320"/>
            <w:shd w:fill="FAFBFC" w:val="clear"/>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Protocol requests secure storage; PWA stores link state in IndexedDB while Flutter has protected storage</w:t>
            </w:r>
          </w:p>
        </w:tc>
        <w:tc>
          <w:tcPr>
            <w:tcW w:type="dxa" w:w="3280"/>
            <w:shd w:fill="FAFBFC" w:val="clear"/>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Define browser threat model, expiry, re-pairing and native wrapper strategy</w:t>
            </w:r>
          </w:p>
        </w:tc>
      </w:tr>
      <w:tr>
        <w:trPr>
          <w:cantSplit/>
        </w:trPr>
        <w:tc>
          <w:tcPr>
            <w:tcW w:type="dxa" w:w="176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Compose migration</w:t>
            </w:r>
          </w:p>
        </w:tc>
        <w:tc>
          <w:tcPr>
            <w:tcW w:type="dxa" w:w="432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Development startup runs migrations; production prose calls for separate release job</w:t>
            </w:r>
          </w:p>
        </w:tc>
        <w:tc>
          <w:tcPr>
            <w:tcW w:type="dxa" w:w="328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Label development behavior and provide production deployment artifacts</w:t>
            </w:r>
          </w:p>
        </w:tc>
      </w:tr>
    </w:tbl>
    <w:p>
      <w:pPr>
        <w:spacing w:after="40"/>
      </w:pPr>
    </w:p>
    <w:p>
      <w:pPr>
        <w:pStyle w:val="Heading1"/>
      </w:pPr>
      <w:r>
        <w:t>Appendix C. Verification Record</w:t>
      </w:r>
    </w:p>
    <w:p>
      <w:pPr>
        <w:pStyle w:val="Heading2"/>
      </w:pPr>
      <w:r>
        <w:t>Commands</w:t>
      </w:r>
    </w:p>
    <w:p>
      <w:pPr>
        <w:pStyle w:val="CodeBlock"/>
      </w:pPr>
      <w:r>
        <w:t>.\scripts\test.ps1</w:t>
      </w:r>
    </w:p>
    <w:p>
      <w:pPr>
        <w:pStyle w:val="CodeBlock"/>
      </w:pPr>
      <w:r>
        <w:t>npm.cmd run test  (apps/web)</w:t>
      </w:r>
    </w:p>
    <w:p>
      <w:pPr>
        <w:pStyle w:val="CodeBlock"/>
      </w:pPr>
      <w:r>
        <w:t>node.exe --test tests/rendered-html.test.mjs  (apps/web)</w:t>
      </w:r>
    </w:p>
    <w:p>
      <w:pPr>
        <w:pStyle w:val="CodeBlock"/>
      </w:pPr>
      <w:r>
        <w:t>npm.cmd run build  (apps/web)</w:t>
      </w:r>
    </w:p>
    <w:p>
      <w:pPr>
        <w:pStyle w:val="CodeBlock"/>
      </w:pPr>
      <w:r>
        <w:t>npm.cmd test  (apps/web-vue)</w:t>
      </w:r>
    </w:p>
    <w:p>
      <w:pPr>
        <w:pStyle w:val="CodeBlock"/>
      </w:pPr>
      <w:r>
        <w:t>.\.venv\Scripts\python.exe -m pytest -q services\api\tests</w:t>
      </w:r>
    </w:p>
    <w:p>
      <w:pPr>
        <w:pStyle w:val="CodeBlock"/>
      </w:pPr>
      <w:r>
        <w:t>.\.venv\Scripts\python.exe -m pytest -q services\ml\tests</w:t>
      </w:r>
    </w:p>
    <w:p>
      <w:pPr>
        <w:pStyle w:val="CodeBlock"/>
      </w:pPr>
      <w:r>
        <w:t>.\.venv\Scripts\python.exe -m pytest -q services\edge\tests</w:t>
      </w:r>
    </w:p>
    <w:p>
      <w:pPr>
        <w:pStyle w:val="CodeBlock"/>
      </w:pPr>
      <w:r>
        <w:t>node.exe --test test\hand_studio_runtime_test.js  (apps/mobile)</w:t>
      </w:r>
    </w:p>
    <w:p>
      <w:pPr>
        <w:pStyle w:val="CodeBlock"/>
      </w:pPr>
      <w:r>
        <w:t>flutter test  (apps/mobile)</w:t>
      </w:r>
    </w:p>
    <w:p>
      <w:pPr>
        <w:pStyle w:val="CodeBlock"/>
      </w:pPr>
      <w:r>
        <w:t>.\.venv\Scripts\python.exe -m ruff check services\api services\ml services\edge</w:t>
      </w:r>
    </w:p>
    <w:p>
      <w:pPr>
        <w:pStyle w:val="CodeBlock"/>
      </w:pPr>
      <w:r>
        <w:t>.\.venv\Scripts\python.exe -m compileall -q services\api\src</w:t>
      </w:r>
    </w:p>
    <w:p>
      <w:pPr>
        <w:pStyle w:val="CodeBlock"/>
      </w:pPr>
      <w:r>
        <w:t>.\.venv\Scripts\python.exe -m compileall -q services\ml\src</w:t>
      </w:r>
    </w:p>
    <w:p>
      <w:pPr>
        <w:pStyle w:val="CodeBlock"/>
      </w:pPr>
      <w:r>
        <w:t>.\.venv\Scripts\python.exe -m compileall -q services\edge\src</w:t>
      </w:r>
    </w:p>
    <w:p>
      <w:pPr>
        <w:pStyle w:val="CodeBlock"/>
      </w:pPr>
      <w:r>
        <w:t>docker.exe compose -f infra\compose.yaml config --quiet</w:t>
      </w:r>
    </w:p>
    <w:p>
      <w:pPr>
        <w:pStyle w:val="Heading2"/>
      </w:pPr>
      <w:r>
        <w:t>Environment controls and interpretation</w:t>
      </w:r>
    </w:p>
    <w:p>
      <w:pPr>
        <w:jc w:val="left"/>
      </w:pPr>
      <w:r>
        <w:t>API tests used the in-memory database, explicit test origins/hosts, and blank OpenAI/Gemini credential variables so a local provider configuration could not change the expected fallback response. The root script should enforce this isolation internally. Edge's POSIX permission test was skipped on Windows by design; a repeated run failed during TestClient WebSocket teardown with concurrent.futures.CancelledError.</w:t>
      </w:r>
    </w:p>
    <w:p>
      <w:pPr>
        <w:pStyle w:val="Heading2"/>
      </w:pPr>
      <w:r>
        <w:t>Open verification defects</w:t>
      </w:r>
    </w:p>
    <w:p>
      <w:pPr>
        <w:numPr>
          <w:ilvl w:val="0"/>
          <w:numId w:val="10"/>
        </w:numPr>
        <w:jc w:val="left"/>
      </w:pPr>
      <w:r>
        <w:t>ESLint: four jsx-a11y errors in FingerSpeakApp.tsx.</w:t>
      </w:r>
    </w:p>
    <w:p>
      <w:pPr>
        <w:numPr>
          <w:ilvl w:val="0"/>
          <w:numId w:val="10"/>
        </w:numPr>
        <w:jc w:val="left"/>
      </w:pPr>
      <w:r>
        <w:t>Ruff: three line-length findings and one import-order finding.</w:t>
      </w:r>
    </w:p>
    <w:p>
      <w:pPr>
        <w:numPr>
          <w:ilvl w:val="0"/>
          <w:numId w:val="10"/>
        </w:numPr>
        <w:jc w:val="left"/>
      </w:pPr>
      <w:r>
        <w:t>Edge: WebSocket teardown remains unstable on repeated and targeted runs.</w:t>
      </w:r>
    </w:p>
    <w:p>
      <w:pPr>
        <w:numPr>
          <w:ilvl w:val="0"/>
          <w:numId w:val="10"/>
        </w:numPr>
        <w:jc w:val="left"/>
      </w:pPr>
      <w:r>
        <w:t>Mobile: 54 tests pass but omit production identity/cloud, caregiver-alert, envelope, Pi-acknowledgement, direct-key, and simulated-health boundary coverage.</w:t>
      </w:r>
    </w:p>
    <w:p>
      <w:pPr>
        <w:numPr>
          <w:ilvl w:val="0"/>
          <w:numId w:val="10"/>
        </w:numPr>
        <w:jc w:val="left"/>
      </w:pPr>
      <w:r>
        <w:t>Root script: stops at lint; later checks were executed separately.</w:t>
      </w:r>
    </w:p>
    <w:p>
      <w:pPr>
        <w:pStyle w:val="Heading1"/>
      </w:pPr>
      <w:r>
        <w:t>Appendix D. Known Gaps and Risk Register</w:t>
      </w:r>
    </w:p>
    <w:p>
      <w:pPr>
        <w:pStyle w:val="Caption"/>
        <w:keepNext/>
        <w:spacing w:before="160" w:after="80"/>
        <w:jc w:val="left"/>
      </w:pPr>
      <w:r>
        <w:rPr>
          <w:b/>
        </w:rPr>
        <w:t xml:space="preserve">Table 14. </w:t>
      </w:r>
      <w:r>
        <w:t>Prioritized engineering and use-risk register</w:t>
      </w:r>
    </w:p>
    <w:tbl>
      <w:tblPr>
        <w:tblW w:w="9360" w:type="dxa"/>
        <w:tblLook w:firstColumn="1" w:firstRow="1" w:lastColumn="0" w:lastRow="0" w:noHBand="0" w:noVBand="1" w:val="04A0"/>
        <w:jc w:val="left"/>
        <w:tblBorders>
          <w:top w:val="single" w:sz="5" w:space="0" w:color="D7DBE2"/>
          <w:left w:val="single" w:sz="5" w:space="0" w:color="D7DBE2"/>
          <w:bottom w:val="single" w:sz="5" w:space="0" w:color="D7DBE2"/>
          <w:right w:val="single" w:sz="5" w:space="0" w:color="D7DBE2"/>
          <w:insideH w:val="single" w:sz="5" w:space="0" w:color="D7DBE2"/>
          <w:insideV w:val="single" w:sz="5" w:space="0" w:color="D7DBE2"/>
        </w:tblBorders>
        <w:tblInd w:w="120" w:type="dxa"/>
        <w:tblLayout w:type="fixed"/>
      </w:tblPr>
      <w:tblGrid>
        <w:gridCol w:w="1970"/>
        <w:gridCol w:w="2320"/>
        <w:gridCol w:w="2350"/>
        <w:gridCol w:w="2720"/>
      </w:tblGrid>
      <w:tr>
        <w:trPr>
          <w:cantSplit/>
          <w:tblHeader w:val="true"/>
        </w:trPr>
        <w:tc>
          <w:tcPr>
            <w:tcW w:type="dxa" w:w="197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5"/>
              </w:rPr>
              <w:t>Risk or gap</w:t>
            </w:r>
          </w:p>
        </w:tc>
        <w:tc>
          <w:tcPr>
            <w:tcW w:type="dxa" w:w="232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5"/>
              </w:rPr>
              <w:t>Potential consequence</w:t>
            </w:r>
          </w:p>
        </w:tc>
        <w:tc>
          <w:tcPr>
            <w:tcW w:type="dxa" w:w="235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5"/>
              </w:rPr>
              <w:t>Current control</w:t>
            </w:r>
          </w:p>
        </w:tc>
        <w:tc>
          <w:tcPr>
            <w:tcW w:type="dxa" w:w="2720"/>
            <w:vAlign w:val="center"/>
            <w:tcMar>
              <w:top w:w="80" w:type="dxa"/>
              <w:start w:w="120" w:type="dxa"/>
              <w:bottom w:w="80" w:type="dxa"/>
              <w:end w:w="120" w:type="dxa"/>
            </w:tcMar>
            <w:shd w:fill="F2F4F7" w:val="clear"/>
          </w:tcPr>
          <w:p>
            <w:pPr>
              <w:keepNext/>
              <w:spacing w:before="0" w:after="0" w:line="252" w:lineRule="auto"/>
              <w:jc w:val="left"/>
            </w:pPr>
            <w:r>
              <w:rPr>
                <w:rFonts w:ascii="Calibri" w:hAnsi="Calibri" w:eastAsia="Calibri"/>
                <w:b/>
                <w:color w:val="17324D"/>
                <w:sz w:val="15"/>
              </w:rPr>
              <w:t>Next evidence or mitigation</w:t>
            </w:r>
          </w:p>
        </w:tc>
      </w:tr>
      <w:tr>
        <w:trPr>
          <w:cantSplit/>
        </w:trPr>
        <w:tc>
          <w:tcPr>
            <w:tcW w:type="dxa" w:w="197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False gesture activation</w:t>
            </w:r>
          </w:p>
        </w:tc>
        <w:tc>
          <w:tcPr>
            <w:tcW w:type="dxa" w:w="232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Unintended phrase or help display</w:t>
            </w:r>
          </w:p>
        </w:tc>
        <w:tc>
          <w:tcPr>
            <w:tcW w:type="dxa" w:w="235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Threshold, dwell, Rest, release, emergency confirmation</w:t>
            </w:r>
          </w:p>
        </w:tc>
        <w:tc>
          <w:tcPr>
            <w:tcW w:type="dxa" w:w="2720"/>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Continuous-stream target-user false-activation study and tunable policy</w:t>
            </w:r>
          </w:p>
        </w:tc>
      </w:tr>
      <w:tr>
        <w:trPr>
          <w:cantSplit/>
        </w:trPr>
        <w:tc>
          <w:tcPr>
            <w:tcW w:type="dxa" w:w="197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Missed gesture</w:t>
            </w:r>
          </w:p>
        </w:tc>
        <w:tc>
          <w:tcPr>
            <w:tcW w:type="dxa" w:w="232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Communication delay or failure</w:t>
            </w:r>
          </w:p>
        </w:tc>
        <w:tc>
          <w:tcPr>
            <w:tcW w:type="dxa" w:w="23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Touch phrases, caption, contact and backup AAC guidance</w:t>
            </w:r>
          </w:p>
        </w:tc>
        <w:tc>
          <w:tcPr>
            <w:tcW w:type="dxa" w:w="272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Measure misses, repair time and fallback success under representative conditions</w:t>
            </w:r>
          </w:p>
        </w:tc>
      </w:tr>
      <w:tr>
        <w:trPr>
          <w:cantSplit/>
        </w:trPr>
        <w:tc>
          <w:tcPr>
            <w:tcW w:type="dxa" w:w="197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Uncalibrated score / weak OOD evidence</w:t>
            </w:r>
          </w:p>
        </w:tc>
        <w:tc>
          <w:tcPr>
            <w:tcW w:type="dxa" w:w="232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Misleading confidence and unsafe acceptance assumptions</w:t>
            </w:r>
          </w:p>
        </w:tc>
        <w:tc>
          <w:tcPr>
            <w:tcW w:type="dxa" w:w="23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Distance score and simple spread gate</w:t>
            </w:r>
          </w:p>
        </w:tc>
        <w:tc>
          <w:tcPr>
            <w:tcW w:type="dxa" w:w="272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Calibrate on held-out sessions; benchmark OOD and redesign thresholds</w:t>
            </w:r>
          </w:p>
        </w:tc>
      </w:tr>
      <w:tr>
        <w:trPr>
          <w:cantSplit/>
        </w:trPr>
        <w:tc>
          <w:tcPr>
            <w:tcW w:type="dxa" w:w="197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Bundle substitution</w:t>
            </w:r>
          </w:p>
        </w:tc>
        <w:tc>
          <w:tcPr>
            <w:tcW w:type="dxa" w:w="232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Wrong model activated for a profile</w:t>
            </w:r>
          </w:p>
        </w:tc>
        <w:tc>
          <w:tcPr>
            <w:tcW w:type="dxa" w:w="23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Artifact hash, class and policy checks</w:t>
            </w:r>
          </w:p>
        </w:tc>
        <w:tc>
          <w:tcPr>
            <w:tcW w:type="dxa" w:w="272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Enforce training digest; sign manifest; establish trusted publisher keys</w:t>
            </w:r>
          </w:p>
        </w:tc>
      </w:tr>
      <w:tr>
        <w:trPr>
          <w:cantSplit/>
        </w:trPr>
        <w:tc>
          <w:tcPr>
            <w:tcW w:type="dxa" w:w="197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Mobile/web divergence</w:t>
            </w:r>
          </w:p>
        </w:tc>
        <w:tc>
          <w:tcPr>
            <w:tcW w:type="dxa" w:w="232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Different behavior for the same user and gesture</w:t>
            </w:r>
          </w:p>
        </w:tc>
        <w:tc>
          <w:tcPr>
            <w:tcW w:type="dxa" w:w="23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Separate tests and UI labeling</w:t>
            </w:r>
          </w:p>
        </w:tc>
        <w:tc>
          <w:tcPr>
            <w:tcW w:type="dxa" w:w="272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Canonical runtime contract, golden fixtures and migration tests</w:t>
            </w:r>
          </w:p>
        </w:tc>
      </w:tr>
      <w:tr>
        <w:trPr>
          <w:cantSplit/>
        </w:trPr>
        <w:tc>
          <w:tcPr>
            <w:tcW w:type="dxa" w:w="197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Mobile cloud/key boundary</w:t>
            </w:r>
          </w:p>
        </w:tc>
        <w:tc>
          <w:tcPr>
            <w:tcW w:type="dxa" w:w="232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Credential exposure, unauthorized requests, or unintended sharing</w:t>
            </w:r>
          </w:p>
        </w:tc>
        <w:tc>
          <w:tcPr>
            <w:tcW w:type="dxa" w:w="23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Some protected storage; server API exists</w:t>
            </w:r>
          </w:p>
        </w:tc>
        <w:tc>
          <w:tcPr>
            <w:tcW w:type="dxa" w:w="272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Remove URL key path; default consent off; require identity; test alert envelopes and caregiver delivery</w:t>
            </w:r>
          </w:p>
        </w:tc>
      </w:tr>
      <w:tr>
        <w:trPr>
          <w:cantSplit/>
        </w:trPr>
        <w:tc>
          <w:tcPr>
            <w:tcW w:type="dxa" w:w="197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Unacknowledged Pi command</w:t>
            </w:r>
          </w:p>
        </w:tc>
        <w:tc>
          <w:tcPr>
            <w:tcW w:type="dxa" w:w="232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UI reports delivery although display or emergency state did not change</w:t>
            </w:r>
          </w:p>
        </w:tc>
        <w:tc>
          <w:tcPr>
            <w:tcW w:type="dxa" w:w="23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Protocol has message IDs and acknowledgements</w:t>
            </w:r>
          </w:p>
        </w:tc>
        <w:tc>
          <w:tcPr>
            <w:tcW w:type="dxa" w:w="272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Await matched acknowledgement; expose timeout/failure; test retry semantics</w:t>
            </w:r>
          </w:p>
        </w:tc>
      </w:tr>
      <w:tr>
        <w:trPr>
          <w:cantSplit/>
        </w:trPr>
        <w:tc>
          <w:tcPr>
            <w:tcW w:type="dxa" w:w="197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Misleading health state</w:t>
            </w:r>
          </w:p>
        </w:tc>
        <w:tc>
          <w:tcPr>
            <w:tcW w:type="dxa" w:w="232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User or caregiver relies on invented breathing/tremor status</w:t>
            </w:r>
          </w:p>
        </w:tc>
        <w:tc>
          <w:tcPr>
            <w:tcW w:type="dxa" w:w="23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Some UI labels are static or simulated</w:t>
            </w:r>
          </w:p>
        </w:tc>
        <w:tc>
          <w:tcPr>
            <w:tcW w:type="dxa" w:w="272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Show unknown/unavailable; remove clinical wording; validate any future sensor claim</w:t>
            </w:r>
          </w:p>
        </w:tc>
      </w:tr>
      <w:tr>
        <w:trPr>
          <w:cantSplit/>
        </w:trPr>
        <w:tc>
          <w:tcPr>
            <w:tcW w:type="dxa" w:w="197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Pi face adapter unvalidated</w:t>
            </w:r>
          </w:p>
        </w:tc>
        <w:tc>
          <w:tcPr>
            <w:tcW w:type="dxa" w:w="232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False semantic intent under lighting, motion or camera changes</w:t>
            </w:r>
          </w:p>
        </w:tc>
        <w:tc>
          <w:tcPr>
            <w:tcW w:type="dxa" w:w="23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Off by default; bounded semantic output</w:t>
            </w:r>
          </w:p>
        </w:tc>
        <w:tc>
          <w:tcPr>
            <w:tcW w:type="dxa" w:w="272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Installed-hardware and target-user validation with stopping rules</w:t>
            </w:r>
          </w:p>
        </w:tc>
      </w:tr>
      <w:tr>
        <w:trPr>
          <w:cantSplit/>
        </w:trPr>
        <w:tc>
          <w:tcPr>
            <w:tcW w:type="dxa" w:w="197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Caregiver channel delay</w:t>
            </w:r>
          </w:p>
        </w:tc>
        <w:tc>
          <w:tcPr>
            <w:tcW w:type="dxa" w:w="232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Urgent request not observed promptly</w:t>
            </w:r>
          </w:p>
        </w:tc>
        <w:tc>
          <w:tcPr>
            <w:tcW w:type="dxa" w:w="23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Durable commit/replay, short expiry, explicit warning</w:t>
            </w:r>
          </w:p>
        </w:tc>
        <w:tc>
          <w:tcPr>
            <w:tcW w:type="dxa" w:w="272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Independent emergency pathway; monitored delivery objectives and escalation policy</w:t>
            </w:r>
          </w:p>
        </w:tc>
      </w:tr>
      <w:tr>
        <w:trPr>
          <w:cantSplit/>
        </w:trPr>
        <w:tc>
          <w:tcPr>
            <w:tcW w:type="dxa" w:w="197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Credential compromise</w:t>
            </w:r>
          </w:p>
        </w:tc>
        <w:tc>
          <w:tcPr>
            <w:tcW w:type="dxa" w:w="232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Unauthorized Pi or profile access</w:t>
            </w:r>
          </w:p>
        </w:tc>
        <w:tc>
          <w:tcPr>
            <w:tcW w:type="dxa" w:w="23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One-time rotation, digests, HMAC gateway, origin checks</w:t>
            </w:r>
          </w:p>
        </w:tc>
        <w:tc>
          <w:tcPr>
            <w:tcW w:type="dxa" w:w="272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Protected browser strategy, rotation drills, revocation audit and penetration test</w:t>
            </w:r>
          </w:p>
        </w:tc>
      </w:tr>
      <w:tr>
        <w:trPr>
          <w:cantSplit/>
        </w:trPr>
        <w:tc>
          <w:tcPr>
            <w:tcW w:type="dxa" w:w="197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Sensitive local export</w:t>
            </w:r>
          </w:p>
        </w:tc>
        <w:tc>
          <w:tcPr>
            <w:tcW w:type="dxa" w:w="232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Exposure of movement, phrase or contact data</w:t>
            </w:r>
          </w:p>
        </w:tc>
        <w:tc>
          <w:tcPr>
            <w:tcW w:type="dxa" w:w="235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Warning and default-off sync</w:t>
            </w:r>
          </w:p>
        </w:tc>
        <w:tc>
          <w:tcPr>
            <w:tcW w:type="dxa" w:w="2720"/>
            <w:shd w:fill="FAFBFC" w:val="clear"/>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Encryption, least-data export, secure transfer and deletion workflow</w:t>
            </w:r>
          </w:p>
        </w:tc>
      </w:tr>
      <w:tr>
        <w:trPr>
          <w:cantSplit/>
        </w:trPr>
        <w:tc>
          <w:tcPr>
            <w:tcW w:type="dxa" w:w="197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Physical power or mount fault</w:t>
            </w:r>
          </w:p>
        </w:tc>
        <w:tc>
          <w:tcPr>
            <w:tcW w:type="dxa" w:w="232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Device damage, loss of communication or injury</w:t>
            </w:r>
          </w:p>
        </w:tc>
        <w:tc>
          <w:tcPr>
            <w:tcW w:type="dxa" w:w="23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No motor interface; design warning</w:t>
            </w:r>
          </w:p>
        </w:tc>
        <w:tc>
          <w:tcPr>
            <w:tcW w:type="dxa" w:w="272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Qualified electrical/mechanical review, fused isolation, strain relief and environmental tests</w:t>
            </w:r>
          </w:p>
        </w:tc>
      </w:tr>
      <w:tr>
        <w:trPr>
          <w:cantSplit/>
        </w:trPr>
        <w:tc>
          <w:tcPr>
            <w:tcW w:type="dxa" w:w="1970"/>
            <w:shd w:fill="FAFBFC" w:val="clear"/>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Accessibility defect</w:t>
            </w:r>
          </w:p>
        </w:tc>
        <w:tc>
          <w:tcPr>
            <w:tcW w:type="dxa" w:w="2320"/>
            <w:shd w:fill="FAFBFC" w:val="clear"/>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Patient cannot operate or recover from interface state</w:t>
            </w:r>
          </w:p>
        </w:tc>
        <w:tc>
          <w:tcPr>
            <w:tcW w:type="dxa" w:w="2350"/>
            <w:shd w:fill="FAFBFC" w:val="clear"/>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Large controls and multiple modalities</w:t>
            </w:r>
          </w:p>
        </w:tc>
        <w:tc>
          <w:tcPr>
            <w:tcW w:type="dxa" w:w="2720"/>
            <w:shd w:fill="FAFBFC" w:val="clear"/>
            <w:vAlign w:val="center"/>
            <w:tcMar>
              <w:top w:w="80" w:type="dxa"/>
              <w:start w:w="120" w:type="dxa"/>
              <w:bottom w:w="80" w:type="dxa"/>
              <w:end w:w="120" w:type="dxa"/>
            </w:tcMar>
          </w:tcPr>
          <w:p>
            <w:pPr>
              <w:keepNext/>
              <w:spacing w:before="0" w:after="0" w:line="259" w:lineRule="auto"/>
              <w:jc w:val="left"/>
            </w:pPr>
            <w:r>
              <w:rPr>
                <w:rFonts w:ascii="Calibri" w:hAnsi="Calibri" w:eastAsia="Calibri"/>
                <w:color w:val="000000"/>
                <w:sz w:val="15"/>
              </w:rPr>
              <w:t>Fix lint; WCAG audit; switch, screen-reader, low-vision and limited-movement studies</w:t>
            </w:r>
          </w:p>
        </w:tc>
      </w:tr>
      <w:tr>
        <w:trPr>
          <w:cantSplit/>
        </w:trPr>
        <w:tc>
          <w:tcPr>
            <w:tcW w:type="dxa" w:w="197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Test instability</w:t>
            </w:r>
          </w:p>
        </w:tc>
        <w:tc>
          <w:tcPr>
            <w:tcW w:type="dxa" w:w="232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False confidence in releases</w:t>
            </w:r>
          </w:p>
        </w:tc>
        <w:tc>
          <w:tcPr>
            <w:tcW w:type="dxa" w:w="235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Broad test inventory</w:t>
            </w:r>
          </w:p>
        </w:tc>
        <w:tc>
          <w:tcPr>
            <w:tcW w:type="dxa" w:w="2720"/>
            <w:vAlign w:val="center"/>
            <w:tcMar>
              <w:top w:w="80" w:type="dxa"/>
              <w:start w:w="120" w:type="dxa"/>
              <w:bottom w:w="80" w:type="dxa"/>
              <w:end w:w="120" w:type="dxa"/>
            </w:tcMar>
          </w:tcPr>
          <w:p>
            <w:pPr>
              <w:spacing w:before="0" w:after="0" w:line="259" w:lineRule="auto"/>
              <w:jc w:val="left"/>
            </w:pPr>
            <w:r>
              <w:rPr>
                <w:rFonts w:ascii="Calibri" w:hAnsi="Calibri" w:eastAsia="Calibri"/>
                <w:color w:val="000000"/>
                <w:sz w:val="15"/>
              </w:rPr>
              <w:t>Deterministic teardown, repeated CI, version pinning and flaky-test policy</w:t>
            </w:r>
          </w:p>
        </w:tc>
      </w:tr>
    </w:tbl>
    <w:p>
      <w:pPr>
        <w:spacing w:after="40"/>
      </w:pPr>
    </w:p>
    <w:p>
      <w:pPr>
        <w:pStyle w:val="TableCitation"/>
      </w:pPr>
      <w:r>
        <w:t>Risk-table status: preliminary engineering analysis only. Severity, probability, detectability, benefit-risk, acceptability criteria, traceability, and post-production monitoring have not been formally established under ISO 14971.</w:t>
      </w:r>
    </w:p>
    <w:sectPr w:rsidR="00FC693F" w:rsidRPr="0006063C" w:rsidSect="00034616">
      <w:headerReference w:type="first" r:id="rId9"/>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Calibri" w:hAnsi="Calibri" w:eastAsia="Calibri"/>
        <w:color w:val="667085"/>
        <w:sz w:val="17"/>
      </w:rPr>
      <w:t>FingerSpeak manuscript  |  Repository snapshot 8860040</w:t>
    </w:r>
    <w:r>
      <w:rPr>
        <w:rFonts w:ascii="Calibri" w:hAnsi="Calibri" w:eastAsia="Calibri"/>
        <w:color w:val="667085"/>
        <w:sz w:val="17"/>
      </w:rPr>
      <w:tab/>
      <w:t xml:space="preserve">Page </w:t>
    </w:r>
    <w:r>
      <w:rPr>
        <w:rFonts w:ascii="Calibri" w:hAnsi="Calibri" w:eastAsia="Calibri"/>
        <w:color w:val="66708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7085"/>
        <w:sz w:val="16"/>
      </w:rPr>
      <w:t>FINGERSPEAK  |  SYSTEM DESIGN AND ENGINEERING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suff w:val="tab"/>
      <w:pPr>
        <w:tabs>
          <w:tab w:val="num" w:pos="540"/>
        </w:tabs>
        <w:ind w:left="540" w:hanging="280"/>
        <w:spacing w:before="0" w:after="80" w:line="290" w:lineRule="auto"/>
      </w:pPr>
      <w:rPr>
        <w:rFonts w:ascii="Calibri" w:hAnsi="Calibri"/>
      </w:rPr>
    </w:lvl>
  </w:abstractNum>
  <w:abstractNum w:abstractNumId="10">
    <w:multiLevelType w:val="singleLevel"/>
    <w:lvl w:ilvl="0">
      <w:start w:val="1"/>
      <w:numFmt w:val="decimal"/>
      <w:lvlText w:val="%1."/>
      <w:lvlJc w:val="left"/>
      <w:suff w:val="tab"/>
      <w:pPr>
        <w:tabs>
          <w:tab w:val="num" w:pos="540"/>
        </w:tabs>
        <w:ind w:left="540" w:hanging="280"/>
        <w:spacing w:before="0" w:after="80" w:line="290" w:lineRule="auto"/>
      </w:pPr>
      <w:rPr>
        <w:rFonts w:ascii="Calibri" w:hAnsi="Calibri"/>
      </w:rPr>
    </w:lvl>
  </w:abstractNum>
  <w:abstractNum w:abstractNumId="11">
    <w:multiLevelType w:val="singleLevel"/>
    <w:lvl w:ilvl="0">
      <w:start w:val="1"/>
      <w:numFmt w:val="decimal"/>
      <w:lvlText w:val="[%1]"/>
      <w:lvlJc w:val="left"/>
      <w:suff w:val="space"/>
      <w:pPr>
        <w:tabs>
          <w:tab w:val="num" w:pos="792"/>
        </w:tabs>
        <w:ind w:left="792" w:hanging="360"/>
        <w:spacing w:before="0" w:after="80" w:line="290" w:lineRule="auto"/>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52" w:lineRule="auto" w:before="0"/>
      <w:contextualSpacing/>
      <w:jc w:val="center"/>
    </w:pPr>
    <w:rPr>
      <w:rFonts w:asciiTheme="majorHAnsi" w:eastAsiaTheme="majorEastAsia" w:hAnsiTheme="majorHAnsi" w:cstheme="majorBidi" w:ascii="Calibri" w:hAnsi="Calibr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40" w:line="276" w:lineRule="auto"/>
      <w:jc w:val="center"/>
    </w:pPr>
    <w:rPr>
      <w:rFonts w:asciiTheme="majorHAnsi" w:eastAsiaTheme="majorEastAsia" w:hAnsiTheme="majorHAnsi" w:cstheme="majorBidi" w:ascii="Calibri" w:hAnsi="Calibri"/>
      <w:i w:val="0"/>
      <w:iCs/>
      <w:color w:val="2E74B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40" w:lineRule="auto" w:before="80" w:after="200"/>
      <w:jc w:val="center"/>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Kicker">
    <w:name w:val="Manuscript Kicker"/>
    <w:pPr>
      <w:widowControl/>
      <w:spacing w:before="0" w:after="360" w:line="240" w:lineRule="auto"/>
      <w:jc w:val="center"/>
    </w:pPr>
    <w:rPr>
      <w:rFonts w:ascii="Calibri" w:hAnsi="Calibri"/>
      <w:b/>
      <w:i w:val="0"/>
      <w:color w:val="168A8A"/>
      <w:sz w:val="20"/>
    </w:rPr>
  </w:style>
  <w:style w:type="paragraph" w:customStyle="1" w:styleId="CoverMetadata">
    <w:name w:val="Cover Metadata"/>
    <w:pPr>
      <w:widowControl/>
      <w:spacing w:before="0" w:after="80" w:line="264" w:lineRule="auto"/>
      <w:jc w:val="center"/>
    </w:pPr>
    <w:rPr>
      <w:rFonts w:ascii="Calibri" w:hAnsi="Calibri"/>
      <w:b w:val="0"/>
      <w:i w:val="0"/>
      <w:color w:val="667085"/>
      <w:sz w:val="21"/>
    </w:rPr>
  </w:style>
  <w:style w:type="paragraph" w:customStyle="1" w:styleId="AbstractText">
    <w:name w:val="Abstract Text"/>
    <w:pPr>
      <w:widowControl/>
      <w:spacing w:before="0" w:after="160" w:line="300" w:lineRule="auto"/>
      <w:jc w:val="both"/>
    </w:pPr>
    <w:rPr>
      <w:rFonts w:ascii="Calibri" w:hAnsi="Calibri"/>
      <w:b w:val="0"/>
      <w:i w:val="0"/>
      <w:color w:val="000000"/>
      <w:sz w:val="21"/>
    </w:rPr>
  </w:style>
  <w:style w:type="paragraph" w:customStyle="1" w:styleId="Keywords">
    <w:name w:val="Keywords"/>
    <w:pPr>
      <w:widowControl/>
      <w:spacing w:before="0" w:after="200" w:line="276" w:lineRule="auto"/>
      <w:jc w:val="left"/>
    </w:pPr>
    <w:rPr>
      <w:rFonts w:ascii="Calibri" w:hAnsi="Calibri"/>
      <w:b w:val="0"/>
      <w:i w:val="0"/>
      <w:color w:val="1F4D78"/>
      <w:sz w:val="20"/>
    </w:rPr>
  </w:style>
  <w:style w:type="paragraph" w:customStyle="1" w:styleId="TOCEntry">
    <w:name w:val="TOC Entry"/>
    <w:pPr>
      <w:widowControl/>
      <w:spacing w:before="0" w:after="80" w:line="252" w:lineRule="auto"/>
      <w:jc w:val="left"/>
    </w:pPr>
    <w:rPr>
      <w:rFonts w:ascii="Calibri" w:hAnsi="Calibri"/>
      <w:b w:val="0"/>
      <w:i w:val="0"/>
      <w:color w:val="000000"/>
      <w:sz w:val="21"/>
    </w:rPr>
  </w:style>
  <w:style w:type="paragraph" w:customStyle="1" w:styleId="TableCitation">
    <w:name w:val="Table Citation"/>
    <w:pPr>
      <w:widowControl/>
      <w:spacing w:before="0" w:after="80" w:line="240" w:lineRule="auto"/>
      <w:jc w:val="left"/>
    </w:pPr>
    <w:rPr>
      <w:rFonts w:ascii="Calibri" w:hAnsi="Calibri"/>
      <w:b w:val="0"/>
      <w:i/>
      <w:color w:val="667085"/>
      <w:sz w:val="17"/>
    </w:rPr>
  </w:style>
  <w:style w:type="paragraph" w:customStyle="1" w:styleId="CodeBlock">
    <w:name w:val="Code Block"/>
    <w:pPr>
      <w:widowControl/>
      <w:spacing w:before="0" w:after="120" w:line="240" w:lineRule="auto"/>
      <w:jc w:val="left"/>
    </w:pPr>
    <w:rPr>
      <w:rFonts w:ascii="Consolas" w:hAnsi="Consolas"/>
      <w:b w:val="0"/>
      <w:i w:val="0"/>
      <w:color w:val="17324D"/>
      <w:sz w:val="19"/>
    </w:rPr>
  </w:style>
  <w:style w:type="paragraph" w:customStyle="1" w:styleId="ReferenceText">
    <w:name w:val="Reference Text"/>
    <w:pPr>
      <w:widowControl/>
      <w:spacing w:before="0" w:after="80" w:line="276" w:lineRule="auto"/>
      <w:ind w:left="792" w:hanging="360"/>
      <w:jc w:val="left"/>
    </w:pPr>
    <w:rPr>
      <w:rFonts w:ascii="Calibri" w:hAnsi="Calibri"/>
      <w:b w:val="0"/>
      <w:i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FingerSpeak: A Local-First Multimodal Assistive Communication Architecture</dc:title>
  <dc:subject>Full system-design manuscript and engineering evaluation</dc:subject>
  <dc:creator>[Author Name(s)]</dc:creator>
  <cp:keywords>assistive communication, AAC, edge computing, gesture recognition, privacy, Raspberry Pi</cp:keywords>
  <dc:description>Prepared from the FingerSpeak repository snapshot; bracketed fields require author completion.</dc:description>
  <cp:lastModifiedBy/>
  <cp:revision>1</cp:revision>
  <dcterms:created xsi:type="dcterms:W3CDTF">2013-12-23T23:15:00Z</dcterms:created>
  <dcterms:modified xsi:type="dcterms:W3CDTF">2013-12-23T23:15:00Z</dcterms:modified>
  <cp:category/>
</cp:coreProperties>
</file>