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“足安智垫”</w:t>
      </w:r>
    </w:p>
    <w:p>
      <w:pPr>
        <w:pStyle w:val="Subtitle"/>
        <w:jc w:val="center"/>
      </w:pPr>
      <w:r>
        <w:t>基于双足多源感知、个人基线、云端大模型与闭环干预的</w:t>
        <w:br/>
        <w:t>糖尿病足风险辅助监测系统</w:t>
      </w:r>
    </w:p>
    <w:p>
      <w:pPr>
        <w:jc w:val="center"/>
      </w:pPr>
      <w:r>
        <w:t>竞赛实现版 V4.0｜2026 年 7 月 26 日</w:t>
        <w:br/>
        <w:t>布局：双足 6P4T｜主控：ESP32-S3｜App：Flutter｜后端：FastAPI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4F2"/>
          </w:tcPr>
          <w:p>
            <w:r>
              <w:rPr>
                <w:b/>
                <w:color w:val="167D78"/>
              </w:rPr>
              <w:t xml:space="preserve">当前结论  </w:t>
            </w:r>
            <w:r>
              <w:t>核心端到端闭环已经形成。本版本只把代码、实物或测试可证明的能力写为“已实现”；固定前的阶段性实测可证明通道响应和主要风险方向，但因位置、接触及手工左右结构存在不确定性，不用于锁定最终标定值。胶固化后的复测仅用于复核传感器映射、基线重复性和工程阈值，不用推翻通信、历史、基线入口、云端解释、马达 ACK 与效果评价结构。</w:t>
            </w:r>
          </w:p>
        </w:tc>
      </w:tr>
    </w:tbl>
    <w:p/>
    <w:p>
      <w:pPr>
        <w:pStyle w:val="Heading1"/>
      </w:pPr>
      <w:r>
        <w:t>1. 项目定位与边界</w:t>
      </w:r>
    </w:p>
    <w:p>
      <w:r>
        <w:t>足安智垫面向糖尿病足日常管理场景，通过左右脚关键区域压力与温度趋势、双足差异和持续时间，给出风险辅助提示。项目的差异化不是追求几十点连续压力成像，而是以低成本关键点感知完成“发现—解释—提醒—复测—评价”的闭环。</w:t>
      </w:r>
    </w:p>
    <w:p>
      <w:pPr>
        <w:pStyle w:val="ListBullet"/>
        <w:spacing w:after="80"/>
      </w:pPr>
      <w:r>
        <w:t>目标用户：需要关注足底异常受力、左右温差和日常足部状态的人群；当前仅作竞赛工程验证。</w:t>
      </w:r>
    </w:p>
    <w:p>
      <w:pPr>
        <w:pStyle w:val="ListBullet"/>
        <w:spacing w:after="80"/>
      </w:pPr>
      <w:r>
        <w:t>产品边界：不诊断糖尿病足、不替代医生、不把竞赛阈值宣传为临床标准。</w:t>
      </w:r>
    </w:p>
    <w:p>
      <w:pPr>
        <w:pStyle w:val="ListBullet"/>
        <w:spacing w:after="80"/>
      </w:pPr>
      <w:r>
        <w:t>医学相关性：IWGDF 2023 建议可考虑指导中高风险人群监测足部皮肤温度；本原型据此关注左右同区温差，但采用更短时间只为安全演示，不能等同临床判定。</w:t>
      </w:r>
    </w:p>
    <w:p>
      <w:pPr>
        <w:pStyle w:val="ListBullet"/>
        <w:spacing w:after="80"/>
      </w:pPr>
      <w:r>
        <w:t>赛题匹配：使用 ESP32-S3 完成传感器采集、预处理、BLE 和执行控制，App 与云端大模型构成完整 AIoT 服务链。</w:t>
      </w:r>
    </w:p>
    <w:p>
      <w:pPr>
        <w:pStyle w:val="Heading1"/>
      </w:pPr>
      <w:r>
        <w:t>2. 系统总体架构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层级</w:t>
            </w:r>
          </w:p>
        </w:tc>
        <w:tc>
          <w:tcPr>
            <w:tcW w:type="dxa" w:w="30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当前实现</w:t>
            </w:r>
          </w:p>
        </w:tc>
        <w:tc>
          <w:tcPr>
            <w:tcW w:type="dxa" w:w="476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职责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左/右鞋端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2×ESP32-S3、每脚 6 FSR + 4 NTC + MPU6050 + 马达</w:t>
            </w:r>
          </w:p>
        </w:tc>
        <w:tc>
          <w:tcPr>
            <w:tcW w:type="dxa" w:w="4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5 Hz 采集、质量标记、BLE、命令执行与 ACK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移动端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Flutter Android App</w:t>
            </w:r>
          </w:p>
        </w:tc>
        <w:tc>
          <w:tcPr>
            <w:tcW w:type="dxa" w:w="4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双 BLE、TimeSync、配对、实时展示、上传、历史与设置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规则后端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FastAPI + SQLite</w:t>
            </w:r>
          </w:p>
        </w:tc>
        <w:tc>
          <w:tcPr>
            <w:tcW w:type="dxa" w:w="4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个人基线、持续风险、命令、恢复评价和历史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云端解释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DeepSeek OpenAI-compatible API</w:t>
            </w:r>
          </w:p>
        </w:tc>
        <w:tc>
          <w:tcPr>
            <w:tcW w:type="dxa" w:w="4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把结构化风险转成非诊断性解释；失败时模板降级</w:t>
            </w:r>
          </w:p>
        </w:tc>
      </w:tr>
    </w:tbl>
    <w:p/>
    <w:p>
      <w:r>
        <w:t>主链路：双足传感器 → ESP32-S3 → BLE → App → FastAPI → 确定性风险 → DeepSeek/模板解释 → 白名单马达命令 → App → 目标脚 ESP32-S3 → AckEvent → 后端 → 干预后数据 → 效果评价。</w:t>
      </w:r>
    </w:p>
    <w:p>
      <w:pPr>
        <w:pStyle w:val="Heading1"/>
      </w:pPr>
      <w:r>
        <w:t>3. 硬件与点位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通道</w:t>
            </w:r>
          </w:p>
        </w:tc>
        <w:tc>
          <w:tcPr>
            <w:tcW w:type="dxa" w:w="30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区域</w:t>
            </w:r>
          </w:p>
        </w:tc>
        <w:tc>
          <w:tcPr>
            <w:tcW w:type="dxa" w:w="496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用途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P1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拇趾/最前端</w:t>
            </w:r>
          </w:p>
        </w:tc>
        <w:tc>
          <w:tcPr>
            <w:tcW w:type="dxa" w:w="49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拇趾与最前端负重趋势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P2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前掌外侧</w:t>
            </w:r>
          </w:p>
        </w:tc>
        <w:tc>
          <w:tcPr>
            <w:tcW w:type="dxa" w:w="49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前掌外侧相对负重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P3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前掌中央</w:t>
            </w:r>
          </w:p>
        </w:tc>
        <w:tc>
          <w:tcPr>
            <w:tcW w:type="dxa" w:w="49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前掌中央相对负重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P4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前掌内侧</w:t>
            </w:r>
          </w:p>
        </w:tc>
        <w:tc>
          <w:tcPr>
            <w:tcW w:type="dxa" w:w="49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第一跖骨附近相对负重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P5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中足中央</w:t>
            </w:r>
          </w:p>
        </w:tc>
        <w:tc>
          <w:tcPr>
            <w:tcW w:type="dxa" w:w="49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中足支撑趋势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P6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足跟中央</w:t>
            </w:r>
          </w:p>
        </w:tc>
        <w:tc>
          <w:tcPr>
            <w:tcW w:type="dxa" w:w="49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足跟支撑趋势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T1～T4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前掌外侧、拇趾附近、足跟、中足</w:t>
            </w:r>
          </w:p>
        </w:tc>
        <w:tc>
          <w:tcPr>
            <w:tcW w:type="dxa" w:w="49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左右同区温差与个人趋势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DECEC"/>
          </w:tcPr>
          <w:p>
            <w:r>
              <w:rPr>
                <w:b/>
                <w:color w:val="A33A3A"/>
              </w:rPr>
              <w:t xml:space="preserve">电气说明  </w:t>
            </w:r>
            <w:r>
              <w:t>FSR 通过 47 kΩ 分压读入 ADC，输出 0～4095 原始值后归一化；NTC 使用 10K B3950 分压和 Beta 公式换算温度。马达现有原型由 GPIO13 控制；正式可穿戴版本应使用驱动器件和反向保护，避免直接由 GPIO 承担马达电流。</w:t>
            </w:r>
          </w:p>
        </w:tc>
      </w:tr>
    </w:tbl>
    <w:p/>
    <w:p>
      <w:pPr>
        <w:pStyle w:val="Heading1"/>
      </w:pPr>
      <w:r>
        <w:t>4. 固件、BLE 与安全执行</w:t>
      </w:r>
    </w:p>
    <w:p>
      <w:pPr>
        <w:pStyle w:val="ListBullet"/>
        <w:spacing w:after="80"/>
      </w:pPr>
      <w:r>
        <w:t>左右脚分别构建，设备身份为 foot_left_001 / foot_right_001，广播名为 FootGuard-L / FootGuard-R。</w:t>
      </w:r>
    </w:p>
    <w:p>
      <w:pPr>
        <w:pStyle w:val="ListBullet"/>
        <w:spacing w:after="80"/>
      </w:pPr>
      <w:r>
        <w:t>固定 60 字节 SensorData 包携带布局版本、序号、同步时间、6 路压力、4 路温度、IMU、电量占位和质量位。</w:t>
      </w:r>
    </w:p>
    <w:p>
      <w:pPr>
        <w:pStyle w:val="ListBullet"/>
        <w:spacing w:after="80"/>
      </w:pPr>
      <w:r>
        <w:t>DeviceCommand 经过 Schema、目标、有效期和 command_id 校验后进入异步执行队列。</w:t>
      </w:r>
    </w:p>
    <w:p>
      <w:pPr>
        <w:pStyle w:val="ListBullet"/>
        <w:spacing w:after="80"/>
      </w:pPr>
      <w:r>
        <w:t>固件缓存 AckEvent；断线重连或重复写入时可重放 ACK，但不会再次执行同一命令。</w:t>
      </w:r>
    </w:p>
    <w:p>
      <w:pPr>
        <w:pStyle w:val="Heading1"/>
      </w:pPr>
      <w:r>
        <w:t>5. App 与双足同步</w:t>
      </w:r>
    </w:p>
    <w:p>
      <w:pPr>
        <w:pStyle w:val="ListBullet"/>
        <w:spacing w:after="80"/>
      </w:pPr>
      <w:r>
        <w:t>双设备扫描、连接、订阅、自动重连和设备身份校验。</w:t>
      </w:r>
    </w:p>
    <w:p>
      <w:pPr>
        <w:pStyle w:val="ListBullet"/>
        <w:spacing w:after="80"/>
      </w:pPr>
      <w:r>
        <w:t>TimeSync 后按序号与时间进行左右帧配对，短时保持最近完整配对，避免页面因到达抖动闪烁。</w:t>
      </w:r>
    </w:p>
    <w:p>
      <w:pPr>
        <w:pStyle w:val="ListBullet"/>
        <w:spacing w:after="80"/>
      </w:pPr>
      <w:r>
        <w:t>无效传感器显示为“--”，不会用 0℃或漂移值制造热区。</w:t>
      </w:r>
    </w:p>
    <w:p>
      <w:pPr>
        <w:pStyle w:val="ListBullet"/>
        <w:spacing w:after="80"/>
      </w:pPr>
      <w:r>
        <w:t>实时页展示双足压力热力图、温差、负重偏向、风险、DeepSeek 解释和马达 ACK。</w:t>
      </w:r>
    </w:p>
    <w:p>
      <w:pPr>
        <w:pStyle w:val="ListBullet"/>
        <w:spacing w:after="80"/>
      </w:pPr>
      <w:r>
        <w:t>设置页展示基线学习进度和重新校准入口；历史页展示风险、震动和干预前后效果。</w:t>
      </w:r>
    </w:p>
    <w:p>
      <w:pPr>
        <w:pStyle w:val="Heading1"/>
      </w:pPr>
      <w:r>
        <w:t>6. 个人基线与风险算法</w:t>
      </w:r>
    </w:p>
    <w:p>
      <w:pPr>
        <w:pStyle w:val="Heading2"/>
      </w:pPr>
      <w:r>
        <w:t>6.1 基线</w:t>
      </w:r>
    </w:p>
    <w:p>
      <w:r>
        <w:t>体验者自然站立、双脚平行且与肩同宽。后端从稳定承重且温差相对稳定的配对帧中选取候选，达到默认 15 个样本后以稳健中位数锁定个人压力分布和正常左右差异。换人、移动传感器或改变电路后必须重新校准。</w:t>
      </w:r>
    </w:p>
    <w:p>
      <w:pPr>
        <w:pStyle w:val="Heading2"/>
      </w:pPr>
      <w:r>
        <w:t>6.2 当前确定性风险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风险</w:t>
            </w:r>
          </w:p>
        </w:tc>
        <w:tc>
          <w:tcPr>
            <w:tcW w:type="dxa" w:w="466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判定基础</w:t>
            </w:r>
          </w:p>
        </w:tc>
        <w:tc>
          <w:tcPr>
            <w:tcW w:type="dxa" w:w="25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验证状态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left/right_load_bias</w:t>
            </w:r>
          </w:p>
        </w:tc>
        <w:tc>
          <w:tcPr>
            <w:tcW w:type="dxa" w:w="46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双足总载荷归一化差异 + 持续时间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已实现，固定后复测阈值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forefoot_high</w:t>
            </w:r>
          </w:p>
        </w:tc>
        <w:tc>
          <w:tcPr>
            <w:tcW w:type="dxa" w:w="46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P1～P4 前掌占比相对个人基线增量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已实现，固定后复测灵敏度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temperature_asymmetry</w:t>
            </w:r>
          </w:p>
        </w:tc>
        <w:tc>
          <w:tcPr>
            <w:tcW w:type="dxa" w:w="46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左右同区温差扣除个人基线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已实现，阈值仅作工程演示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data_incomplete</w:t>
            </w:r>
          </w:p>
        </w:tc>
        <w:tc>
          <w:tcPr>
            <w:tcW w:type="dxa" w:w="46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单侧、同步或传感器质量异常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已实现，不下发马达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步态/冲击增强</w:t>
            </w:r>
          </w:p>
        </w:tc>
        <w:tc>
          <w:tcPr>
            <w:tcW w:type="dxa" w:w="46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MPU + 压力周期与冲击特征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数据链已接入，尚待可靠行走数据验证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4F2"/>
          </w:tcPr>
          <w:p>
            <w:r>
              <w:rPr>
                <w:b/>
                <w:color w:val="167D78"/>
              </w:rPr>
              <w:t xml:space="preserve">关于“复杂算法”  </w:t>
            </w:r>
            <w:r>
              <w:t>当前数据量不足以证明 XGBoost、TCN 或 AutoEncoder 的泛化效果。今天不为了显得复杂而加入未经验证的模型；固定后先保证基线和规则可重复，后续再按参与者分组采集数据并报告准确率、召回率、F1 与消融结果。</w:t>
            </w:r>
          </w:p>
        </w:tc>
      </w:tr>
    </w:tbl>
    <w:p/>
    <w:p>
      <w:pPr>
        <w:pStyle w:val="Heading1"/>
      </w:pPr>
      <w:r>
        <w:t>7. 分级震动与效果评价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等级</w:t>
            </w:r>
          </w:p>
        </w:tc>
        <w:tc>
          <w:tcPr>
            <w:tcW w:type="dxa" w:w="376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状态</w:t>
            </w:r>
          </w:p>
        </w:tc>
        <w:tc>
          <w:tcPr>
            <w:tcW w:type="dxa" w:w="44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动作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0</w:t>
            </w:r>
          </w:p>
        </w:tc>
        <w:tc>
          <w:tcPr>
            <w:tcW w:type="dxa" w:w="3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正常</w:t>
            </w:r>
          </w:p>
        </w:tc>
        <w:tc>
          <w:tcPr>
            <w:tcW w:type="dxa" w:w="4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不震动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1</w:t>
            </w:r>
          </w:p>
        </w:tc>
        <w:tc>
          <w:tcPr>
            <w:tcW w:type="dxa" w:w="3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关注，约持续 3 秒</w:t>
            </w:r>
          </w:p>
        </w:tc>
        <w:tc>
          <w:tcPr>
            <w:tcW w:type="dxa" w:w="4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只显示提示，不震动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2</w:t>
            </w:r>
          </w:p>
        </w:tc>
        <w:tc>
          <w:tcPr>
            <w:tcW w:type="dxa" w:w="3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警告，约持续 6 秒</w:t>
            </w:r>
          </w:p>
        </w:tc>
        <w:tc>
          <w:tcPr>
            <w:tcW w:type="dxa" w:w="4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风险侧 double，双短震 800 ms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3</w:t>
            </w:r>
          </w:p>
        </w:tc>
        <w:tc>
          <w:tcPr>
            <w:tcW w:type="dxa" w:w="3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持续异常，约持续 10 秒</w:t>
            </w:r>
          </w:p>
        </w:tc>
        <w:tc>
          <w:tcPr>
            <w:tcW w:type="dxa" w:w="44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风险侧 long，长震 1500 ms</w:t>
            </w:r>
          </w:p>
        </w:tc>
      </w:tr>
    </w:tbl>
    <w:p/>
    <w:p>
      <w:r>
        <w:t>同一事件可从等级 2 升级至等级 3，各等级只执行一次。事件恢复后，系统优先关联真实 executed ACK，比较干预前后 load_diff 等指标，输出 effective、partial、ineffective 或无法评价，并记录恢复时间。</w:t>
      </w:r>
    </w:p>
    <w:p>
      <w:pPr>
        <w:pStyle w:val="Heading1"/>
      </w:pPr>
      <w:r>
        <w:t>8. 云端大模型</w:t>
      </w:r>
    </w:p>
    <w:p>
      <w:pPr>
        <w:pStyle w:val="ListBullet"/>
        <w:spacing w:after="80"/>
      </w:pPr>
      <w:r>
        <w:t>输入为风险类型、侧别、等级、持续时间、负重差和区域分析，不直接发送连续原始流。</w:t>
      </w:r>
    </w:p>
    <w:p>
      <w:pPr>
        <w:pStyle w:val="ListBullet"/>
        <w:spacing w:after="80"/>
      </w:pPr>
      <w:r>
        <w:t>输出采用固定 Schema：risk_level、explanation、advice、target、candidate_pattern。</w:t>
      </w:r>
    </w:p>
    <w:p>
      <w:pPr>
        <w:pStyle w:val="ListBullet"/>
        <w:spacing w:after="80"/>
      </w:pPr>
      <w:r>
        <w:t>服务端强制以本地规则覆盖 target 和 candidate_pattern；大模型不能自由驱动硬件。</w:t>
      </w:r>
    </w:p>
    <w:p>
      <w:pPr>
        <w:pStyle w:val="ListBullet"/>
        <w:spacing w:after="80"/>
      </w:pPr>
      <w:r>
        <w:t>DeepSeek 超时、401、格式错误或无密钥时自动使用 mock-risk-advisor 模板。</w:t>
      </w:r>
    </w:p>
    <w:p>
      <w:pPr>
        <w:pStyle w:val="Heading1"/>
      </w:pPr>
      <w:r>
        <w:t>9. 历史页和干预前后展示</w:t>
      </w:r>
    </w:p>
    <w:p>
      <w:pPr>
        <w:pStyle w:val="ListBullet"/>
        <w:spacing w:after="80"/>
      </w:pPr>
      <w:r>
        <w:t>按时间列出风险类型、侧别、等级、开始/结束、持续时间和是否仍进行中。</w:t>
      </w:r>
    </w:p>
    <w:p>
      <w:pPr>
        <w:pStyle w:val="ListBullet"/>
        <w:spacing w:after="80"/>
      </w:pPr>
      <w:r>
        <w:t>展示震动目标侧、模式、设备执行状态和错误码。</w:t>
      </w:r>
    </w:p>
    <w:p>
      <w:pPr>
        <w:pStyle w:val="ListBullet"/>
        <w:spacing w:after="80"/>
      </w:pPr>
      <w:r>
        <w:t>展开事件可查看干预前后 load_diff、改善百分比、恢复时间和效果结论。</w:t>
      </w:r>
    </w:p>
    <w:p>
      <w:pPr>
        <w:pStyle w:val="ListBullet"/>
        <w:spacing w:after="80"/>
      </w:pPr>
      <w:r>
        <w:t>缺少 ACK 或恢复窗口数据时明确显示无法评价，不生成虚假改善。</w:t>
      </w:r>
    </w:p>
    <w:p>
      <w:pPr>
        <w:pStyle w:val="Heading1"/>
      </w:pPr>
      <w:r>
        <w:t>10. 当前完成度与待验证项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模块</w:t>
            </w:r>
          </w:p>
        </w:tc>
        <w:tc>
          <w:tcPr>
            <w:tcW w:type="dxa" w:w="23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状态</w:t>
            </w:r>
          </w:p>
        </w:tc>
        <w:tc>
          <w:tcPr>
            <w:tcW w:type="dxa" w:w="486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提交前动作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双足传感与 BLE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已实现</w:t>
            </w:r>
          </w:p>
        </w:tc>
        <w:tc>
          <w:tcPr>
            <w:tcW w:type="dxa" w:w="48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胶固化后检查映射、空载和连续连接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个人基线与重校准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代码已实现</w:t>
            </w:r>
          </w:p>
        </w:tc>
        <w:tc>
          <w:tcPr>
            <w:tcW w:type="dxa" w:w="48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App/后端全量测试 + 真机一次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规则与分级马达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代码已实现</w:t>
            </w:r>
          </w:p>
        </w:tc>
        <w:tc>
          <w:tcPr>
            <w:tcW w:type="dxa" w:w="48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验证 double/long、ACK 和去重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DeepSeek 解释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已实现</w:t>
            </w:r>
          </w:p>
        </w:tc>
        <w:tc>
          <w:tcPr>
            <w:tcW w:type="dxa" w:w="48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确认密钥、降级模板和中文编码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历史与效果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已实现</w:t>
            </w:r>
          </w:p>
        </w:tc>
        <w:tc>
          <w:tcPr>
            <w:tcW w:type="dxa" w:w="48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产生一次真实风险—恢复事件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MPU 步态融合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初步实现</w:t>
            </w:r>
          </w:p>
        </w:tc>
        <w:tc>
          <w:tcPr>
            <w:tcW w:type="dxa" w:w="48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不作为初赛核心已验证能力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真实电量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未实现</w:t>
            </w:r>
          </w:p>
        </w:tc>
        <w:tc>
          <w:tcPr>
            <w:tcW w:type="dxa" w:w="48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初赛可不加；页面不可宣称 95% 为真实电量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临床有效性</w:t>
            </w:r>
          </w:p>
        </w:tc>
        <w:tc>
          <w:tcPr>
            <w:tcW w:type="dxa" w:w="23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未验证</w:t>
            </w:r>
          </w:p>
        </w:tc>
        <w:tc>
          <w:tcPr>
            <w:tcW w:type="dxa" w:w="48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明确工程原型边界</w:t>
            </w:r>
          </w:p>
        </w:tc>
      </w:tr>
    </w:tbl>
    <w:p/>
    <w:p>
      <w:pPr>
        <w:pStyle w:val="Heading1"/>
      </w:pPr>
      <w:r>
        <w:t>11. 胶固化后的最终复测顺序</w:t>
      </w:r>
    </w:p>
    <w:p>
      <w:pPr>
        <w:pStyle w:val="ListNumber"/>
        <w:spacing w:after="80"/>
      </w:pPr>
      <w:r>
        <w:t>双脚离地，检查六路压力空载与四路温度稳定性；逐点验证 P1～P6、T1～T4 映射。</w:t>
      </w:r>
    </w:p>
    <w:p>
      <w:pPr>
        <w:pStyle w:val="ListNumber"/>
        <w:spacing w:after="80"/>
      </w:pPr>
      <w:r>
        <w:t>重新校准个人基线，连续完成三次相同站姿，比较结果能否重复。</w:t>
      </w:r>
    </w:p>
    <w:p>
      <w:pPr>
        <w:pStyle w:val="ListNumber"/>
        <w:spacing w:after="80"/>
      </w:pPr>
      <w:r>
        <w:t>验证正常站立不误报，再验证偏左、偏右、前掌持续高载和恢复。</w:t>
      </w:r>
    </w:p>
    <w:p>
      <w:pPr>
        <w:pStyle w:val="ListNumber"/>
        <w:spacing w:after="80"/>
      </w:pPr>
      <w:r>
        <w:t>若结果偏差大，先排查接触与固定，再只调整 config.py 中工程阈值；每次调整后复测相同场景。</w:t>
      </w:r>
    </w:p>
    <w:p>
      <w:pPr>
        <w:pStyle w:val="ListNumber"/>
        <w:spacing w:after="80"/>
      </w:pPr>
      <w:r>
        <w:t>连接马达，验证等级 2 双短震、等级 3 长震、目标侧、ACK、去重和过期。</w:t>
      </w:r>
    </w:p>
    <w:p>
      <w:pPr>
        <w:pStyle w:val="ListNumber"/>
        <w:spacing w:after="80"/>
      </w:pPr>
      <w:r>
        <w:t>打开历史页，确认最新事件有干预前后值、恢复时间和效果结论。</w:t>
      </w:r>
    </w:p>
    <w:p>
      <w:pPr>
        <w:pStyle w:val="ListNumber"/>
        <w:spacing w:after="80"/>
      </w:pPr>
      <w:r>
        <w:t>最后录制温度趋势、DeepSeek 解释和离线降级，不再临时加入未经验证的模型。</w:t>
      </w:r>
    </w:p>
    <w:p>
      <w:pPr>
        <w:pStyle w:val="Heading1"/>
      </w:pPr>
      <w:r>
        <w:t>12. 演示口径</w:t>
      </w:r>
    </w:p>
    <w:p>
      <w:r>
        <w:t>演示顺序建议为：双设备连接 → 重新校准 → 正常状态 → 持续偏载/前掌高载 → 等级 2 双短震 → 可选等级 3 长震 → 调整重心恢复 → 历史页干预前后对比 → 手掌安全捂热单侧 NTC → DeepSeek 解释与模板降级。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4F2"/>
          </w:tcPr>
          <w:p>
            <w:r>
              <w:rPr>
                <w:b/>
                <w:color w:val="167D78"/>
              </w:rPr>
              <w:t xml:space="preserve">核心答辩句  </w:t>
            </w:r>
            <w:r>
              <w:t>我们没有让大模型直接控制医疗相关动作。ESP32-S3 完成真实感知、BLE 和执行，确定性规则负责风险与白名单命令，大模型只负责通俗解释；提醒后用传感器继续验证是否改善。</w:t>
            </w:r>
          </w:p>
        </w:tc>
      </w:tr>
    </w:tbl>
    <w:p/>
    <w:p>
      <w:pPr>
        <w:pStyle w:val="Heading1"/>
      </w:pPr>
      <w:r>
        <w:t>13. 竞赛要求对应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要求</w:t>
            </w:r>
          </w:p>
        </w:tc>
        <w:tc>
          <w:tcPr>
            <w:tcW w:type="dxa" w:w="6760"/>
            <w:vAlign w:val="center"/>
            <w:shd w:fill="E8F4F2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b/>
                <w:color w:val="163331"/>
                <w:sz w:val="18"/>
              </w:rPr>
              <w:t>对应实现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乐鑫指定芯片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左右两侧均以 ESP32-S3 为主控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多维感知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压力、温度、IMU 与设备质量状态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连接与服务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BLE 双设备 + Flutter 移动网关 + FastAPI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云端大模型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DeepSeek 结构化解释与本地降级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交互与执行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App、目标侧马达、ACK 与历史闭环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完整性与可行性</w:t>
            </w:r>
          </w:p>
        </w:tc>
        <w:tc>
          <w:tcPr>
            <w:tcW w:type="dxa" w:w="6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Noto Sans CJK SC"/>
                <w:sz w:val="18"/>
              </w:rPr>
              <w:t>真实硬件、协议、测试、Mock 备用和明确边界</w:t>
            </w:r>
          </w:p>
        </w:tc>
      </w:tr>
    </w:tbl>
    <w:p/>
    <w:p>
      <w:pPr>
        <w:pStyle w:val="Heading1"/>
      </w:pPr>
      <w:r>
        <w:t>14. 参考资料</w:t>
      </w:r>
    </w:p>
    <w:p>
      <w:pPr>
        <w:spacing w:after="80"/>
        <w:ind w:left="360" w:hanging="360"/>
      </w:pPr>
      <w:r>
        <w:t>1.  乐鑫科技：2026 年全国大学生物联网设计竞赛乐鑫命题，https://www.espressif.com/en/ecosystem/education/competition/iot</w:t>
      </w:r>
    </w:p>
    <w:p>
      <w:pPr>
        <w:spacing w:after="80"/>
        <w:ind w:left="360" w:hanging="360"/>
      </w:pPr>
      <w:r>
        <w:t>2.  IWGDF Guidelines (2023 update)，https://iwgdfguidelines.org/guidelines-2023/</w:t>
      </w:r>
    </w:p>
    <w:p>
      <w:pPr>
        <w:spacing w:after="80"/>
        <w:ind w:left="360" w:hanging="360"/>
      </w:pPr>
      <w:r>
        <w:t>3.  Bus SA 等：Guidelines on the prevention of foot ulcers in persons with diabetes (IWGDF 2023 update)，Diabetes/Metabolism Research and Reviews，2024。</w:t>
      </w:r>
    </w:p>
    <w:p>
      <w:r>
        <w:t>说明：IWGDF 的对应区域温差建议针对每日监测并要求连续两天；本项目当前 2.0℃、秒级持续判断仅用于竞赛工程演示，不可写成临床诊断阈值或预防效果证明。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440" w:bottom="1152" w:left="1440" w:header="504" w:footer="576" w:gutter="0"/>
          <w:cols w:space="720"/>
          <w:docGrid w:linePitch="360"/>
        </w:sectPr>
      </w:pPr>
    </w:p>
    <w:p>
      <w:pPr>
        <w:pStyle w:val="Heading1"/>
      </w:pPr>
      <w:r>
        <w:t>附录 A：提交前验收清单</w:t>
      </w:r>
    </w:p>
    <w:p>
      <w:pPr>
        <w:pStyle w:val="ListBullet"/>
        <w:spacing w:after="80"/>
      </w:pPr>
      <w:r>
        <w:t>后端测试全部通过；Flutter analyze 和 test 全部通过；左右固件均可构建。</w:t>
      </w:r>
    </w:p>
    <w:p>
      <w:pPr>
        <w:pStyle w:val="ListBullet"/>
        <w:spacing w:after="80"/>
      </w:pPr>
      <w:r>
        <w:t>App 能显示基线状态并完成确认式重置。</w:t>
      </w:r>
    </w:p>
    <w:p>
      <w:pPr>
        <w:pStyle w:val="ListBullet"/>
        <w:spacing w:after="80"/>
      </w:pPr>
      <w:r>
        <w:t>等级 2/3 的模式、时长、目标侧和 ACK 与后端记录一致。</w:t>
      </w:r>
    </w:p>
    <w:p>
      <w:pPr>
        <w:pStyle w:val="ListBullet"/>
        <w:spacing w:after="80"/>
      </w:pPr>
      <w:r>
        <w:t>历史页显示至少一个真实事件的前后效果。</w:t>
      </w:r>
    </w:p>
    <w:p>
      <w:pPr>
        <w:pStyle w:val="ListBullet"/>
        <w:spacing w:after="80"/>
      </w:pPr>
      <w:r>
        <w:t>DeepSeek 在线与无密钥降级各验证一次。</w:t>
      </w:r>
    </w:p>
    <w:p>
      <w:pPr>
        <w:pStyle w:val="ListBullet"/>
        <w:spacing w:after="80"/>
      </w:pPr>
      <w:r>
        <w:t>README、详细方案、演示视频口径与真实功能一致。</w:t>
      </w:r>
    </w:p>
    <w:p>
      <w:pPr>
        <w:pStyle w:val="ListBullet"/>
        <w:spacing w:after="80"/>
      </w:pPr>
      <w:r>
        <w:t>演示中不展示 API Key、个人隐私或无法解释的调试日志。</w:t>
      </w:r>
    </w:p>
    <w:sectPr w:rsidR="00FC693F" w:rsidRPr="0006063C" w:rsidSect="00034616"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E7D7B"/>
        <w:sz w:val="17"/>
      </w:rPr>
      <w:t>工程原型｜非医疗诊断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E7D7B"/>
        <w:sz w:val="17"/>
      </w:rPr>
      <w:t>FootGuard 足安智垫｜竞赛实现版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67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67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633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color w:val="16333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Noto Sans CJK SC"/>
      <w:i/>
      <w:iCs/>
      <w:color w:val="167D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