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2"/>
          <w:szCs w:val="42"/>
        </w:rPr>
        <w:t xml:space="preserve">ProjectDora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2"/>
          <w:szCs w:val="42"/>
        </w:rPr>
        <w:t xml:space="preserve">Data Orchestration &amp; Rational Analytics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Architecture Blueprint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Kapsam: Şartname 4.1.1 — 4.1.11 | KOSGEB Veri Analiz Platformu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C4 Model | Data Architecture | Deployment | Observability</w:t>
      </w:r>
    </w:p>
    <w:p>
      <w:pPr>
        <w:pBdr>
          <w:bottom w:val="single" w:color="2E75B6" w:sz="6" w:space="8"/>
        </w:pBdr>
        <w:jc w:val="center"/>
      </w:pPr>
    </w:p>
    <w:p>
      <w:pPr>
        <w:spacing w:before="800"/>
      </w:pP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Hazırlayan: Mustafa Yıldırım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Techsonamy | Backend Director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Mart 2026 | Versiyon 1.0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1. Giriş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Bu doküman, ProjectDora Data Orchestration &amp; Rational Analytics'nun Architecture Blueprint'idir. Teknik şartnamenin 4.1.1 ile 4.1.11 arasındaki maddelere yönelik mimari tasarımı kapsamaktadır.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Kapsam: C4 Model ile mimari diyagramlar, servis sınırları, veri mimarisi, deployment topolojisi, observability stratejisi ve Orchard Core risk yönetimi.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Not: 4.1.12 Yapay Zekâ Özellikleri bu dokümanın kapsamı dışındadır. YZ bileşenleri ayrı bir Architecture Blueprint'te ele alınacaktır.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2. C4 Mimari Modeli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</w:rPr>
        <w:t xml:space="preserve">2.1. Level 1 — System Context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Platformun dış dünya ile ilişkisini gösterir. KOSGEB ekosistemindeki aktörler ve dış sistemlerle entegrasyon noktaları tanımlanmıştır.</w:t>
      </w:r>
    </w:p>
    <w:p>
      <w:pPr>
        <w:spacing w:before="120" w:after="120"/>
        <w:jc w:val="center"/>
      </w:pPr>
      <w:r>
        <w:drawing>
          <wp:inline distT="0" distB="0" distL="0" distR="0">
            <wp:extent cx="5734050" cy="4324350"/>
            <wp:effectExtent t="0" r="0" b="0" l="0"/>
            <wp:docPr id="1" name="01_context.png" descr="01_context.png" title="01_con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Şekil 2.1: System Context Diyagramı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Aktör Detayları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00"/>
        <w:gridCol w:w="14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Aktör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Etkileşimi</w:t>
            </w:r>
          </w:p>
        </w:tc>
        <w:tc>
          <w:tcPr>
            <w:tcW w:type="dxa" w:w="1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Şartname Ref.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KOSGEB Uzmanları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 analizi, raporlama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Sorgu, dashboard, raporlama araçları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4.1.5, 4.1.7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KOSGEB Yönetim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İçerik ve platform yönetimi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panel, iş akışı, yetki yönetimi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4.1.1, 4.1.6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KOBİ Temsilcileri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Son kullanıcı (opsiyonel)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 portal, bilgi sorgulama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Dış Sistemler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 kaynağı, entegrasyon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REST/GraphQL API, ETL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E-Posta Servisi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Bildirim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SMTP entegrasyonu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4.1.10.10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OpenID 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Merkezi kimlik doğrulama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SSO, token doğrulama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4.1.10.22</w:t>
            </w:r>
          </w:p>
        </w:tc>
      </w:tr>
    </w:tbl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</w:rPr>
        <w:t xml:space="preserve">2.2. Level 2 — Container Diagram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Platformu oluşturan deploy edilebilir birimleri (container) ve aralarındaki ilişkileri gösterir.</w:t>
      </w:r>
    </w:p>
    <w:p>
      <w:pPr>
        <w:spacing w:before="120" w:after="120"/>
        <w:jc w:val="center"/>
      </w:pPr>
      <w:r>
        <w:drawing>
          <wp:inline distT="0" distB="0" distL="0" distR="0">
            <wp:extent cx="5734050" cy="4638675"/>
            <wp:effectExtent t="0" r="0" b="0" l="0"/>
            <wp:docPr id="1" name="02_container.png" descr="02_container.png" title="02_contai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Şekil 2.2: Container Diyagramı — Katmanlı Mimari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Container Envantrei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200"/>
        <w:gridCol w:w="6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Sorumluluk</w:t>
            </w:r>
          </w:p>
        </w:tc>
        <w:tc>
          <w:tcPr>
            <w:tcW w:type="dxa" w:w="6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Orchard Core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.NET 8 / Orchard Core 2.x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CMS, Workflow, RBAC, API, Audit, i18n — tüm 4.1.1-4.1.11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Identity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Duende IS / OpenIddict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Merkezi auth, SSO, JWT token yönetimi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8082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Relational data, content store (YesSql)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5432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Elasticsearch 8.x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Full-text search, Lucene indeksleme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7.x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Cache, session management, rate limiting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6379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MinIO (S3-compat)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Medya dosyaları, dokümanlar, backup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NGINX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SSL termination, routing, static files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80/443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Hangfire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.NET 8 (in-process)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Background jobs, scheduled tasks</w:t>
            </w:r>
          </w:p>
        </w:tc>
        <w:tc>
          <w:tcPr>
            <w:tcW w:type="dxa" w:w="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</w:rPr>
        <w:t xml:space="preserve">2.3. ADR-001: Modüler Monolit Kararı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Context: 240 takvim günü, 14 kişilik ekip, offline çalışma zorunluluğu, tek sunucuda deployment.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800"/>
        <w:gridCol w:w="1226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Seçenek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Avantaj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Dezavantaj</w:t>
            </w:r>
          </w:p>
        </w:tc>
        <w:tc>
          <w:tcPr>
            <w:tcW w:type="dxa" w:w="1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Uygunluk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Microservice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Bağımsız deploy, team autonomy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Operasyonel karmaşıklık, 14 kişi ile zor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Düşük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Modüler Monolit (Seçilen)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Tek deploy, basit ops, Orchard Core modülleri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Tüm modüller aynı process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Yüksek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Orchard Core App: Modüler monolit — tüm CMS, workflow, RBAC, query, audit fonksiyonları tek .NET process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İleride gerekirse modüller ayrı servise çıkarılabilir (abstraction layer sayesinde)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Tek docker-compose up ile tüm platform ayağa kalkar — offline uyumlu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14 kişilik ekip için yönetilebilir karmaşıklık seviyesi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</w:rPr>
        <w:t xml:space="preserve">2.4. Modül Bağımlılık Haritası (4.1.1 — 4.1.11)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Şartname maddelerinin birbirine bağımlılık ilişkisi ve geliştirme sıralaması:</w:t>
      </w:r>
    </w:p>
    <w:p>
      <w:pPr>
        <w:spacing w:before="120" w:after="120"/>
        <w:jc w:val="center"/>
      </w:pPr>
      <w:r>
        <w:drawing>
          <wp:inline distT="0" distB="0" distL="0" distR="0">
            <wp:extent cx="5734050" cy="4095750"/>
            <wp:effectExtent t="0" r="0" b="0" l="0"/>
            <wp:docPr id="1" name="06_dependency.png" descr="06_dependency.png" title="06_dependen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Şekil 2.3: Modül Bağımlılık Diyagramı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Bağımlılık Detayı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Modül</w:t>
            </w:r>
          </w:p>
        </w:tc>
        <w:tc>
          <w:tcPr>
            <w:tcW w:type="dxa" w:w="3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Bağımlı Olduğu Modüller</w:t>
            </w:r>
          </w:p>
        </w:tc>
        <w:tc>
          <w:tcPr>
            <w:tcW w:type="dxa" w:w="3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Kendisine Bağımlı Modüller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4.1.10 Altyapı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 (temel)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Tüm modüller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4.1.6 RBAC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4.1.10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4.1.1, 4.1.7, 4.1.11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4.1.1 Yönetim Paneli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4.1.6, 4.1.10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Tüm üst katman modüller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4.1.2 İçerik Tasarlama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4.1.3, 4.1.5, 4.1.9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4.1.3 İçerik Yönetimi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4.1.4, 4.1.8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4.1.5 Sorgu Yönetimi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4.1.2, Elasticsearch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4.1.7, 4.1.11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4.1.4 Tasarım Yönetimi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4.1.2, 4.1.3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 portal frontend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4.1.7 İş Akışı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4.1.2, 4.1.5, 4.1.6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4.1.8 Çoklu Dil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4.1.2, 4.1.3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4.1.9 Audit Log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4.1.2, 4.1.3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 (cross-cutting)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4.1.11 Entegrasyon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4.1.2, 4.1.5, 4.1.6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Dış sistemler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3. Data Architecture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Platform 4 farklı veri deposu kullanır. Her birinin sorumluluk alanı net ayrılmıştır.</w:t>
      </w:r>
    </w:p>
    <w:p>
      <w:pPr>
        <w:spacing w:before="120" w:after="120"/>
        <w:jc w:val="center"/>
      </w:pPr>
      <w:r>
        <w:drawing>
          <wp:inline distT="0" distB="0" distL="0" distR="0">
            <wp:extent cx="5734050" cy="3590925"/>
            <wp:effectExtent t="0" r="0" b="0" l="0"/>
            <wp:docPr id="1" name="03_data.png" descr="03_data.png" title="03_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Şekil 3.1: Veri Deposu Topolojisi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</w:rPr>
        <w:t xml:space="preserve">3.1. PostgreSQL Schema Yapısı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600"/>
        <w:gridCol w:w="1826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Tablolar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1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orchard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Document, ContentItemIndex, WorkflowInstance, UserIndex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İçerik (JSON store), iş akışı, kullanıcı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Süresiz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audit_events, content_versions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Denetim logları, versiyon snapshot'ları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yıl (KVKK)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OpenIdApplications, OpenIdTokens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OAuth2 client ve token yönetimi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 TTL bazlı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tenant_*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 kiracı için izole schema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Multi-tenancy veri izolasyonu (4.1.10.8)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Kiracı bazlı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</w:rPr>
        <w:t xml:space="preserve">3.2. Diğer Veri Depoları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22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Depo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Kullanım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Kapasite Tahmini</w:t>
            </w:r>
          </w:p>
        </w:tc>
        <w:tc>
          <w:tcPr>
            <w:tcW w:type="dxa" w:w="2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Şartname Ref.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Elasticsearch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content_* indeksleri (full-text search)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İçerik hacmine bağlı (~5-50 GB)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DB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 cache, query cache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~1-4 GB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4.1.10.7, 4.1.10.19-20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DB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~500 MB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4.1.10.7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DB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Rate limiting counters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~100 MB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4.1.12.1.h (opsiyonel)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MinIO: media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Yüklenen görseller, dosyalar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~10-100 GB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4.1.1.3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MinIO: documents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Raporlar, template dosyaları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~1-10 GB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4.1.10.15-16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MinIO: backups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 backup, config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~20-50 GB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Ops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Schema Boundary Kuralları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Her schema kendi migration'larını yönetir (orchard: Orchard Core built-in, audit: custom EF Core)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Cross-schema doğrudan SQL query YASAK — servisler arası veri paylaşımı API üzerinden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Backup stratejisi: pg_dump schema bazlı, ayrı retention policy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Multi-tenant: Orchard Core Shell system — her tenant izole schema veya ayrı DB seçeneği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4. Deployment Architecture</w:t>
      </w:r>
    </w:p>
    <w:p>
      <w:pPr>
        <w:spacing w:before="120" w:after="120"/>
        <w:jc w:val="center"/>
      </w:pPr>
      <w:r>
        <w:drawing>
          <wp:inline distT="0" distB="0" distL="0" distR="0">
            <wp:extent cx="5734050" cy="4095750"/>
            <wp:effectExtent t="0" r="0" b="0" l="0"/>
            <wp:docPr id="1" name="04_deployment.png" descr="04_deployment.png" title="04_deplo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Şekil 4.1: Docker Compose Production Topology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</w:rPr>
        <w:t xml:space="preserve">4.1. Ortam Konfigürasyonları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Ortam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Compose Override</w:t>
            </w:r>
          </w:p>
        </w:tc>
        <w:tc>
          <w:tcPr>
            <w:tcW w:type="dxa" w:w="4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 Ayarlar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docker-compose.dev.yml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reload, debug logs, SQLite alternatif, mock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Test/Staging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docker-compose.test.yml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Seed data, CI entegrasyonu, integration test runner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docker-compose.prod.yml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SSL, resource limits, log rotation, backup cron, alerting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</w:rPr>
        <w:t xml:space="preserve">4.2. Minimum Donanım Gereksinimleri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Bileşen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core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core (Xeon/EPYC)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GB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64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GB SSD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 GB NVMe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Windows/Linux/macOS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Ubuntu 22.04 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Localhost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 + internal bridge network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</w:rPr>
        <w:t xml:space="preserve">4.3. Dağıtım Planı (Recipes)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Orchard Core Recipes: JSON formatında tüm konfigürasyon + içerik + tema export/import (4.1.10.15-17)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Tek tuş deployment: Admin panelden dağıtım planı seçimi → yeni tenant otomatik kurulumu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ZIP paket: Tüm recipe + tema + medya → tek zip → yeni ortama yükleme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CI/CD: GitHub Actions veya Azure DevOps pipeline → Docker build → push → deploy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5. Observability Strategy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Production platformda 3 observability sütunu: Logging, Metrics, Tracing.</w:t>
      </w:r>
    </w:p>
    <w:p>
      <w:pPr>
        <w:spacing w:before="120" w:after="120"/>
        <w:jc w:val="center"/>
      </w:pPr>
      <w:r>
        <w:drawing>
          <wp:inline distT="0" distB="0" distL="0" distR="0">
            <wp:extent cx="5734050" cy="3295650"/>
            <wp:effectExtent t="0" r="0" b="0" l="0"/>
            <wp:docPr id="1" name="05_observability.png" descr="05_observability.png" title="05_observabil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Şekil 5.1: Observability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</w:rPr>
        <w:t xml:space="preserve">5.1. Logging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00"/>
        <w:gridCol w:w="22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Tipi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</w:t>
            </w:r>
          </w:p>
        </w:tc>
        <w:tc>
          <w:tcPr>
            <w:tcW w:type="dxa" w:w="2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 Logs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Serilog → File +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Structured JSON logs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 gün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 Access Logs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NGINX access log →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Request/response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gün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Logs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Audit.NET → PostgreSQL (audit schema)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CRUD events, user, IP (4.1.9)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yıl (KVKK)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Logs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Serilog → File + alerting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Failed auth, rate limit hits (7.22)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yıl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</w:rPr>
        <w:t xml:space="preserve">5.2. Metrics &amp;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Örnekler</w:t>
            </w:r>
          </w:p>
        </w:tc>
        <w:tc>
          <w:tcPr>
            <w:tcW w:type="dxa" w:w="3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Toplama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CPU, memory, disk I/O, network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Prometheus node_exporter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 rate, error rate, response time (P50/P95/P99)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ASP.NET Core metrics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Query latency, connection pool, table sizes, vacuum stats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pg_exporter + redis_exporter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Elasticsearch query latency, index size, cache hit ratio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 metrics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İçerik sayısı, kullanıcı oturumları, iş akışı tetiklenmeleri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Prometheus counters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</w:rPr>
        <w:t xml:space="preserve">5.3. Alerting Kuralları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000"/>
        <w:gridCol w:w="3426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 Error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5xx rate &gt; %5 (5 dk window)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Slack/e-posta, immediate investigation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 Connection Exhaustion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 connections &gt; %80 pool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Warning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Pool size artır veya query optimize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Disk Usage 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Disk usage &gt; %85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rotation trigger, old data cleanup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 Brute Force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 50 failed login / 10 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 block, security team notification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 Cluster 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Elasticsearch status 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restart, shard rebalance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Response Time Degradation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P95 response &gt; 5s (5 dk)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Warning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Cache check, slow query analyze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</w:rPr>
        <w:t xml:space="preserve">5.4. Distributed Tracing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OpenTelemetry SDK (.NET): Tüm HTTP request'lerde trace propagation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Critical path tracing: User request → NGINX → Orchard Core → PostgreSQL → Elasticsearch → Response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Export: Jaeger (dev/test), Grafana Tempo (production)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Correlation: Trace ID ile log → metric → trace bağlantısı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6. Güvenlik Mimarisi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200"/>
        <w:gridCol w:w="3426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Mekanizma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Şartname Ref.</w:t>
            </w:r>
          </w:p>
        </w:tc>
        <w:tc>
          <w:tcPr>
            <w:tcW w:type="dxa" w:w="3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Implementasyon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 everywhere, Docker internal network izolasyonu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7.15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NGINX SSL termination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OpenID Connect, JWT Bearer tokens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4.1.10.22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Duende IdentityServer / OpenIddict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RBAC + content-type bazlı permission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4.1.6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Orchard Core Roles + Claims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at Rest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 encryption, MinIO SSE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7.12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pg_crypto + MinIO server-side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in Transit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TLS 1.2+ tüm iletişimde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7.15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NGINX + internal TLS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PII Protection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masking, field-level encryption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7.13, 7.25, 7.27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Dynamic masking middleware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injection, XSS prevention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7.18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FluentValidation + parameterized queries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Per-client, per-endpoint throttling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4.1.10.7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ASP.NET Core RateLimiter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Tüm CRUD loglanması, IP kaydı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4.1.9, 7.22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Audit.NET + custom middleware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 Policy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KOSGEB parola politikası uyumu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7.10-7.11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Identity PasswordOptions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 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Son başarılı/başarısız giriş bilgisi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7.26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audit middleware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Kaynak Kod Yönetim Aracında saklanır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7.16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(Azure DevOps / GitLab)</w:t>
            </w:r>
          </w:p>
        </w:tc>
      </w:tr>
    </w:tbl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7. Orchard Core Risk Yönetimi ve Fallback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900"/>
        <w:gridCol w:w="4926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Senaryosu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Olasılık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Etki</w:t>
            </w:r>
          </w:p>
        </w:tc>
        <w:tc>
          <w:tcPr>
            <w:tcW w:type="dxa" w:w="49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Azaltma Stratejisi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Performans yetersizliği (yüksek trafik)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Düşük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Orta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agresif caching, horizontal scale (multiple Orchard instance)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module karmaşıklığı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Orta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S1'de PoC, sorunlu alanda standalone modül geliştirme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Breaking change (major version)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Düşük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Yüksek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 pinleme (2.x), upgrade sadece planlı sprint'te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Community desteği azalması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Düşük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Yüksek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Tüm custom modüller abstraction layer ile sarmalama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Content type system yetersizliği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Orta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YesSql + custom MapIndex genişletme, son çare: ayrı CRUD service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</w:rPr>
        <w:t xml:space="preserve">7.1. Abstraction Layer Stratejisi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Orchard Core bağımlılığını yönetmek için interface abstraction katmanı: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IContentService: İçerik CRUD — Orchard Core ContentManager'ı sarmalayan interface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IQueryService: Sorgu çalıştırma — Lucene/Elasticsearch/SQL soyutlaması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IWorkflowService: İş akışı tetikleme — Orchard Core Workflows veya Elsa soyutlaması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IAuthService: Kullanıcı/rol/yetki — Orchard Core Identity soyutlaması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Eğer Orchard Core yetersiz kalırsa sadece implementasyon değişir, tüketici kod etkilenmez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8. Doküman İlişki Haritası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026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Doküman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İçerik</w:t>
            </w:r>
          </w:p>
        </w:tc>
        <w:tc>
          <w:tcPr>
            <w:tcW w:type="dxa" w:w="2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Detaylı Gereksinim ve Geliştirme Planı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4.1.1-4.1.11 User Story'ler, sprint planı, kabul kriterleri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Hazır (v1.0)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Architecture Blueprint (bu doküman)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C4 diyagramlar, data/deployment mimarisi, observability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Hazır (v1.0)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Engineering Mentorship Model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Mentörlük yapısı, governance, maturity model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Hazır (v2.0)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ADR Dizini (docs/adr/)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 kritik mimari karar kaydı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bazlı oluşturulacak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Spesifikasyonu (OpenAPI 3.0)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REST/GraphQL endpoint tanımları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Sprint bazlı oluşturulacak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 Schema / ERD Dokümanı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Veritabanı şeması, migration stratejisi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Faz 1 sonunda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Kullanıcı ve Admin Kılavuzları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Son kullanıcı ve yönetim dokümanları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Faz 3 sonunda</w:t>
            </w:r>
          </w:p>
        </w:tc>
      </w:tr>
    </w:tbl>
    <w:p>
      <w:pPr>
        <w:pBdr>
          <w:top w:val="single" w:color="2E75B6" w:sz="2" w:space="8"/>
        </w:pBdr>
        <w:spacing w:before="40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Bu doküman, projenin mimari referans dokümanıdır. Her sprint başında ilgili bölümler gözden geçirilir ve ADR ile güncellenir.</w:t>
      </w:r>
    </w:p>
    <w:sectPr>
      <w:headerReference w:type="default" r:id="rId6"/>
      <w:footerReference w:type="default" r:id="rId7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Sayfa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999999"/>
        <w:sz w:val="14"/>
        <w:szCs w:val="14"/>
      </w:rPr>
      <w:t xml:space="preserve">ProjectDora | Architecture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5F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638b5b4b884b079c8db90e0fd93be4d7a37dfbbb.png"/><Relationship Id="rId9" Type="http://schemas.openxmlformats.org/officeDocument/2006/relationships/image" Target="media/c6d4913a1034b84aba94eca5f4c8decb0797d7be.png"/><Relationship Id="rId10" Type="http://schemas.openxmlformats.org/officeDocument/2006/relationships/image" Target="media/b4f3f213c618e4d102ed564d8b534e17bd74b127.png"/><Relationship Id="rId11" Type="http://schemas.openxmlformats.org/officeDocument/2006/relationships/image" Target="media/b9ca8a6fa927bf9ca54518d37eac53b0c8f35846.png"/><Relationship Id="rId12" Type="http://schemas.openxmlformats.org/officeDocument/2006/relationships/image" Target="media/3c032944d61a033507ab46c90dcdc69365fa49a7.png"/><Relationship Id="rId13" Type="http://schemas.openxmlformats.org/officeDocument/2006/relationships/image" Target="media/812ddc145e1f38aee166e820f72d0785c75914c0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2026-03-08T22:08:18.086Z</dcterms:created>
  <dcterms:modified xsi:type="dcterms:W3CDTF">2026-03-08T22:08:18.087Z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