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80" w:before="0"/>
        <w:jc w:val="center"/>
      </w:pPr>
      <w:r>
        <w:rPr>
          <w:b/>
          <w:bCs/>
          <w:caps/>
          <w:color w:val="1E3A5F"/>
          <w:sz w:val="52"/>
          <w:szCs w:val="52"/>
        </w:rPr>
        <w:t xml:space="preserve">AI CODING AGENT</w:t>
      </w:r>
    </w:p>
    <w:p>
      <w:pPr>
        <w:spacing w:after="200" w:before="0"/>
        <w:jc w:val="center"/>
      </w:pPr>
      <w:r>
        <w:rPr>
          <w:b/>
          <w:bCs/>
          <w:color w:val="2E86AB"/>
          <w:sz w:val="40"/>
          <w:szCs w:val="40"/>
        </w:rPr>
        <w:t xml:space="preserve">Success Metrics Proposal</w:t>
      </w:r>
    </w:p>
    <w:p>
      <w:pPr>
        <w:pBdr>
          <w:bottom w:val="single" w:color="2E86AB" w:sz="12"/>
        </w:pBdr>
        <w:spacing w:after="60" w:before="0"/>
        <w:jc w:val="center"/>
      </w:pPr>
      <w:r>
        <w:t xml:space="preserve"/>
      </w:r>
    </w:p>
    <w:p>
      <w:pPr>
        <w:spacing w:after="0" w:before="120"/>
      </w:pPr>
      <w:r>
        <w:t xml:space="preserve"/>
      </w:r>
    </w:p>
    <w:p>
      <w:pPr>
        <w:spacing w:after="60" w:before="0"/>
        <w:jc w:val="center"/>
      </w:pPr>
      <w:r>
        <w:rPr>
          <w:i/>
          <w:iCs/>
          <w:color w:val="6B7280"/>
          <w:sz w:val="22"/>
          <w:szCs w:val="22"/>
        </w:rPr>
        <w:t xml:space="preserve">Prepared by: Engineering Team</w:t>
      </w:r>
    </w:p>
    <w:p>
      <w:pPr>
        <w:spacing w:after="60" w:before="0"/>
        <w:jc w:val="center"/>
      </w:pPr>
      <w:r>
        <w:rPr>
          <w:i/>
          <w:iCs/>
          <w:color w:val="6B7280"/>
          <w:sz w:val="22"/>
          <w:szCs w:val="22"/>
        </w:rPr>
        <w:t xml:space="preserve">Date: August 2026</w:t>
      </w:r>
    </w:p>
    <w:p>
      <w:pPr>
        <w:spacing w:after="60" w:before="0"/>
        <w:jc w:val="center"/>
      </w:pPr>
      <w:r>
        <w:rPr>
          <w:i/>
          <w:iCs/>
          <w:color w:val="6B7280"/>
          <w:sz w:val="22"/>
          <w:szCs w:val="22"/>
        </w:rPr>
        <w:t xml:space="preserve">Version: 1.0</w:t>
      </w:r>
    </w:p>
    <w:p>
      <w:pPr>
        <w:spacing w:after="0" w:before="400"/>
      </w:pPr>
      <w:r>
        <w:t xml:space="preserve"/>
      </w:r>
    </w:p>
    <w:p>
      <w:r>
        <w:br w:type="page"/>
      </w:r>
    </w:p>
    <w:p>
      <w:pPr>
        <w:pStyle w:val="Heading1"/>
        <w:spacing w:after="120" w:before="360"/>
        <w:rPr>
          <w:b/>
          <w:bCs/>
          <w:color w:val="1E3A5F"/>
          <w:sz w:val="28"/>
          <w:szCs w:val="28"/>
        </w:rPr>
      </w:pPr>
      <w:r>
        <w:t xml:space="preserve">1. Executive Summary</w:t>
      </w:r>
    </w:p>
    <w:p>
      <w:pPr>
        <w:spacing w:after="100" w:before="60"/>
      </w:pPr>
      <w:r>
        <w:rPr>
          <w:color w:val="1A1A2E"/>
          <w:sz w:val="20"/>
          <w:szCs w:val="20"/>
        </w:rPr>
        <w:t xml:space="preserve">This proposal defines a structured framework for measuring the success of AI coding agents within our engineering team. Rather than adopting industry metrics at face value, this framework is derived from first principles — asking what an AI coding agent is fundamentally supposed to do, and working backwards to the measurements that would prove it is doing that.</w:t>
      </w:r>
    </w:p>
    <w:p>
      <w:pPr>
        <w:spacing w:after="0" w:before="60"/>
      </w:pPr>
      <w:r>
        <w:t xml:space="preserve"/>
      </w:r>
    </w:p>
    <w:p>
      <w:pPr>
        <w:spacing w:after="100" w:before="60"/>
      </w:pPr>
      <w:r>
        <w:rPr>
          <w:color w:val="1A1A2E"/>
          <w:sz w:val="20"/>
          <w:szCs w:val="20"/>
        </w:rPr>
        <w:t xml:space="preserve">The framework rests on three core questions:</w:t>
      </w:r>
    </w:p>
    <w:p>
      <w:pPr>
        <w:spacing w:after="60" w:before="40"/>
        <w:ind w:left="576"/>
      </w:pPr>
      <w:r>
        <w:rPr>
          <w:b/>
          <w:bCs/>
          <w:color w:val="2E86AB"/>
          <w:sz w:val="20"/>
          <w:szCs w:val="20"/>
        </w:rPr>
        <w:t xml:space="preserve">•  </w:t>
      </w:r>
      <w:r>
        <w:rPr>
          <w:color w:val="1A1A2E"/>
          <w:sz w:val="20"/>
          <w:szCs w:val="20"/>
        </w:rPr>
        <w:t xml:space="preserve">Does the agent solve the problem correctly?</w:t>
      </w:r>
    </w:p>
    <w:p>
      <w:pPr>
        <w:spacing w:after="60" w:before="40"/>
        <w:ind w:left="576"/>
      </w:pPr>
      <w:r>
        <w:rPr>
          <w:b/>
          <w:bCs/>
          <w:color w:val="2E86AB"/>
          <w:sz w:val="20"/>
          <w:szCs w:val="20"/>
        </w:rPr>
        <w:t xml:space="preserve">•  </w:t>
      </w:r>
      <w:r>
        <w:rPr>
          <w:color w:val="1A1A2E"/>
          <w:sz w:val="20"/>
          <w:szCs w:val="20"/>
        </w:rPr>
        <w:t xml:space="preserve">Does it cost less in time and effort than solving it manually?</w:t>
      </w:r>
    </w:p>
    <w:p>
      <w:pPr>
        <w:spacing w:after="60" w:before="40"/>
        <w:ind w:left="576"/>
      </w:pPr>
      <w:r>
        <w:rPr>
          <w:b/>
          <w:bCs/>
          <w:color w:val="2E86AB"/>
          <w:sz w:val="20"/>
          <w:szCs w:val="20"/>
        </w:rPr>
        <w:t xml:space="preserve">•  </w:t>
      </w:r>
      <w:r>
        <w:rPr>
          <w:color w:val="1A1A2E"/>
          <w:sz w:val="20"/>
          <w:szCs w:val="20"/>
        </w:rPr>
        <w:t xml:space="preserve">Does it avoid creating new problems downstream?</w:t>
      </w:r>
    </w:p>
    <w:p>
      <w:pPr>
        <w:spacing w:after="0" w:before="60"/>
      </w:pPr>
      <w:r>
        <w:t xml:space="preserve"/>
      </w:r>
    </w:p>
    <w:p>
      <w:pPr>
        <w:spacing w:after="100" w:before="60"/>
      </w:pPr>
      <w:r>
        <w:rPr>
          <w:color w:val="1A1A2E"/>
          <w:sz w:val="20"/>
          <w:szCs w:val="20"/>
        </w:rPr>
        <w:t xml:space="preserve">Measurements are mapped to tooling already in use — Bitbucket, Jira, and CI pipelines — minimising instrumentation overhead. A minimum viable measurement stack is recommended for immediate implementation.</w:t>
      </w:r>
    </w:p>
    <w:p>
      <w:pPr>
        <w:pBdr>
          <w:bottom w:val="single" w:color="D0D5DD" w:sz="6"/>
        </w:pBdr>
        <w:spacing w:after="160" w:before="160"/>
      </w:pPr>
      <w:r>
        <w:t xml:space="preserve"/>
      </w:r>
    </w:p>
    <w:p>
      <w:pPr>
        <w:pStyle w:val="Heading1"/>
        <w:spacing w:after="120" w:before="360"/>
        <w:rPr>
          <w:b/>
          <w:bCs/>
          <w:color w:val="1E3A5F"/>
          <w:sz w:val="28"/>
          <w:szCs w:val="28"/>
        </w:rPr>
      </w:pPr>
      <w:r>
        <w:t xml:space="preserve">2. First Principles Framework</w:t>
      </w:r>
    </w:p>
    <w:p>
      <w:pPr>
        <w:spacing w:after="100" w:before="60"/>
      </w:pPr>
      <w:r>
        <w:rPr>
          <w:color w:val="1A1A2E"/>
          <w:sz w:val="20"/>
          <w:szCs w:val="20"/>
        </w:rPr>
        <w:t xml:space="preserve">An AI coding agent takes a problem as input and returns a working solution as output, in collaboration with a human developer. Success therefore has exactly three root components, from which all metrics are derived.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500"/>
        <w:gridCol w:w="3860"/>
      </w:tblGrid>
      <w:tr>
        <w:trPr>
          <w:tblHeader/>
        </w:trPr>
        <w:tc>
          <w:tcPr>
            <w:tcW w:type="dxa" w:w="2000"/>
            <w:shd w:fill="1E3A5F" w:val="clear"/>
            <w:vAlign w:val="center"/>
          </w:tcPr>
          <w:p>
            <w:pPr>
              <w:spacing w:after="80" w:before="80"/>
              <w:jc w:val="left"/>
            </w:pPr>
            <w:r>
              <w:rPr>
                <w:b/>
                <w:bCs/>
                <w:color w:val="FFFFFF"/>
                <w:sz w:val="18"/>
                <w:szCs w:val="18"/>
              </w:rPr>
              <w:t xml:space="preserve">Root</w:t>
            </w:r>
          </w:p>
        </w:tc>
        <w:tc>
          <w:tcPr>
            <w:tcW w:type="dxa" w:w="3500"/>
            <w:shd w:fill="1E3A5F" w:val="clear"/>
            <w:vAlign w:val="center"/>
          </w:tcPr>
          <w:p>
            <w:pPr>
              <w:spacing w:after="80" w:before="80"/>
              <w:jc w:val="left"/>
            </w:pPr>
            <w:r>
              <w:rPr>
                <w:b/>
                <w:bCs/>
                <w:color w:val="FFFFFF"/>
                <w:sz w:val="18"/>
                <w:szCs w:val="18"/>
              </w:rPr>
              <w:t xml:space="preserve">Question</w:t>
            </w:r>
          </w:p>
        </w:tc>
        <w:tc>
          <w:tcPr>
            <w:tcW w:type="dxa" w:w="3860"/>
            <w:shd w:fill="1E3A5F" w:val="clear"/>
            <w:vAlign w:val="center"/>
          </w:tcPr>
          <w:p>
            <w:pPr>
              <w:spacing w:after="80" w:before="80"/>
              <w:jc w:val="left"/>
            </w:pPr>
            <w:r>
              <w:rPr>
                <w:b/>
                <w:bCs/>
                <w:color w:val="FFFFFF"/>
                <w:sz w:val="18"/>
                <w:szCs w:val="18"/>
              </w:rPr>
              <w:t xml:space="preserve">What failure looks like</w:t>
            </w:r>
          </w:p>
        </w:tc>
      </w:tr>
      <w:tr>
        <w:tc>
          <w:tcPr>
            <w:tcW w:type="dxa" w:w="2000"/>
            <w:shd w:fill="FFFFFF" w:val="clear"/>
            <w:vAlign w:val="center"/>
          </w:tcPr>
          <w:p>
            <w:pPr>
              <w:spacing w:after="80" w:before="80"/>
            </w:pPr>
            <w:r>
              <w:rPr>
                <w:color w:val="1A1A2E"/>
                <w:sz w:val="18"/>
                <w:szCs w:val="18"/>
              </w:rPr>
              <w:t xml:space="preserve">Root 1 — Correctness</w:t>
            </w:r>
          </w:p>
        </w:tc>
        <w:tc>
          <w:tcPr>
            <w:tcW w:type="dxa" w:w="3500"/>
            <w:shd w:fill="FFFFFF" w:val="clear"/>
            <w:vAlign w:val="center"/>
          </w:tcPr>
          <w:p>
            <w:pPr>
              <w:spacing w:after="80" w:before="80"/>
            </w:pPr>
            <w:r>
              <w:rPr>
                <w:color w:val="1A1A2E"/>
                <w:sz w:val="18"/>
                <w:szCs w:val="18"/>
              </w:rPr>
              <w:t xml:space="preserve">Does it solve the problem?</w:t>
            </w:r>
          </w:p>
        </w:tc>
        <w:tc>
          <w:tcPr>
            <w:tcW w:type="dxa" w:w="3860"/>
            <w:shd w:fill="FFFFFF" w:val="clear"/>
            <w:vAlign w:val="center"/>
          </w:tcPr>
          <w:p>
            <w:pPr>
              <w:spacing w:after="80" w:before="80"/>
            </w:pPr>
            <w:r>
              <w:rPr>
                <w:color w:val="1A1A2E"/>
                <w:sz w:val="18"/>
                <w:szCs w:val="18"/>
              </w:rPr>
              <w:t xml:space="preserve">Agent output requires significant human correction or produces bugs</w:t>
            </w:r>
          </w:p>
        </w:tc>
      </w:tr>
      <w:tr>
        <w:tc>
          <w:tcPr>
            <w:tcW w:type="dxa" w:w="2000"/>
            <w:shd w:fill="F2F4F7" w:val="clear"/>
            <w:vAlign w:val="center"/>
          </w:tcPr>
          <w:p>
            <w:pPr>
              <w:spacing w:after="80" w:before="80"/>
            </w:pPr>
            <w:r>
              <w:rPr>
                <w:color w:val="1A1A2E"/>
                <w:sz w:val="18"/>
                <w:szCs w:val="18"/>
              </w:rPr>
              <w:t xml:space="preserve">Root 2 — Efficiency</w:t>
            </w:r>
          </w:p>
        </w:tc>
        <w:tc>
          <w:tcPr>
            <w:tcW w:type="dxa" w:w="3500"/>
            <w:shd w:fill="F2F4F7" w:val="clear"/>
            <w:vAlign w:val="center"/>
          </w:tcPr>
          <w:p>
            <w:pPr>
              <w:spacing w:after="80" w:before="80"/>
            </w:pPr>
            <w:r>
              <w:rPr>
                <w:color w:val="1A1A2E"/>
                <w:sz w:val="18"/>
                <w:szCs w:val="18"/>
              </w:rPr>
              <w:t xml:space="preserve">Does it cost less?</w:t>
            </w:r>
          </w:p>
        </w:tc>
        <w:tc>
          <w:tcPr>
            <w:tcW w:type="dxa" w:w="3860"/>
            <w:shd w:fill="F2F4F7" w:val="clear"/>
            <w:vAlign w:val="center"/>
          </w:tcPr>
          <w:p>
            <w:pPr>
              <w:spacing w:after="80" w:before="80"/>
            </w:pPr>
            <w:r>
              <w:rPr>
                <w:color w:val="1A1A2E"/>
                <w:sz w:val="18"/>
                <w:szCs w:val="18"/>
              </w:rPr>
              <w:t xml:space="preserve">Review and correction time exceeds the time saved by generation</w:t>
            </w:r>
          </w:p>
        </w:tc>
      </w:tr>
      <w:tr>
        <w:tc>
          <w:tcPr>
            <w:tcW w:type="dxa" w:w="2000"/>
            <w:shd w:fill="FFFFFF" w:val="clear"/>
            <w:vAlign w:val="center"/>
          </w:tcPr>
          <w:p>
            <w:pPr>
              <w:spacing w:after="80" w:before="80"/>
            </w:pPr>
            <w:r>
              <w:rPr>
                <w:color w:val="1A1A2E"/>
                <w:sz w:val="18"/>
                <w:szCs w:val="18"/>
              </w:rPr>
              <w:t xml:space="preserve">Root 3 — Safety</w:t>
            </w:r>
          </w:p>
        </w:tc>
        <w:tc>
          <w:tcPr>
            <w:tcW w:type="dxa" w:w="3500"/>
            <w:shd w:fill="FFFFFF" w:val="clear"/>
            <w:vAlign w:val="center"/>
          </w:tcPr>
          <w:p>
            <w:pPr>
              <w:spacing w:after="80" w:before="80"/>
            </w:pPr>
            <w:r>
              <w:rPr>
                <w:color w:val="1A1A2E"/>
                <w:sz w:val="18"/>
                <w:szCs w:val="18"/>
              </w:rPr>
              <w:t xml:space="preserve">Does it avoid new problems?</w:t>
            </w:r>
          </w:p>
        </w:tc>
        <w:tc>
          <w:tcPr>
            <w:tcW w:type="dxa" w:w="3860"/>
            <w:shd w:fill="FFFFFF" w:val="clear"/>
            <w:vAlign w:val="center"/>
          </w:tcPr>
          <w:p>
            <w:pPr>
              <w:spacing w:after="80" w:before="80"/>
            </w:pPr>
            <w:r>
              <w:rPr>
                <w:color w:val="1A1A2E"/>
                <w:sz w:val="18"/>
                <w:szCs w:val="18"/>
              </w:rPr>
              <w:t xml:space="preserve">AI-generated code introduces bugs, security issues, or technical debt</w:t>
            </w:r>
          </w:p>
        </w:tc>
      </w:tr>
    </w:tbl>
    <w:p>
      <w:pPr>
        <w:spacing w:after="0" w:before="120"/>
      </w:pPr>
      <w:r>
        <w:t xml:space="preserve"/>
      </w:r>
    </w:p>
    <w:p>
      <w:pPr>
        <w:spacing w:after="100" w:before="60"/>
      </w:pPr>
      <w:r>
        <w:rPr>
          <w:color w:val="1A1A2E"/>
          <w:sz w:val="20"/>
          <w:szCs w:val="20"/>
        </w:rPr>
        <w:t xml:space="preserve">Every metric in this proposal maps to one of these three roots. Metrics that do not map to a root — such as raw lines of code generated — are excluded as they measure activity, not outcomes.</w:t>
      </w:r>
    </w:p>
    <w:p>
      <w:pPr>
        <w:pBdr>
          <w:bottom w:val="single" w:color="D0D5DD" w:sz="6"/>
        </w:pBdr>
        <w:spacing w:after="160" w:before="160"/>
      </w:pPr>
      <w:r>
        <w:t xml:space="preserve"/>
      </w:r>
    </w:p>
    <w:p>
      <w:pPr>
        <w:pStyle w:val="Heading1"/>
        <w:spacing w:after="120" w:before="360"/>
        <w:rPr>
          <w:b/>
          <w:bCs/>
          <w:color w:val="1E3A5F"/>
          <w:sz w:val="28"/>
          <w:szCs w:val="28"/>
        </w:rPr>
      </w:pPr>
      <w:r>
        <w:t xml:space="preserve">3. Proposed Metrics</w:t>
      </w:r>
    </w:p>
    <w:p>
      <w:pPr>
        <w:pStyle w:val="Heading2"/>
        <w:spacing w:after="100" w:before="280"/>
      </w:pPr>
      <w:r>
        <w:rPr>
          <w:b/>
          <w:bCs/>
          <w:color w:val="2E86AB"/>
          <w:sz w:val="24"/>
          <w:szCs w:val="24"/>
        </w:rPr>
        <w:t xml:space="preserve">Root 1 — Correctness: Does it solve the problem?</w:t>
      </w:r>
    </w:p>
    <w:p>
      <w:pPr>
        <w:pStyle w:val="Heading3"/>
        <w:spacing w:after="80" w:before="200"/>
      </w:pPr>
      <w:r>
        <w:rPr>
          <w:b/>
          <w:bCs/>
          <w:color w:val="1E3A5F"/>
          <w:sz w:val="22"/>
          <w:szCs w:val="22"/>
        </w:rPr>
        <w:t xml:space="preserve">3.1 Task Resolution Rate</w:t>
      </w:r>
    </w:p>
    <w:p>
      <w:pPr>
        <w:spacing w:after="100" w:before="60"/>
      </w:pPr>
      <w:r>
        <w:rPr>
          <w:color w:val="1A1A2E"/>
          <w:sz w:val="20"/>
          <w:szCs w:val="20"/>
        </w:rPr>
        <w:t xml:space="preserve">The percentage of clearly defined tasks the agent fully resolves without human correction. This is the most fundamental measure of whether the agent is doing its job.</w:t>
      </w:r>
    </w:p>
    <w:p>
      <w:pPr>
        <w:spacing w:after="100" w:before="60"/>
      </w:pPr>
      <w:r>
        <w:rPr>
          <w:b/>
          <w:bCs/>
          <w:color w:val="1A1A2E"/>
          <w:sz w:val="20"/>
          <w:szCs w:val="20"/>
        </w:rPr>
        <w:t xml:space="preserve">Target: </w:t>
      </w:r>
      <w:r>
        <w:rPr>
          <w:color w:val="1A1A2E"/>
          <w:sz w:val="20"/>
          <w:szCs w:val="20"/>
        </w:rPr>
        <w:t xml:space="preserve">&gt;70% fully resolved without correction within 6 months of adoption.</w:t>
      </w:r>
    </w:p>
    <w:p>
      <w:pPr>
        <w:spacing w:after="100" w:before="60"/>
      </w:pPr>
      <w:r>
        <w:rPr>
          <w:b/>
          <w:bCs/>
          <w:color w:val="1A1A2E"/>
          <w:sz w:val="20"/>
          <w:szCs w:val="20"/>
        </w:rPr>
        <w:t xml:space="preserve">Measurement: </w:t>
      </w:r>
      <w:r>
        <w:rPr>
          <w:color w:val="1A1A2E"/>
          <w:sz w:val="20"/>
          <w:szCs w:val="20"/>
        </w:rPr>
        <w:t xml:space="preserve">Label PRs as "ai-assisted" in Bitbucket. At sprint close, check whether labeled PRs required follow-up fix PRs or were re-opened.</w:t>
      </w:r>
    </w:p>
    <w:p>
      <w:pPr>
        <w:spacing w:after="0" w:before="60"/>
      </w:pPr>
      <w:r>
        <w:t xml:space="preserve"/>
      </w:r>
    </w:p>
    <w:p>
      <w:pPr>
        <w:pStyle w:val="Heading3"/>
        <w:spacing w:after="80" w:before="200"/>
      </w:pPr>
      <w:r>
        <w:rPr>
          <w:b/>
          <w:bCs/>
          <w:color w:val="1E3A5F"/>
          <w:sz w:val="22"/>
          <w:szCs w:val="22"/>
        </w:rPr>
        <w:t xml:space="preserve">3.2 First-Attempt Resolution Rate</w:t>
      </w:r>
    </w:p>
    <w:p>
      <w:pPr>
        <w:spacing w:after="100" w:before="60"/>
      </w:pPr>
      <w:r>
        <w:rPr>
          <w:color w:val="1A1A2E"/>
          <w:sz w:val="20"/>
          <w:szCs w:val="20"/>
        </w:rPr>
        <w:t xml:space="preserve">The subset of tasks resolved without any re-prompting or follow-up corrections. A stricter signal of agent quality than overall resolution rate.</w:t>
      </w:r>
    </w:p>
    <w:p>
      <w:pPr>
        <w:spacing w:after="100" w:before="60"/>
      </w:pPr>
      <w:r>
        <w:rPr>
          <w:b/>
          <w:bCs/>
          <w:color w:val="1A1A2E"/>
          <w:sz w:val="20"/>
          <w:szCs w:val="20"/>
        </w:rPr>
        <w:t xml:space="preserve">Target: </w:t>
      </w:r>
      <w:r>
        <w:rPr>
          <w:color w:val="1A1A2E"/>
          <w:sz w:val="20"/>
          <w:szCs w:val="20"/>
        </w:rPr>
        <w:t xml:space="preserve">&gt;50% resolved on first attempt.</w:t>
      </w:r>
    </w:p>
    <w:p>
      <w:pPr>
        <w:spacing w:after="100" w:before="60"/>
      </w:pPr>
      <w:r>
        <w:rPr>
          <w:b/>
          <w:bCs/>
          <w:color w:val="1A1A2E"/>
          <w:sz w:val="20"/>
          <w:szCs w:val="20"/>
        </w:rPr>
        <w:t xml:space="preserve">Measurement: </w:t>
      </w:r>
      <w:r>
        <w:rPr>
          <w:color w:val="1A1A2E"/>
          <w:sz w:val="20"/>
          <w:szCs w:val="20"/>
        </w:rPr>
        <w:t xml:space="preserve">PR template checkbox: "Was this resolved without follow-up prompts?" Track weekly.</w:t>
      </w:r>
    </w:p>
    <w:p>
      <w:pPr>
        <w:spacing w:after="0" w:before="60"/>
      </w:pPr>
      <w:r>
        <w:t xml:space="preserve"/>
      </w:r>
    </w:p>
    <w:p>
      <w:pPr>
        <w:pStyle w:val="Heading3"/>
        <w:spacing w:after="80" w:before="200"/>
      </w:pPr>
      <w:r>
        <w:rPr>
          <w:b/>
          <w:bCs/>
          <w:color w:val="1E3A5F"/>
          <w:sz w:val="22"/>
          <w:szCs w:val="22"/>
        </w:rPr>
        <w:t xml:space="preserve">3.3 Net Acceptance Rate</w:t>
      </w:r>
    </w:p>
    <w:p>
      <w:pPr>
        <w:spacing w:after="100" w:before="60"/>
      </w:pPr>
      <w:r>
        <w:rPr>
          <w:color w:val="1A1A2E"/>
          <w:sz w:val="20"/>
          <w:szCs w:val="20"/>
        </w:rPr>
        <w:t xml:space="preserve">Code accepted by a developer AND confirmed working in production — not just accepted at review time. Distinguishes genuine quality from rubber-stamping.</w:t>
      </w:r>
    </w:p>
    <w:p>
      <w:pPr>
        <w:spacing w:after="100" w:before="60"/>
      </w:pPr>
      <w:r>
        <w:rPr>
          <w:b/>
          <w:bCs/>
          <w:color w:val="1A1A2E"/>
          <w:sz w:val="20"/>
          <w:szCs w:val="20"/>
        </w:rPr>
        <w:t xml:space="preserve">Target: </w:t>
      </w:r>
      <w:r>
        <w:rPr>
          <w:color w:val="1A1A2E"/>
          <w:sz w:val="20"/>
          <w:szCs w:val="20"/>
        </w:rPr>
        <w:t xml:space="preserve">Net acceptance rate within 10% of raw acceptance rate (low gap = high review quality).</w:t>
      </w:r>
    </w:p>
    <w:p>
      <w:pPr>
        <w:spacing w:after="100" w:before="60"/>
      </w:pPr>
      <w:r>
        <w:rPr>
          <w:b/>
          <w:bCs/>
          <w:color w:val="1A1A2E"/>
          <w:sz w:val="20"/>
          <w:szCs w:val="20"/>
        </w:rPr>
        <w:t xml:space="preserve">Measurement: </w:t>
      </w:r>
      <w:r>
        <w:rPr>
          <w:color w:val="1A1A2E"/>
          <w:sz w:val="20"/>
          <w:szCs w:val="20"/>
        </w:rPr>
        <w:t xml:space="preserve">Cross-reference accepted suggestions (from Copilot/Cursor dashboards) with bugs filed against those lines of code 30–90 days post-merge.</w:t>
      </w:r>
    </w:p>
    <w:p>
      <w:pPr>
        <w:pBdr>
          <w:bottom w:val="single" w:color="D0D5DD" w:sz="6"/>
        </w:pBdr>
        <w:spacing w:after="160" w:before="160"/>
      </w:pPr>
      <w:r>
        <w:t xml:space="preserve"/>
      </w:r>
    </w:p>
    <w:p>
      <w:pPr>
        <w:pStyle w:val="Heading2"/>
        <w:spacing w:after="100" w:before="280"/>
      </w:pPr>
      <w:r>
        <w:rPr>
          <w:b/>
          <w:bCs/>
          <w:color w:val="2E86AB"/>
          <w:sz w:val="24"/>
          <w:szCs w:val="24"/>
        </w:rPr>
        <w:t xml:space="preserve">Root 2 — Efficiency: Does it cost less?</w:t>
      </w:r>
    </w:p>
    <w:p>
      <w:pPr>
        <w:pStyle w:val="Heading3"/>
        <w:spacing w:after="80" w:before="200"/>
      </w:pPr>
      <w:r>
        <w:rPr>
          <w:b/>
          <w:bCs/>
          <w:color w:val="1E3A5F"/>
          <w:sz w:val="22"/>
          <w:szCs w:val="22"/>
        </w:rPr>
        <w:t xml:space="preserve">3.4 Net Time Delta</w:t>
      </w:r>
    </w:p>
    <w:p>
      <w:pPr>
        <w:spacing w:after="100" w:before="60"/>
      </w:pPr>
      <w:r>
        <w:rPr>
          <w:color w:val="1A1A2E"/>
          <w:sz w:val="20"/>
          <w:szCs w:val="20"/>
        </w:rPr>
        <w:t xml:space="preserve">The actual time saved per task: (time to solve without agent) minus (generation time + review time + correction time). Captures the hidden cost of reviewing and fixing AI output that simple speed metrics miss.</w:t>
      </w:r>
    </w:p>
    <w:p>
      <w:pPr>
        <w:spacing w:after="100" w:before="60"/>
      </w:pPr>
      <w:r>
        <w:rPr>
          <w:b/>
          <w:bCs/>
          <w:color w:val="1A1A2E"/>
          <w:sz w:val="20"/>
          <w:szCs w:val="20"/>
        </w:rPr>
        <w:t xml:space="preserve">Target: </w:t>
      </w:r>
      <w:r>
        <w:rPr>
          <w:color w:val="1A1A2E"/>
          <w:sz w:val="20"/>
          <w:szCs w:val="20"/>
        </w:rPr>
        <w:t xml:space="preserve">Positive net delta on &gt;80% of AI-assisted tasks.</w:t>
      </w:r>
    </w:p>
    <w:p>
      <w:pPr>
        <w:spacing w:after="100" w:before="60"/>
      </w:pPr>
      <w:r>
        <w:rPr>
          <w:b/>
          <w:bCs/>
          <w:color w:val="1A1A2E"/>
          <w:sz w:val="20"/>
          <w:szCs w:val="20"/>
        </w:rPr>
        <w:t xml:space="preserve">Measurement: </w:t>
      </w:r>
      <w:r>
        <w:rPr>
          <w:color w:val="1A1A2E"/>
          <w:sz w:val="20"/>
          <w:szCs w:val="20"/>
        </w:rPr>
        <w:t xml:space="preserve">Jira time logging per ticket, grouped by ai-assisted label. Compare average hours per story point on AI vs human tickets.</w:t>
      </w:r>
    </w:p>
    <w:p>
      <w:pPr>
        <w:spacing w:after="0" w:before="60"/>
      </w:pPr>
      <w:r>
        <w:t xml:space="preserve"/>
      </w:r>
    </w:p>
    <w:p>
      <w:pPr>
        <w:pStyle w:val="Heading3"/>
        <w:spacing w:after="80" w:before="200"/>
      </w:pPr>
      <w:r>
        <w:rPr>
          <w:b/>
          <w:bCs/>
          <w:color w:val="1E3A5F"/>
          <w:sz w:val="22"/>
          <w:szCs w:val="22"/>
        </w:rPr>
        <w:t xml:space="preserve">3.5 PR Cycle Time</w:t>
      </w:r>
    </w:p>
    <w:p>
      <w:pPr>
        <w:spacing w:after="100" w:before="60"/>
      </w:pPr>
      <w:r>
        <w:rPr>
          <w:color w:val="1A1A2E"/>
          <w:sz w:val="20"/>
          <w:szCs w:val="20"/>
        </w:rPr>
        <w:t xml:space="preserve">Time from PR creation to merge on AI-assisted PRs vs. human-written PRs of equivalent complexity. A proxy for combined generation, review, and correction time.</w:t>
      </w:r>
    </w:p>
    <w:p>
      <w:pPr>
        <w:spacing w:after="100" w:before="60"/>
      </w:pPr>
      <w:r>
        <w:rPr>
          <w:b/>
          <w:bCs/>
          <w:color w:val="1A1A2E"/>
          <w:sz w:val="20"/>
          <w:szCs w:val="20"/>
        </w:rPr>
        <w:t xml:space="preserve">Target: </w:t>
      </w:r>
      <w:r>
        <w:rPr>
          <w:color w:val="1A1A2E"/>
          <w:sz w:val="20"/>
          <w:szCs w:val="20"/>
        </w:rPr>
        <w:t xml:space="preserve">AI-assisted PRs merge at least 20% faster than equivalent human-written PRs.</w:t>
      </w:r>
    </w:p>
    <w:p>
      <w:pPr>
        <w:spacing w:after="100" w:before="60"/>
      </w:pPr>
      <w:r>
        <w:rPr>
          <w:b/>
          <w:bCs/>
          <w:color w:val="1A1A2E"/>
          <w:sz w:val="20"/>
          <w:szCs w:val="20"/>
        </w:rPr>
        <w:t xml:space="preserve">Measurement: </w:t>
      </w:r>
      <w:r>
        <w:rPr>
          <w:color w:val="1A1A2E"/>
          <w:sz w:val="20"/>
          <w:szCs w:val="20"/>
        </w:rPr>
        <w:t xml:space="preserve">Bitbucket REST API: merged_on minus created_on per PR. Group by ai-assisted label. Export and average per sprint.</w:t>
      </w:r>
    </w:p>
    <w:p>
      <w:pPr>
        <w:spacing w:after="0" w:before="60"/>
      </w:pPr>
      <w:r>
        <w:t xml:space="preserve"/>
      </w:r>
    </w:p>
    <w:p>
      <w:pPr>
        <w:pStyle w:val="Heading3"/>
        <w:spacing w:after="80" w:before="200"/>
      </w:pPr>
      <w:r>
        <w:rPr>
          <w:b/>
          <w:bCs/>
          <w:color w:val="1E3A5F"/>
          <w:sz w:val="22"/>
          <w:szCs w:val="22"/>
        </w:rPr>
        <w:t xml:space="preserve">3.6 Review Burden per PR</w:t>
      </w:r>
    </w:p>
    <w:p>
      <w:pPr>
        <w:spacing w:after="100" w:before="60"/>
      </w:pPr>
      <w:r>
        <w:rPr>
          <w:color w:val="1A1A2E"/>
          <w:sz w:val="20"/>
          <w:szCs w:val="20"/>
        </w:rPr>
        <w:t xml:space="preserve">Average number of review comments on AI-assisted PRs compared to human-written PRs. High comment counts indicate the agent is producing code that requires significant human interpretation or correction.</w:t>
      </w:r>
    </w:p>
    <w:p>
      <w:pPr>
        <w:spacing w:after="100" w:before="60"/>
      </w:pPr>
      <w:r>
        <w:rPr>
          <w:b/>
          <w:bCs/>
          <w:color w:val="1A1A2E"/>
          <w:sz w:val="20"/>
          <w:szCs w:val="20"/>
        </w:rPr>
        <w:t xml:space="preserve">Target: </w:t>
      </w:r>
      <w:r>
        <w:rPr>
          <w:color w:val="1A1A2E"/>
          <w:sz w:val="20"/>
          <w:szCs w:val="20"/>
        </w:rPr>
        <w:t xml:space="preserve">AI-assisted PRs receive no more review comments than equivalent human PRs.</w:t>
      </w:r>
    </w:p>
    <w:p>
      <w:pPr>
        <w:spacing w:after="100" w:before="60"/>
      </w:pPr>
      <w:r>
        <w:rPr>
          <w:b/>
          <w:bCs/>
          <w:color w:val="1A1A2E"/>
          <w:sz w:val="20"/>
          <w:szCs w:val="20"/>
        </w:rPr>
        <w:t xml:space="preserve">Measurement: </w:t>
      </w:r>
      <w:r>
        <w:rPr>
          <w:color w:val="1A1A2E"/>
          <w:sz w:val="20"/>
          <w:szCs w:val="20"/>
        </w:rPr>
        <w:t xml:space="preserve">Bitbucket API: /rest/api/1.0/projects/{key}/repos/{repo}/pull-requests/{id}/activities filtered by action: COMMENTED. Group by label.</w:t>
      </w:r>
    </w:p>
    <w:p>
      <w:pPr>
        <w:spacing w:after="0" w:before="60"/>
      </w:pPr>
      <w:r>
        <w:t xml:space="preserve"/>
      </w:r>
    </w:p>
    <w:p>
      <w:pPr>
        <w:pStyle w:val="Heading3"/>
        <w:spacing w:after="80" w:before="200"/>
      </w:pPr>
      <w:r>
        <w:rPr>
          <w:b/>
          <w:bCs/>
          <w:color w:val="1E3A5F"/>
          <w:sz w:val="22"/>
          <w:szCs w:val="22"/>
        </w:rPr>
        <w:t xml:space="preserve">3.7 Re-prompting Overhead</w:t>
      </w:r>
    </w:p>
    <w:p>
      <w:pPr>
        <w:spacing w:after="100" w:before="60"/>
      </w:pPr>
      <w:r>
        <w:rPr>
          <w:color w:val="1A1A2E"/>
          <w:sz w:val="20"/>
          <w:szCs w:val="20"/>
        </w:rPr>
        <w:t xml:space="preserve">Average number of follow-up prompts required before the agent produces usable output per task. High numbers signal hidden time cost not captured by generation speed.</w:t>
      </w:r>
    </w:p>
    <w:p>
      <w:pPr>
        <w:spacing w:after="100" w:before="60"/>
      </w:pPr>
      <w:r>
        <w:rPr>
          <w:b/>
          <w:bCs/>
          <w:color w:val="1A1A2E"/>
          <w:sz w:val="20"/>
          <w:szCs w:val="20"/>
        </w:rPr>
        <w:t xml:space="preserve">Target: </w:t>
      </w:r>
      <w:r>
        <w:rPr>
          <w:color w:val="1A1A2E"/>
          <w:sz w:val="20"/>
          <w:szCs w:val="20"/>
        </w:rPr>
        <w:t xml:space="preserve">&lt;3 prompts per task on average.</w:t>
      </w:r>
    </w:p>
    <w:p>
      <w:pPr>
        <w:spacing w:after="100" w:before="60"/>
      </w:pPr>
      <w:r>
        <w:rPr>
          <w:b/>
          <w:bCs/>
          <w:color w:val="1A1A2E"/>
          <w:sz w:val="20"/>
          <w:szCs w:val="20"/>
        </w:rPr>
        <w:t xml:space="preserve">Measurement: </w:t>
      </w:r>
      <w:r>
        <w:rPr>
          <w:color w:val="1A1A2E"/>
          <w:sz w:val="20"/>
          <w:szCs w:val="20"/>
        </w:rPr>
        <w:t xml:space="preserve">Lightweight logging — Slack bot asking "how many prompts did this take?" when a PR closes, or manual sprint retrospective tally.</w:t>
      </w:r>
    </w:p>
    <w:p>
      <w:pPr>
        <w:pBdr>
          <w:bottom w:val="single" w:color="D0D5DD" w:sz="6"/>
        </w:pBdr>
        <w:spacing w:after="160" w:before="160"/>
      </w:pPr>
      <w:r>
        <w:t xml:space="preserve"/>
      </w:r>
    </w:p>
    <w:p>
      <w:pPr>
        <w:pStyle w:val="Heading2"/>
        <w:spacing w:after="100" w:before="280"/>
      </w:pPr>
      <w:r>
        <w:rPr>
          <w:b/>
          <w:bCs/>
          <w:color w:val="2E86AB"/>
          <w:sz w:val="24"/>
          <w:szCs w:val="24"/>
        </w:rPr>
        <w:t xml:space="preserve">Root 3 — Safety: Does it avoid new problems?</w:t>
      </w:r>
    </w:p>
    <w:p>
      <w:pPr>
        <w:pStyle w:val="Heading3"/>
        <w:spacing w:after="80" w:before="200"/>
      </w:pPr>
      <w:r>
        <w:rPr>
          <w:b/>
          <w:bCs/>
          <w:color w:val="1E3A5F"/>
          <w:sz w:val="22"/>
          <w:szCs w:val="22"/>
        </w:rPr>
        <w:t xml:space="preserve">3.8 Defect Injection Rate</w:t>
      </w:r>
    </w:p>
    <w:p>
      <w:pPr>
        <w:spacing w:after="100" w:before="60"/>
      </w:pPr>
      <w:r>
        <w:rPr>
          <w:color w:val="1A1A2E"/>
          <w:sz w:val="20"/>
          <w:szCs w:val="20"/>
        </w:rPr>
        <w:t xml:space="preserve">Bugs per 1,000 lines of AI-generated code surfaced in production, compared to the human-written baseline. The definitive measure of whether AI-generated code is as reliable as human-written code.</w:t>
      </w:r>
    </w:p>
    <w:p>
      <w:pPr>
        <w:spacing w:after="100" w:before="60"/>
      </w:pPr>
      <w:r>
        <w:rPr>
          <w:b/>
          <w:bCs/>
          <w:color w:val="1A1A2E"/>
          <w:sz w:val="20"/>
          <w:szCs w:val="20"/>
        </w:rPr>
        <w:t xml:space="preserve">Target: </w:t>
      </w:r>
      <w:r>
        <w:rPr>
          <w:color w:val="1A1A2E"/>
          <w:sz w:val="20"/>
          <w:szCs w:val="20"/>
        </w:rPr>
        <w:t xml:space="preserve">AI-generated defect rate within 20% of human-written baseline after 6 months.</w:t>
      </w:r>
    </w:p>
    <w:p>
      <w:pPr>
        <w:spacing w:after="100" w:before="60"/>
      </w:pPr>
      <w:r>
        <w:rPr>
          <w:b/>
          <w:bCs/>
          <w:color w:val="1A1A2E"/>
          <w:sz w:val="20"/>
          <w:szCs w:val="20"/>
        </w:rPr>
        <w:t xml:space="preserve">Measurement: </w:t>
      </w:r>
      <w:r>
        <w:rPr>
          <w:color w:val="1A1A2E"/>
          <w:sz w:val="20"/>
          <w:szCs w:val="20"/>
        </w:rPr>
        <w:t xml:space="preserve">Tag bugs in Jira with origin feature type. Link to Bitbucket PRs via smart commits. Query after 90 days: bugs on AI features ÷ story points delivered by AI features.</w:t>
      </w:r>
    </w:p>
    <w:p>
      <w:pPr>
        <w:spacing w:after="0" w:before="60"/>
      </w:pPr>
      <w:r>
        <w:t xml:space="preserve"/>
      </w:r>
    </w:p>
    <w:p>
      <w:pPr>
        <w:pStyle w:val="Heading3"/>
        <w:spacing w:after="80" w:before="200"/>
      </w:pPr>
      <w:r>
        <w:rPr>
          <w:b/>
          <w:bCs/>
          <w:color w:val="1E3A5F"/>
          <w:sz w:val="22"/>
          <w:szCs w:val="22"/>
        </w:rPr>
        <w:t xml:space="preserve">3.9 Security Regression Rate</w:t>
      </w:r>
    </w:p>
    <w:p>
      <w:pPr>
        <w:spacing w:after="100" w:before="60"/>
      </w:pPr>
      <w:r>
        <w:rPr>
          <w:color w:val="1A1A2E"/>
          <w:sz w:val="20"/>
          <w:szCs w:val="20"/>
        </w:rPr>
        <w:t xml:space="preserve">Percentage of AI-assisted PRs flagged with vulnerabilities by static analysis, compared to human-written PRs. Tracks whether AI-generated code introduces security issues at a higher rate.</w:t>
      </w:r>
    </w:p>
    <w:p>
      <w:pPr>
        <w:spacing w:after="100" w:before="60"/>
      </w:pPr>
      <w:r>
        <w:rPr>
          <w:b/>
          <w:bCs/>
          <w:color w:val="1A1A2E"/>
          <w:sz w:val="20"/>
          <w:szCs w:val="20"/>
        </w:rPr>
        <w:t xml:space="preserve">Target: </w:t>
      </w:r>
      <w:r>
        <w:rPr>
          <w:color w:val="1A1A2E"/>
          <w:sz w:val="20"/>
          <w:szCs w:val="20"/>
        </w:rPr>
        <w:t xml:space="preserve">No statistically significant difference in security flag rate between AI and human PRs.</w:t>
      </w:r>
    </w:p>
    <w:p>
      <w:pPr>
        <w:spacing w:after="100" w:before="60"/>
      </w:pPr>
      <w:r>
        <w:rPr>
          <w:b/>
          <w:bCs/>
          <w:color w:val="1A1A2E"/>
          <w:sz w:val="20"/>
          <w:szCs w:val="20"/>
        </w:rPr>
        <w:t xml:space="preserve">Measurement: </w:t>
      </w:r>
      <w:r>
        <w:rPr>
          <w:color w:val="1A1A2E"/>
          <w:sz w:val="20"/>
          <w:szCs w:val="20"/>
        </w:rPr>
        <w:t xml:space="preserve">Add Snyk or Semgrep as a Bitbucket Pipelines step. Results are automatically tagged to the PR. Filter by ai-assisted label monthly.</w:t>
      </w:r>
    </w:p>
    <w:p>
      <w:pPr>
        <w:spacing w:after="0" w:before="60"/>
      </w:pPr>
      <w:r>
        <w:t xml:space="preserve"/>
      </w:r>
    </w:p>
    <w:p>
      <w:pPr>
        <w:pStyle w:val="Heading3"/>
        <w:spacing w:after="80" w:before="200"/>
      </w:pPr>
      <w:r>
        <w:rPr>
          <w:b/>
          <w:bCs/>
          <w:color w:val="1E3A5F"/>
          <w:sz w:val="22"/>
          <w:szCs w:val="22"/>
        </w:rPr>
        <w:t xml:space="preserve">3.10 Revert Rate</w:t>
      </w:r>
    </w:p>
    <w:p>
      <w:pPr>
        <w:spacing w:after="100" w:before="60"/>
      </w:pPr>
      <w:r>
        <w:rPr>
          <w:color w:val="1A1A2E"/>
          <w:sz w:val="20"/>
          <w:szCs w:val="20"/>
        </w:rPr>
        <w:t xml:space="preserve">Percentage of AI-generated commits reverted within 30 days of merge. A high revert rate indicates the code looked acceptable at review but failed in practice.</w:t>
      </w:r>
    </w:p>
    <w:p>
      <w:pPr>
        <w:spacing w:after="100" w:before="60"/>
      </w:pPr>
      <w:r>
        <w:rPr>
          <w:b/>
          <w:bCs/>
          <w:color w:val="1A1A2E"/>
          <w:sz w:val="20"/>
          <w:szCs w:val="20"/>
        </w:rPr>
        <w:t xml:space="preserve">Target: </w:t>
      </w:r>
      <w:r>
        <w:rPr>
          <w:color w:val="1A1A2E"/>
          <w:sz w:val="20"/>
          <w:szCs w:val="20"/>
        </w:rPr>
        <w:t xml:space="preserve">AI-assisted revert rate ≤ human-written revert rate.</w:t>
      </w:r>
    </w:p>
    <w:p>
      <w:pPr>
        <w:spacing w:after="100" w:before="60"/>
      </w:pPr>
      <w:r>
        <w:rPr>
          <w:b/>
          <w:bCs/>
          <w:color w:val="1A1A2E"/>
          <w:sz w:val="20"/>
          <w:szCs w:val="20"/>
        </w:rPr>
        <w:t xml:space="preserve">Measurement: </w:t>
      </w:r>
      <w:r>
        <w:rPr>
          <w:color w:val="1A1A2E"/>
          <w:sz w:val="20"/>
          <w:szCs w:val="20"/>
        </w:rPr>
        <w:t xml:space="preserve">git log --oneline --grep="Revert" on a monthly cadence. Cross-reference reverted commit hashes against AI-assisted PR list.</w:t>
      </w:r>
    </w:p>
    <w:p>
      <w:pPr>
        <w:spacing w:after="0" w:before="60"/>
      </w:pPr>
      <w:r>
        <w:t xml:space="preserve"/>
      </w:r>
    </w:p>
    <w:p>
      <w:pPr>
        <w:pStyle w:val="Heading3"/>
        <w:spacing w:after="80" w:before="200"/>
      </w:pPr>
      <w:r>
        <w:rPr>
          <w:b/>
          <w:bCs/>
          <w:color w:val="1E3A5F"/>
          <w:sz w:val="22"/>
          <w:szCs w:val="22"/>
        </w:rPr>
        <w:t xml:space="preserve">3.11 Post-Merge Touch Rate</w:t>
      </w:r>
    </w:p>
    <w:p>
      <w:pPr>
        <w:spacing w:after="100" w:before="60"/>
      </w:pPr>
      <w:r>
        <w:rPr>
          <w:color w:val="1A1A2E"/>
          <w:sz w:val="20"/>
          <w:szCs w:val="20"/>
        </w:rPr>
        <w:t xml:space="preserve">How frequently AI-generated code is modified in the 90 days following its initial merge. High churn signals hidden complexity or quality issues that were not caught at review.</w:t>
      </w:r>
    </w:p>
    <w:p>
      <w:pPr>
        <w:spacing w:after="100" w:before="60"/>
      </w:pPr>
      <w:r>
        <w:rPr>
          <w:b/>
          <w:bCs/>
          <w:color w:val="1A1A2E"/>
          <w:sz w:val="20"/>
          <w:szCs w:val="20"/>
        </w:rPr>
        <w:t xml:space="preserve">Target: </w:t>
      </w:r>
      <w:r>
        <w:rPr>
          <w:color w:val="1A1A2E"/>
          <w:sz w:val="20"/>
          <w:szCs w:val="20"/>
        </w:rPr>
        <w:t xml:space="preserve">AI-generated files touched no more frequently than equivalent human-written files.</w:t>
      </w:r>
    </w:p>
    <w:p>
      <w:pPr>
        <w:spacing w:after="100" w:before="60"/>
      </w:pPr>
      <w:r>
        <w:rPr>
          <w:b/>
          <w:bCs/>
          <w:color w:val="1A1A2E"/>
          <w:sz w:val="20"/>
          <w:szCs w:val="20"/>
        </w:rPr>
        <w:t xml:space="preserve">Measurement: </w:t>
      </w:r>
      <w:r>
        <w:rPr>
          <w:color w:val="1A1A2E"/>
          <w:sz w:val="20"/>
          <w:szCs w:val="20"/>
        </w:rPr>
        <w:t xml:space="preserve">git log --follow per file introduced by AI-assisted PRs. Count commits touching that file in the 90 days post-merge. Tools like GitClear automate this.</w:t>
      </w:r>
    </w:p>
    <w:p>
      <w:pPr>
        <w:spacing w:after="0" w:before="60"/>
      </w:pPr>
      <w:r>
        <w:t xml:space="preserve"/>
      </w:r>
    </w:p>
    <w:p>
      <w:pPr>
        <w:pStyle w:val="Heading3"/>
        <w:spacing w:after="80" w:before="200"/>
      </w:pPr>
      <w:r>
        <w:rPr>
          <w:b/>
          <w:bCs/>
          <w:color w:val="1E3A5F"/>
          <w:sz w:val="22"/>
          <w:szCs w:val="22"/>
        </w:rPr>
        <w:t xml:space="preserve">3.12 Hallucination Rate</w:t>
      </w:r>
    </w:p>
    <w:p>
      <w:pPr>
        <w:spacing w:after="100" w:before="60"/>
      </w:pPr>
      <w:r>
        <w:rPr>
          <w:color w:val="1A1A2E"/>
          <w:sz w:val="20"/>
          <w:szCs w:val="20"/>
        </w:rPr>
        <w:t xml:space="preserve">How often the agent confidently uses non-existent APIs, wrong function signatures, or fabricated library methods. Tracked via build failures and reviewer-flagged comments.</w:t>
      </w:r>
    </w:p>
    <w:p>
      <w:pPr>
        <w:spacing w:after="100" w:before="60"/>
      </w:pPr>
      <w:r>
        <w:rPr>
          <w:b/>
          <w:bCs/>
          <w:color w:val="1A1A2E"/>
          <w:sz w:val="20"/>
          <w:szCs w:val="20"/>
        </w:rPr>
        <w:t xml:space="preserve">Target: </w:t>
      </w:r>
      <w:r>
        <w:rPr>
          <w:color w:val="1A1A2E"/>
          <w:sz w:val="20"/>
          <w:szCs w:val="20"/>
        </w:rPr>
        <w:t xml:space="preserve">&lt;5% of AI-assisted PRs contain at least one hallucinated reference.</w:t>
      </w:r>
    </w:p>
    <w:p>
      <w:pPr>
        <w:spacing w:after="100" w:before="60"/>
      </w:pPr>
      <w:r>
        <w:rPr>
          <w:b/>
          <w:bCs/>
          <w:color w:val="1A1A2E"/>
          <w:sz w:val="20"/>
          <w:szCs w:val="20"/>
        </w:rPr>
        <w:t xml:space="preserve">Measurement: </w:t>
      </w:r>
      <w:r>
        <w:rPr>
          <w:color w:val="1A1A2E"/>
          <w:sz w:val="20"/>
          <w:szCs w:val="20"/>
        </w:rPr>
        <w:t xml:space="preserve">CI build failure logs filtered to import/method errors on AI-assisted branches. Reviewers tag comments with "hallucination" label for qualitative tracking.</w:t>
      </w:r>
    </w:p>
    <w:p>
      <w:pPr>
        <w:pBdr>
          <w:bottom w:val="single" w:color="D0D5DD" w:sz="6"/>
        </w:pBdr>
        <w:spacing w:after="160" w:before="160"/>
      </w:pPr>
      <w:r>
        <w:t xml:space="preserve"/>
      </w:r>
    </w:p>
    <w:p>
      <w:pPr>
        <w:pStyle w:val="Heading1"/>
        <w:spacing w:after="120" w:before="360"/>
        <w:rPr>
          <w:b/>
          <w:bCs/>
          <w:color w:val="1E3A5F"/>
          <w:sz w:val="28"/>
          <w:szCs w:val="28"/>
        </w:rPr>
      </w:pPr>
      <w:r>
        <w:t xml:space="preserve">4. The Meta-Metric</w:t>
      </w:r>
    </w:p>
    <w:p>
      <w:pPr>
        <w:spacing w:after="100" w:before="60"/>
      </w:pPr>
      <w:r>
        <w:rPr>
          <w:color w:val="1A1A2E"/>
          <w:sz w:val="20"/>
          <w:szCs w:val="20"/>
        </w:rPr>
        <w:t xml:space="preserve">If the team needs to collapse all measurements into a single number for executive reporting, the recommended meta-metric is:</w:t>
      </w:r>
    </w:p>
    <w:p>
      <w:pPr>
        <w:spacing w:after="0" w:before="80"/>
      </w:pPr>
      <w:r>
        <w:t xml:space="preserve"/>
      </w:r>
    </w:p>
    <w:p>
      <w:pPr>
        <w:pBdr>
          <w:top w:val="single" w:color="2E86AB" w:sz="6"/>
          <w:bottom w:val="single" w:color="2E86AB" w:sz="6"/>
          <w:left w:val="single" w:color="2E86AB" w:sz="6"/>
          <w:right w:val="single" w:color="2E86AB" w:sz="6"/>
        </w:pBdr>
        <w:shd w:fill="F2F4F7" w:val="clear"/>
        <w:spacing w:after="120" w:before="120"/>
        <w:jc w:val="center"/>
      </w:pPr>
      <w:r>
        <w:rPr>
          <w:b/>
          <w:bCs/>
          <w:color w:val="1E3A5F"/>
          <w:sz w:val="22"/>
          <w:szCs w:val="22"/>
        </w:rPr>
        <w:t xml:space="preserve">Value per Engineer-Hour  =  Resolved Tasks ÷ Total Human Hours (including prompting, reviewing, correcting)</w:t>
      </w:r>
    </w:p>
    <w:p>
      <w:pPr>
        <w:spacing w:after="0" w:before="80"/>
      </w:pPr>
      <w:r>
        <w:t xml:space="preserve"/>
      </w:r>
    </w:p>
    <w:p>
      <w:pPr>
        <w:spacing w:after="100" w:before="60"/>
      </w:pPr>
      <w:r>
        <w:rPr>
          <w:color w:val="1A1A2E"/>
          <w:sz w:val="20"/>
          <w:szCs w:val="20"/>
        </w:rPr>
        <w:t xml:space="preserve">This metric captures all three roots simultaneously. If the agent increases resolved tasks without increasing human hours, it is genuinely helping. If resolved tasks stay flat but human hours increase (due to review and correction overhead), the meta-metric will reveal it — even if individual metrics like generation speed look positive.</w:t>
      </w:r>
    </w:p>
    <w:p>
      <w:pPr>
        <w:pBdr>
          <w:bottom w:val="single" w:color="D0D5DD" w:sz="6"/>
        </w:pBdr>
        <w:spacing w:after="160" w:before="160"/>
      </w:pPr>
      <w:r>
        <w:t xml:space="preserve"/>
      </w:r>
    </w:p>
    <w:p>
      <w:pPr>
        <w:pStyle w:val="Heading1"/>
        <w:spacing w:after="120" w:before="360"/>
        <w:rPr>
          <w:b/>
          <w:bCs/>
          <w:color w:val="1E3A5F"/>
          <w:sz w:val="28"/>
          <w:szCs w:val="28"/>
        </w:rPr>
      </w:pPr>
      <w:r>
        <w:t xml:space="preserve">5. Metrics to Avoid</w:t>
      </w:r>
    </w:p>
    <w:p>
      <w:pPr>
        <w:spacing w:after="100" w:before="60"/>
      </w:pPr>
      <w:r>
        <w:rPr>
          <w:color w:val="1A1A2E"/>
          <w:sz w:val="20"/>
          <w:szCs w:val="20"/>
        </w:rPr>
        <w:t xml:space="preserve">The following metrics are commonly used in industry but are misleading in isolation. They measure activity rather than outcomes and should not be used as primary success indicators.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860"/>
        <w:gridCol w:w="3300"/>
      </w:tblGrid>
      <w:tr>
        <w:trPr>
          <w:tblHeader/>
        </w:trPr>
        <w:tc>
          <w:tcPr>
            <w:tcW w:type="dxa" w:w="2200"/>
            <w:shd w:fill="1E3A5F" w:val="clear"/>
            <w:vAlign w:val="center"/>
          </w:tcPr>
          <w:p>
            <w:pPr>
              <w:spacing w:after="80" w:before="80"/>
              <w:jc w:val="left"/>
            </w:pPr>
            <w:r>
              <w:rPr>
                <w:b/>
                <w:bCs/>
                <w:color w:val="FFFFFF"/>
                <w:sz w:val="18"/>
                <w:szCs w:val="18"/>
              </w:rPr>
              <w:t xml:space="preserve">Metric</w:t>
            </w:r>
          </w:p>
        </w:tc>
        <w:tc>
          <w:tcPr>
            <w:tcW w:type="dxa" w:w="3860"/>
            <w:shd w:fill="1E3A5F" w:val="clear"/>
            <w:vAlign w:val="center"/>
          </w:tcPr>
          <w:p>
            <w:pPr>
              <w:spacing w:after="80" w:before="80"/>
              <w:jc w:val="left"/>
            </w:pPr>
            <w:r>
              <w:rPr>
                <w:b/>
                <w:bCs/>
                <w:color w:val="FFFFFF"/>
                <w:sz w:val="18"/>
                <w:szCs w:val="18"/>
              </w:rPr>
              <w:t xml:space="preserve">Why it misleads</w:t>
            </w:r>
          </w:p>
        </w:tc>
        <w:tc>
          <w:tcPr>
            <w:tcW w:type="dxa" w:w="3300"/>
            <w:shd w:fill="1E3A5F" w:val="clear"/>
            <w:vAlign w:val="center"/>
          </w:tcPr>
          <w:p>
            <w:pPr>
              <w:spacing w:after="80" w:before="80"/>
              <w:jc w:val="left"/>
            </w:pPr>
            <w:r>
              <w:rPr>
                <w:b/>
                <w:bCs/>
                <w:color w:val="FFFFFF"/>
                <w:sz w:val="18"/>
                <w:szCs w:val="18"/>
              </w:rPr>
              <w:t xml:space="preserve">Better alternative</w:t>
            </w:r>
          </w:p>
        </w:tc>
      </w:tr>
      <w:tr>
        <w:tc>
          <w:tcPr>
            <w:tcW w:type="dxa" w:w="2200"/>
            <w:shd w:fill="FFFFFF" w:val="clear"/>
            <w:vAlign w:val="center"/>
          </w:tcPr>
          <w:p>
            <w:pPr>
              <w:spacing w:after="80" w:before="80"/>
            </w:pPr>
            <w:r>
              <w:rPr>
                <w:color w:val="1A1A2E"/>
                <w:sz w:val="18"/>
                <w:szCs w:val="18"/>
              </w:rPr>
              <w:t xml:space="preserve">Raw acceptance rate</w:t>
            </w:r>
          </w:p>
        </w:tc>
        <w:tc>
          <w:tcPr>
            <w:tcW w:type="dxa" w:w="3860"/>
            <w:shd w:fill="FFFFFF" w:val="clear"/>
            <w:vAlign w:val="center"/>
          </w:tcPr>
          <w:p>
            <w:pPr>
              <w:spacing w:after="80" w:before="80"/>
            </w:pPr>
            <w:r>
              <w:rPr>
                <w:color w:val="1A1A2E"/>
                <w:sz w:val="18"/>
                <w:szCs w:val="18"/>
              </w:rPr>
              <w:t xml:space="preserve">Accepted code is not necessarily correct. Developers approve code that looks plausible but contains bugs.</w:t>
            </w:r>
          </w:p>
        </w:tc>
        <w:tc>
          <w:tcPr>
            <w:tcW w:type="dxa" w:w="3300"/>
            <w:shd w:fill="FFFFFF" w:val="clear"/>
            <w:vAlign w:val="center"/>
          </w:tcPr>
          <w:p>
            <w:pPr>
              <w:spacing w:after="80" w:before="80"/>
            </w:pPr>
            <w:r>
              <w:rPr>
                <w:color w:val="1A1A2E"/>
                <w:sz w:val="18"/>
                <w:szCs w:val="18"/>
              </w:rPr>
              <w:t xml:space="preserve">Net Acceptance Rate (3.3)</w:t>
            </w:r>
          </w:p>
        </w:tc>
      </w:tr>
      <w:tr>
        <w:tc>
          <w:tcPr>
            <w:tcW w:type="dxa" w:w="2200"/>
            <w:shd w:fill="F2F4F7" w:val="clear"/>
            <w:vAlign w:val="center"/>
          </w:tcPr>
          <w:p>
            <w:pPr>
              <w:spacing w:after="80" w:before="80"/>
            </w:pPr>
            <w:r>
              <w:rPr>
                <w:color w:val="1A1A2E"/>
                <w:sz w:val="18"/>
                <w:szCs w:val="18"/>
              </w:rPr>
              <w:t xml:space="preserve">Lines of code generated</w:t>
            </w:r>
          </w:p>
        </w:tc>
        <w:tc>
          <w:tcPr>
            <w:tcW w:type="dxa" w:w="3860"/>
            <w:shd w:fill="F2F4F7" w:val="clear"/>
            <w:vAlign w:val="center"/>
          </w:tcPr>
          <w:p>
            <w:pPr>
              <w:spacing w:after="80" w:before="80"/>
            </w:pPr>
            <w:r>
              <w:rPr>
                <w:color w:val="1A1A2E"/>
                <w:sz w:val="18"/>
                <w:szCs w:val="18"/>
              </w:rPr>
              <w:t xml:space="preserve">More code is often worse — it increases review burden and maintenance surface.</w:t>
            </w:r>
          </w:p>
        </w:tc>
        <w:tc>
          <w:tcPr>
            <w:tcW w:type="dxa" w:w="3300"/>
            <w:shd w:fill="F2F4F7" w:val="clear"/>
            <w:vAlign w:val="center"/>
          </w:tcPr>
          <w:p>
            <w:pPr>
              <w:spacing w:after="80" w:before="80"/>
            </w:pPr>
            <w:r>
              <w:rPr>
                <w:color w:val="1A1A2E"/>
                <w:sz w:val="18"/>
                <w:szCs w:val="18"/>
              </w:rPr>
              <w:t xml:space="preserve">Task Resolution Rate (3.1)</w:t>
            </w:r>
          </w:p>
        </w:tc>
      </w:tr>
      <w:tr>
        <w:tc>
          <w:tcPr>
            <w:tcW w:type="dxa" w:w="2200"/>
            <w:shd w:fill="FFFFFF" w:val="clear"/>
            <w:vAlign w:val="center"/>
          </w:tcPr>
          <w:p>
            <w:pPr>
              <w:spacing w:after="80" w:before="80"/>
            </w:pPr>
            <w:r>
              <w:rPr>
                <w:color w:val="1A1A2E"/>
                <w:sz w:val="18"/>
                <w:szCs w:val="18"/>
              </w:rPr>
              <w:t xml:space="preserve">Generation speed</w:t>
            </w:r>
          </w:p>
        </w:tc>
        <w:tc>
          <w:tcPr>
            <w:tcW w:type="dxa" w:w="3860"/>
            <w:shd w:fill="FFFFFF" w:val="clear"/>
            <w:vAlign w:val="center"/>
          </w:tcPr>
          <w:p>
            <w:pPr>
              <w:spacing w:after="80" w:before="80"/>
            </w:pPr>
            <w:r>
              <w:rPr>
                <w:color w:val="1A1A2E"/>
                <w:sz w:val="18"/>
                <w:szCs w:val="18"/>
              </w:rPr>
              <w:t xml:space="preserve">Ignores review and correction time, which can exceed time saved.</w:t>
            </w:r>
          </w:p>
        </w:tc>
        <w:tc>
          <w:tcPr>
            <w:tcW w:type="dxa" w:w="3300"/>
            <w:shd w:fill="FFFFFF" w:val="clear"/>
            <w:vAlign w:val="center"/>
          </w:tcPr>
          <w:p>
            <w:pPr>
              <w:spacing w:after="80" w:before="80"/>
            </w:pPr>
            <w:r>
              <w:rPr>
                <w:color w:val="1A1A2E"/>
                <w:sz w:val="18"/>
                <w:szCs w:val="18"/>
              </w:rPr>
              <w:t xml:space="preserve">Net Time Delta (3.4)</w:t>
            </w:r>
          </w:p>
        </w:tc>
      </w:tr>
      <w:tr>
        <w:tc>
          <w:tcPr>
            <w:tcW w:type="dxa" w:w="2200"/>
            <w:shd w:fill="F2F4F7" w:val="clear"/>
            <w:vAlign w:val="center"/>
          </w:tcPr>
          <w:p>
            <w:pPr>
              <w:spacing w:after="80" w:before="80"/>
            </w:pPr>
            <w:r>
              <w:rPr>
                <w:color w:val="1A1A2E"/>
                <w:sz w:val="18"/>
                <w:szCs w:val="18"/>
              </w:rPr>
              <w:t xml:space="preserve">Test pass rate</w:t>
            </w:r>
          </w:p>
        </w:tc>
        <w:tc>
          <w:tcPr>
            <w:tcW w:type="dxa" w:w="3860"/>
            <w:shd w:fill="F2F4F7" w:val="clear"/>
            <w:vAlign w:val="center"/>
          </w:tcPr>
          <w:p>
            <w:pPr>
              <w:spacing w:after="80" w:before="80"/>
            </w:pPr>
            <w:r>
              <w:rPr>
                <w:color w:val="1A1A2E"/>
                <w:sz w:val="18"/>
                <w:szCs w:val="18"/>
              </w:rPr>
              <w:t xml:space="preserve">Tests can be wrong, incomplete, or written to match the AI output rather than the requirement.</w:t>
            </w:r>
          </w:p>
        </w:tc>
        <w:tc>
          <w:tcPr>
            <w:tcW w:type="dxa" w:w="3300"/>
            <w:shd w:fill="F2F4F7" w:val="clear"/>
            <w:vAlign w:val="center"/>
          </w:tcPr>
          <w:p>
            <w:pPr>
              <w:spacing w:after="80" w:before="80"/>
            </w:pPr>
            <w:r>
              <w:rPr>
                <w:color w:val="1A1A2E"/>
                <w:sz w:val="18"/>
                <w:szCs w:val="18"/>
              </w:rPr>
              <w:t xml:space="preserve">Defect Injection Rate (3.8)</w:t>
            </w:r>
          </w:p>
        </w:tc>
      </w:tr>
      <w:tr>
        <w:tc>
          <w:tcPr>
            <w:tcW w:type="dxa" w:w="2200"/>
            <w:shd w:fill="FFFFFF" w:val="clear"/>
            <w:vAlign w:val="center"/>
          </w:tcPr>
          <w:p>
            <w:pPr>
              <w:spacing w:after="80" w:before="80"/>
            </w:pPr>
            <w:r>
              <w:rPr>
                <w:color w:val="1A1A2E"/>
                <w:sz w:val="18"/>
                <w:szCs w:val="18"/>
              </w:rPr>
              <w:t xml:space="preserve">Number of prompts sent</w:t>
            </w:r>
          </w:p>
        </w:tc>
        <w:tc>
          <w:tcPr>
            <w:tcW w:type="dxa" w:w="3860"/>
            <w:shd w:fill="FFFFFF" w:val="clear"/>
            <w:vAlign w:val="center"/>
          </w:tcPr>
          <w:p>
            <w:pPr>
              <w:spacing w:after="80" w:before="80"/>
            </w:pPr>
            <w:r>
              <w:rPr>
                <w:color w:val="1A1A2E"/>
                <w:sz w:val="18"/>
                <w:szCs w:val="18"/>
              </w:rPr>
              <w:t xml:space="preserve">Measures usage, not value. High prompt volume may indicate the agent is failing, not succeeding.</w:t>
            </w:r>
          </w:p>
        </w:tc>
        <w:tc>
          <w:tcPr>
            <w:tcW w:type="dxa" w:w="3300"/>
            <w:shd w:fill="FFFFFF" w:val="clear"/>
            <w:vAlign w:val="center"/>
          </w:tcPr>
          <w:p>
            <w:pPr>
              <w:spacing w:after="80" w:before="80"/>
            </w:pPr>
            <w:r>
              <w:rPr>
                <w:color w:val="1A1A2E"/>
                <w:sz w:val="18"/>
                <w:szCs w:val="18"/>
              </w:rPr>
              <w:t xml:space="preserve">Re-prompting Overhead (3.7)</w:t>
            </w:r>
          </w:p>
        </w:tc>
      </w:tr>
    </w:tbl>
    <w:p>
      <w:pPr>
        <w:pBdr>
          <w:bottom w:val="single" w:color="D0D5DD" w:sz="6"/>
        </w:pBdr>
        <w:spacing w:after="160" w:before="160"/>
      </w:pPr>
      <w:r>
        <w:t xml:space="preserve"/>
      </w:r>
    </w:p>
    <w:p>
      <w:pPr>
        <w:pStyle w:val="Heading1"/>
        <w:spacing w:after="120" w:before="360"/>
        <w:rPr>
          <w:b/>
          <w:bCs/>
          <w:color w:val="1E3A5F"/>
          <w:sz w:val="28"/>
          <w:szCs w:val="28"/>
        </w:rPr>
      </w:pPr>
      <w:r>
        <w:t xml:space="preserve">6. Implementation on Bitbucket</w:t>
      </w:r>
    </w:p>
    <w:p>
      <w:pPr>
        <w:spacing w:after="100" w:before="60"/>
      </w:pPr>
      <w:r>
        <w:rPr>
          <w:color w:val="1A1A2E"/>
          <w:sz w:val="20"/>
          <w:szCs w:val="20"/>
        </w:rPr>
        <w:t xml:space="preserve">All metrics in this framework can be collected using Bitbucket, Jira, and standard CI tooling already in use. No new platforms are required for the minimum viable setup.</w:t>
      </w:r>
    </w:p>
    <w:p>
      <w:pPr>
        <w:spacing w:after="0" w:before="80"/>
      </w:pPr>
      <w:r>
        <w:t xml:space="preserve"/>
      </w:r>
    </w:p>
    <w:p>
      <w:pPr>
        <w:pStyle w:val="Heading2"/>
        <w:spacing w:after="100" w:before="280"/>
      </w:pPr>
      <w:r>
        <w:rPr>
          <w:b/>
          <w:bCs/>
          <w:color w:val="2E86AB"/>
          <w:sz w:val="24"/>
          <w:szCs w:val="24"/>
        </w:rPr>
        <w:t xml:space="preserve">6.1 Minimum Viable Setup (Start Here)</w:t>
      </w:r>
    </w:p>
    <w:p>
      <w:pPr>
        <w:spacing w:after="100" w:before="60"/>
      </w:pPr>
      <w:r>
        <w:rPr>
          <w:color w:val="1A1A2E"/>
          <w:sz w:val="20"/>
          <w:szCs w:val="20"/>
        </w:rPr>
        <w:t xml:space="preserve">These four steps implement the highest-value metrics with the lowest setup effort:</w:t>
      </w:r>
    </w:p>
    <w:p>
      <w:pPr>
        <w:spacing w:after="0" w:before="60"/>
      </w:pPr>
      <w:r>
        <w:t xml:space="preserve"/>
      </w:r>
    </w:p>
    <w:p>
      <w:pPr>
        <w:spacing w:after="60" w:before="40"/>
        <w:ind w:left="576"/>
      </w:pPr>
      <w:r>
        <w:rPr>
          <w:b/>
          <w:bCs/>
          <w:color w:val="2E86AB"/>
          <w:sz w:val="20"/>
          <w:szCs w:val="20"/>
        </w:rPr>
        <w:t xml:space="preserve">•  </w:t>
      </w:r>
      <w:r>
        <w:rPr>
          <w:color w:val="1A1A2E"/>
          <w:sz w:val="20"/>
          <w:szCs w:val="20"/>
        </w:rPr>
        <w:t xml:space="preserve">Step 1 — PR Labelling: Add an "ai-assisted" label to every PR where the agent wrote the majority of the code. This is the foundation all other measurements depend on.</w:t>
      </w:r>
    </w:p>
    <w:p>
      <w:pPr>
        <w:spacing w:after="60" w:before="40"/>
        <w:ind w:left="576"/>
      </w:pPr>
      <w:r>
        <w:rPr>
          <w:b/>
          <w:bCs/>
          <w:color w:val="2E86AB"/>
          <w:sz w:val="20"/>
          <w:szCs w:val="20"/>
        </w:rPr>
        <w:t xml:space="preserve">•  </w:t>
      </w:r>
      <w:r>
        <w:rPr>
          <w:color w:val="1A1A2E"/>
          <w:sz w:val="20"/>
          <w:szCs w:val="20"/>
        </w:rPr>
        <w:t xml:space="preserve">Step 2 — Jira Story Field: Add an "AI-Assisted" custom field (Yes/No) at story level. Configure a Jira automation rule to propagate the label to child bugs on creation.</w:t>
      </w:r>
    </w:p>
    <w:p>
      <w:pPr>
        <w:spacing w:after="60" w:before="40"/>
        <w:ind w:left="576"/>
      </w:pPr>
      <w:r>
        <w:rPr>
          <w:b/>
          <w:bCs/>
          <w:color w:val="2E86AB"/>
          <w:sz w:val="20"/>
          <w:szCs w:val="20"/>
        </w:rPr>
        <w:t xml:space="preserve">•  </w:t>
      </w:r>
      <w:r>
        <w:rPr>
          <w:color w:val="1A1A2E"/>
          <w:sz w:val="20"/>
          <w:szCs w:val="20"/>
        </w:rPr>
        <w:t xml:space="preserve">Step 3 — Bitbucket API Export: Run a weekly Python script against the Bitbucket REST API to export PR data (created_on, merged_on, comment count, label) to a shared spreadsheet. Cycle time and review burden are derived from this data.</w:t>
      </w:r>
    </w:p>
    <w:p>
      <w:pPr>
        <w:spacing w:after="60" w:before="40"/>
        <w:ind w:left="576"/>
      </w:pPr>
      <w:r>
        <w:rPr>
          <w:b/>
          <w:bCs/>
          <w:color w:val="2E86AB"/>
          <w:sz w:val="20"/>
          <w:szCs w:val="20"/>
        </w:rPr>
        <w:t xml:space="preserve">•  </w:t>
      </w:r>
      <w:r>
        <w:rPr>
          <w:color w:val="1A1A2E"/>
          <w:sz w:val="20"/>
          <w:szCs w:val="20"/>
        </w:rPr>
        <w:t xml:space="preserve">Step 4 — Pipeline Security Scan: Add Snyk or Semgrep as a Bitbucket Pipelines step. Configure it to post results as PR comments. No additional tagging required — the PR label provides the grouping.</w:t>
      </w:r>
    </w:p>
    <w:p>
      <w:pPr>
        <w:spacing w:after="0" w:before="80"/>
      </w:pPr>
      <w:r>
        <w:t xml:space="preserve"/>
      </w:r>
    </w:p>
    <w:p>
      <w:pPr>
        <w:pStyle w:val="Heading2"/>
        <w:spacing w:after="100" w:before="280"/>
      </w:pPr>
      <w:r>
        <w:rPr>
          <w:b/>
          <w:bCs/>
          <w:color w:val="2E86AB"/>
          <w:sz w:val="24"/>
          <w:szCs w:val="24"/>
        </w:rPr>
        <w:t xml:space="preserve">6.2 Key Bitbucket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4160"/>
        <w:gridCol w:w="3000"/>
      </w:tblGrid>
      <w:tr>
        <w:trPr>
          <w:tblHeader/>
        </w:trPr>
        <w:tc>
          <w:tcPr>
            <w:tcW w:type="dxa" w:w="2200"/>
            <w:shd w:fill="1E3A5F" w:val="clear"/>
            <w:vAlign w:val="center"/>
          </w:tcPr>
          <w:p>
            <w:pPr>
              <w:spacing w:after="80" w:before="80"/>
              <w:jc w:val="left"/>
            </w:pPr>
            <w:r>
              <w:rPr>
                <w:b/>
                <w:bCs/>
                <w:color w:val="FFFFFF"/>
                <w:sz w:val="18"/>
                <w:szCs w:val="18"/>
              </w:rPr>
              <w:t xml:space="preserve">Metric</w:t>
            </w:r>
          </w:p>
        </w:tc>
        <w:tc>
          <w:tcPr>
            <w:tcW w:type="dxa" w:w="4160"/>
            <w:shd w:fill="1E3A5F" w:val="clear"/>
            <w:vAlign w:val="center"/>
          </w:tcPr>
          <w:p>
            <w:pPr>
              <w:spacing w:after="80" w:before="80"/>
              <w:jc w:val="left"/>
            </w:pPr>
            <w:r>
              <w:rPr>
                <w:b/>
                <w:bCs/>
                <w:color w:val="FFFFFF"/>
                <w:sz w:val="18"/>
                <w:szCs w:val="18"/>
              </w:rPr>
              <w:t xml:space="preserve">Endpoint</w:t>
            </w:r>
          </w:p>
        </w:tc>
        <w:tc>
          <w:tcPr>
            <w:tcW w:type="dxa" w:w="3000"/>
            <w:shd w:fill="1E3A5F" w:val="clear"/>
            <w:vAlign w:val="center"/>
          </w:tcPr>
          <w:p>
            <w:pPr>
              <w:spacing w:after="80" w:before="80"/>
              <w:jc w:val="left"/>
            </w:pPr>
            <w:r>
              <w:rPr>
                <w:b/>
                <w:bCs/>
                <w:color w:val="FFFFFF"/>
                <w:sz w:val="18"/>
                <w:szCs w:val="18"/>
              </w:rPr>
              <w:t xml:space="preserve">Field</w:t>
            </w:r>
          </w:p>
        </w:tc>
      </w:tr>
      <w:tr>
        <w:tc>
          <w:tcPr>
            <w:tcW w:type="dxa" w:w="2200"/>
            <w:shd w:fill="FFFFFF" w:val="clear"/>
            <w:vAlign w:val="center"/>
          </w:tcPr>
          <w:p>
            <w:pPr>
              <w:spacing w:after="80" w:before="80"/>
            </w:pPr>
            <w:r>
              <w:rPr>
                <w:color w:val="1A1A2E"/>
                <w:sz w:val="18"/>
                <w:szCs w:val="18"/>
              </w:rPr>
              <w:t xml:space="preserve">Cycle Time</w:t>
            </w:r>
          </w:p>
        </w:tc>
        <w:tc>
          <w:tcPr>
            <w:tcW w:type="dxa" w:w="4160"/>
            <w:shd w:fill="FFFFFF" w:val="clear"/>
            <w:vAlign w:val="center"/>
          </w:tcPr>
          <w:p>
            <w:pPr>
              <w:spacing w:after="80" w:before="80"/>
            </w:pPr>
            <w:r>
              <w:rPr>
                <w:color w:val="1A1A2E"/>
                <w:sz w:val="18"/>
                <w:szCs w:val="18"/>
              </w:rPr>
              <w:t xml:space="preserve">/rest/api/1.0/projects/{key}/repos/{repo}/pull-requests</w:t>
            </w:r>
          </w:p>
        </w:tc>
        <w:tc>
          <w:tcPr>
            <w:tcW w:type="dxa" w:w="3000"/>
            <w:shd w:fill="FFFFFF" w:val="clear"/>
            <w:vAlign w:val="center"/>
          </w:tcPr>
          <w:p>
            <w:pPr>
              <w:spacing w:after="80" w:before="80"/>
            </w:pPr>
            <w:r>
              <w:rPr>
                <w:color w:val="1A1A2E"/>
                <w:sz w:val="18"/>
                <w:szCs w:val="18"/>
              </w:rPr>
              <w:t xml:space="preserve">merged_on − created_on</w:t>
            </w:r>
          </w:p>
        </w:tc>
      </w:tr>
      <w:tr>
        <w:tc>
          <w:tcPr>
            <w:tcW w:type="dxa" w:w="2200"/>
            <w:shd w:fill="F2F4F7" w:val="clear"/>
            <w:vAlign w:val="center"/>
          </w:tcPr>
          <w:p>
            <w:pPr>
              <w:spacing w:after="80" w:before="80"/>
            </w:pPr>
            <w:r>
              <w:rPr>
                <w:color w:val="1A1A2E"/>
                <w:sz w:val="18"/>
                <w:szCs w:val="18"/>
              </w:rPr>
              <w:t xml:space="preserve">Review Burden</w:t>
            </w:r>
          </w:p>
        </w:tc>
        <w:tc>
          <w:tcPr>
            <w:tcW w:type="dxa" w:w="4160"/>
            <w:shd w:fill="F2F4F7" w:val="clear"/>
            <w:vAlign w:val="center"/>
          </w:tcPr>
          <w:p>
            <w:pPr>
              <w:spacing w:after="80" w:before="80"/>
            </w:pPr>
            <w:r>
              <w:rPr>
                <w:color w:val="1A1A2E"/>
                <w:sz w:val="18"/>
                <w:szCs w:val="18"/>
              </w:rPr>
              <w:t xml:space="preserve">/rest/api/1.0/.../pull-requests/{id}/activities</w:t>
            </w:r>
          </w:p>
        </w:tc>
        <w:tc>
          <w:tcPr>
            <w:tcW w:type="dxa" w:w="3000"/>
            <w:shd w:fill="F2F4F7" w:val="clear"/>
            <w:vAlign w:val="center"/>
          </w:tcPr>
          <w:p>
            <w:pPr>
              <w:spacing w:after="80" w:before="80"/>
            </w:pPr>
            <w:r>
              <w:rPr>
                <w:color w:val="1A1A2E"/>
                <w:sz w:val="18"/>
                <w:szCs w:val="18"/>
              </w:rPr>
              <w:t xml:space="preserve">action: COMMENTED count</w:t>
            </w:r>
          </w:p>
        </w:tc>
      </w:tr>
      <w:tr>
        <w:tc>
          <w:tcPr>
            <w:tcW w:type="dxa" w:w="2200"/>
            <w:shd w:fill="FFFFFF" w:val="clear"/>
            <w:vAlign w:val="center"/>
          </w:tcPr>
          <w:p>
            <w:pPr>
              <w:spacing w:after="80" w:before="80"/>
            </w:pPr>
            <w:r>
              <w:rPr>
                <w:color w:val="1A1A2E"/>
                <w:sz w:val="18"/>
                <w:szCs w:val="18"/>
              </w:rPr>
              <w:t xml:space="preserve">Revert Rate</w:t>
            </w:r>
          </w:p>
        </w:tc>
        <w:tc>
          <w:tcPr>
            <w:tcW w:type="dxa" w:w="4160"/>
            <w:shd w:fill="FFFFFF" w:val="clear"/>
            <w:vAlign w:val="center"/>
          </w:tcPr>
          <w:p>
            <w:pPr>
              <w:spacing w:after="80" w:before="80"/>
            </w:pPr>
            <w:r>
              <w:rPr>
                <w:color w:val="1A1A2E"/>
                <w:sz w:val="18"/>
                <w:szCs w:val="18"/>
              </w:rPr>
              <w:t xml:space="preserve">git log --grep="Revert"</w:t>
            </w:r>
          </w:p>
        </w:tc>
        <w:tc>
          <w:tcPr>
            <w:tcW w:type="dxa" w:w="3000"/>
            <w:shd w:fill="FFFFFF" w:val="clear"/>
            <w:vAlign w:val="center"/>
          </w:tcPr>
          <w:p>
            <w:pPr>
              <w:spacing w:after="80" w:before="80"/>
            </w:pPr>
            <w:r>
              <w:rPr>
                <w:color w:val="1A1A2E"/>
                <w:sz w:val="18"/>
                <w:szCs w:val="18"/>
              </w:rPr>
              <w:t xml:space="preserve">Cross-ref commit hash to PR</w:t>
            </w:r>
          </w:p>
        </w:tc>
      </w:tr>
      <w:tr>
        <w:tc>
          <w:tcPr>
            <w:tcW w:type="dxa" w:w="2200"/>
            <w:shd w:fill="F2F4F7" w:val="clear"/>
            <w:vAlign w:val="center"/>
          </w:tcPr>
          <w:p>
            <w:pPr>
              <w:spacing w:after="80" w:before="80"/>
            </w:pPr>
            <w:r>
              <w:rPr>
                <w:color w:val="1A1A2E"/>
                <w:sz w:val="18"/>
                <w:szCs w:val="18"/>
              </w:rPr>
              <w:t xml:space="preserve">Post-Merge Churn</w:t>
            </w:r>
          </w:p>
        </w:tc>
        <w:tc>
          <w:tcPr>
            <w:tcW w:type="dxa" w:w="4160"/>
            <w:shd w:fill="F2F4F7" w:val="clear"/>
            <w:vAlign w:val="center"/>
          </w:tcPr>
          <w:p>
            <w:pPr>
              <w:spacing w:after="80" w:before="80"/>
            </w:pPr>
            <w:r>
              <w:rPr>
                <w:color w:val="1A1A2E"/>
                <w:sz w:val="18"/>
                <w:szCs w:val="18"/>
              </w:rPr>
              <w:t xml:space="preserve">git log --follow -- {file}</w:t>
            </w:r>
          </w:p>
        </w:tc>
        <w:tc>
          <w:tcPr>
            <w:tcW w:type="dxa" w:w="3000"/>
            <w:shd w:fill="F2F4F7" w:val="clear"/>
            <w:vAlign w:val="center"/>
          </w:tcPr>
          <w:p>
            <w:pPr>
              <w:spacing w:after="80" w:before="80"/>
            </w:pPr>
            <w:r>
              <w:rPr>
                <w:color w:val="1A1A2E"/>
                <w:sz w:val="18"/>
                <w:szCs w:val="18"/>
              </w:rPr>
              <w:t xml:space="preserve">Commit count post-merge date</w:t>
            </w:r>
          </w:p>
        </w:tc>
      </w:tr>
    </w:tbl>
    <w:p>
      <w:pPr>
        <w:spacing w:after="0" w:before="80"/>
      </w:pPr>
      <w:r>
        <w:t xml:space="preserve"/>
      </w:r>
    </w:p>
    <w:p>
      <w:pPr>
        <w:pStyle w:val="Heading2"/>
        <w:spacing w:after="100" w:before="280"/>
      </w:pPr>
      <w:r>
        <w:rPr>
          <w:b/>
          <w:bCs/>
          <w:color w:val="2E86AB"/>
          <w:sz w:val="24"/>
          <w:szCs w:val="24"/>
        </w:rPr>
        <w:t xml:space="preserve">6.3 Full Measurement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800"/>
        <w:gridCol w:w="4560"/>
      </w:tblGrid>
      <w:tr>
        <w:trPr>
          <w:tblHeader/>
        </w:trPr>
        <w:tc>
          <w:tcPr>
            <w:tcW w:type="dxa" w:w="2000"/>
            <w:shd w:fill="1E3A5F" w:val="clear"/>
            <w:vAlign w:val="center"/>
          </w:tcPr>
          <w:p>
            <w:pPr>
              <w:spacing w:after="80" w:before="80"/>
              <w:jc w:val="left"/>
            </w:pPr>
            <w:r>
              <w:rPr>
                <w:b/>
                <w:bCs/>
                <w:color w:val="FFFFFF"/>
                <w:sz w:val="18"/>
                <w:szCs w:val="18"/>
              </w:rPr>
              <w:t xml:space="preserve">Layer</w:t>
            </w:r>
          </w:p>
        </w:tc>
        <w:tc>
          <w:tcPr>
            <w:tcW w:type="dxa" w:w="2800"/>
            <w:shd w:fill="1E3A5F" w:val="clear"/>
            <w:vAlign w:val="center"/>
          </w:tcPr>
          <w:p>
            <w:pPr>
              <w:spacing w:after="80" w:before="80"/>
              <w:jc w:val="left"/>
            </w:pPr>
            <w:r>
              <w:rPr>
                <w:b/>
                <w:bCs/>
                <w:color w:val="FFFFFF"/>
                <w:sz w:val="18"/>
                <w:szCs w:val="18"/>
              </w:rPr>
              <w:t xml:space="preserve">Tool</w:t>
            </w:r>
          </w:p>
        </w:tc>
        <w:tc>
          <w:tcPr>
            <w:tcW w:type="dxa" w:w="4560"/>
            <w:shd w:fill="1E3A5F" w:val="clear"/>
            <w:vAlign w:val="center"/>
          </w:tcPr>
          <w:p>
            <w:pPr>
              <w:spacing w:after="80" w:before="80"/>
              <w:jc w:val="left"/>
            </w:pPr>
            <w:r>
              <w:rPr>
                <w:b/>
                <w:bCs/>
                <w:color w:val="FFFFFF"/>
                <w:sz w:val="18"/>
                <w:szCs w:val="18"/>
              </w:rPr>
              <w:t xml:space="preserve">Metrics covered</w:t>
            </w:r>
          </w:p>
        </w:tc>
      </w:tr>
      <w:tr>
        <w:tc>
          <w:tcPr>
            <w:tcW w:type="dxa" w:w="2000"/>
            <w:shd w:fill="FFFFFF" w:val="clear"/>
            <w:vAlign w:val="center"/>
          </w:tcPr>
          <w:p>
            <w:pPr>
              <w:spacing w:after="80" w:before="80"/>
            </w:pPr>
            <w:r>
              <w:rPr>
                <w:color w:val="1A1A2E"/>
                <w:sz w:val="18"/>
                <w:szCs w:val="18"/>
              </w:rPr>
              <w:t xml:space="preserve">PR &amp; task tracking</w:t>
            </w:r>
          </w:p>
        </w:tc>
        <w:tc>
          <w:tcPr>
            <w:tcW w:type="dxa" w:w="2800"/>
            <w:shd w:fill="FFFFFF" w:val="clear"/>
            <w:vAlign w:val="center"/>
          </w:tcPr>
          <w:p>
            <w:pPr>
              <w:spacing w:after="80" w:before="80"/>
            </w:pPr>
            <w:r>
              <w:rPr>
                <w:color w:val="1A1A2E"/>
                <w:sz w:val="18"/>
                <w:szCs w:val="18"/>
              </w:rPr>
              <w:t xml:space="preserve">Bitbucket + Jira</w:t>
            </w:r>
          </w:p>
        </w:tc>
        <w:tc>
          <w:tcPr>
            <w:tcW w:type="dxa" w:w="4560"/>
            <w:shd w:fill="FFFFFF" w:val="clear"/>
            <w:vAlign w:val="center"/>
          </w:tcPr>
          <w:p>
            <w:pPr>
              <w:spacing w:after="80" w:before="80"/>
            </w:pPr>
            <w:r>
              <w:rPr>
                <w:color w:val="1A1A2E"/>
                <w:sz w:val="18"/>
                <w:szCs w:val="18"/>
              </w:rPr>
              <w:t xml:space="preserve">Cycle time, review burden, defect rate, revert rate</w:t>
            </w:r>
          </w:p>
        </w:tc>
      </w:tr>
      <w:tr>
        <w:tc>
          <w:tcPr>
            <w:tcW w:type="dxa" w:w="2000"/>
            <w:shd w:fill="F2F4F7" w:val="clear"/>
            <w:vAlign w:val="center"/>
          </w:tcPr>
          <w:p>
            <w:pPr>
              <w:spacing w:after="80" w:before="80"/>
            </w:pPr>
            <w:r>
              <w:rPr>
                <w:color w:val="1A1A2E"/>
                <w:sz w:val="18"/>
                <w:szCs w:val="18"/>
              </w:rPr>
              <w:t xml:space="preserve">Time tracking</w:t>
            </w:r>
          </w:p>
        </w:tc>
        <w:tc>
          <w:tcPr>
            <w:tcW w:type="dxa" w:w="2800"/>
            <w:shd w:fill="F2F4F7" w:val="clear"/>
            <w:vAlign w:val="center"/>
          </w:tcPr>
          <w:p>
            <w:pPr>
              <w:spacing w:after="80" w:before="80"/>
            </w:pPr>
            <w:r>
              <w:rPr>
                <w:color w:val="1A1A2E"/>
                <w:sz w:val="18"/>
                <w:szCs w:val="18"/>
              </w:rPr>
              <w:t xml:space="preserve">Jira time log / Toggl</w:t>
            </w:r>
          </w:p>
        </w:tc>
        <w:tc>
          <w:tcPr>
            <w:tcW w:type="dxa" w:w="4560"/>
            <w:shd w:fill="F2F4F7" w:val="clear"/>
            <w:vAlign w:val="center"/>
          </w:tcPr>
          <w:p>
            <w:pPr>
              <w:spacing w:after="80" w:before="80"/>
            </w:pPr>
            <w:r>
              <w:rPr>
                <w:color w:val="1A1A2E"/>
                <w:sz w:val="18"/>
                <w:szCs w:val="18"/>
              </w:rPr>
              <w:t xml:space="preserve">Net time delta, value per engineer-hour</w:t>
            </w:r>
          </w:p>
        </w:tc>
      </w:tr>
      <w:tr>
        <w:tc>
          <w:tcPr>
            <w:tcW w:type="dxa" w:w="2000"/>
            <w:shd w:fill="FFFFFF" w:val="clear"/>
            <w:vAlign w:val="center"/>
          </w:tcPr>
          <w:p>
            <w:pPr>
              <w:spacing w:after="80" w:before="80"/>
            </w:pPr>
            <w:r>
              <w:rPr>
                <w:color w:val="1A1A2E"/>
                <w:sz w:val="18"/>
                <w:szCs w:val="18"/>
              </w:rPr>
              <w:t xml:space="preserve">Code analytics</w:t>
            </w:r>
          </w:p>
        </w:tc>
        <w:tc>
          <w:tcPr>
            <w:tcW w:type="dxa" w:w="2800"/>
            <w:shd w:fill="FFFFFF" w:val="clear"/>
            <w:vAlign w:val="center"/>
          </w:tcPr>
          <w:p>
            <w:pPr>
              <w:spacing w:after="80" w:before="80"/>
            </w:pPr>
            <w:r>
              <w:rPr>
                <w:color w:val="1A1A2E"/>
                <w:sz w:val="18"/>
                <w:szCs w:val="18"/>
              </w:rPr>
              <w:t xml:space="preserve">GitClear or git scripts</w:t>
            </w:r>
          </w:p>
        </w:tc>
        <w:tc>
          <w:tcPr>
            <w:tcW w:type="dxa" w:w="4560"/>
            <w:shd w:fill="FFFFFF" w:val="clear"/>
            <w:vAlign w:val="center"/>
          </w:tcPr>
          <w:p>
            <w:pPr>
              <w:spacing w:after="80" w:before="80"/>
            </w:pPr>
            <w:r>
              <w:rPr>
                <w:color w:val="1A1A2E"/>
                <w:sz w:val="18"/>
                <w:szCs w:val="18"/>
              </w:rPr>
              <w:t xml:space="preserve">Post-merge touch rate, revert rate</w:t>
            </w:r>
          </w:p>
        </w:tc>
      </w:tr>
      <w:tr>
        <w:tc>
          <w:tcPr>
            <w:tcW w:type="dxa" w:w="2000"/>
            <w:shd w:fill="F2F4F7" w:val="clear"/>
            <w:vAlign w:val="center"/>
          </w:tcPr>
          <w:p>
            <w:pPr>
              <w:spacing w:after="80" w:before="80"/>
            </w:pPr>
            <w:r>
              <w:rPr>
                <w:color w:val="1A1A2E"/>
                <w:sz w:val="18"/>
                <w:szCs w:val="18"/>
              </w:rPr>
              <w:t xml:space="preserve">Security scanning</w:t>
            </w:r>
          </w:p>
        </w:tc>
        <w:tc>
          <w:tcPr>
            <w:tcW w:type="dxa" w:w="2800"/>
            <w:shd w:fill="F2F4F7" w:val="clear"/>
            <w:vAlign w:val="center"/>
          </w:tcPr>
          <w:p>
            <w:pPr>
              <w:spacing w:after="80" w:before="80"/>
            </w:pPr>
            <w:r>
              <w:rPr>
                <w:color w:val="1A1A2E"/>
                <w:sz w:val="18"/>
                <w:szCs w:val="18"/>
              </w:rPr>
              <w:t xml:space="preserve">Snyk / Semgrep in Pipelines</w:t>
            </w:r>
          </w:p>
        </w:tc>
        <w:tc>
          <w:tcPr>
            <w:tcW w:type="dxa" w:w="4560"/>
            <w:shd w:fill="F2F4F7" w:val="clear"/>
            <w:vAlign w:val="center"/>
          </w:tcPr>
          <w:p>
            <w:pPr>
              <w:spacing w:after="80" w:before="80"/>
            </w:pPr>
            <w:r>
              <w:rPr>
                <w:color w:val="1A1A2E"/>
                <w:sz w:val="18"/>
                <w:szCs w:val="18"/>
              </w:rPr>
              <w:t xml:space="preserve">Security regression rate</w:t>
            </w:r>
          </w:p>
        </w:tc>
      </w:tr>
      <w:tr>
        <w:tc>
          <w:tcPr>
            <w:tcW w:type="dxa" w:w="2000"/>
            <w:shd w:fill="FFFFFF" w:val="clear"/>
            <w:vAlign w:val="center"/>
          </w:tcPr>
          <w:p>
            <w:pPr>
              <w:spacing w:after="80" w:before="80"/>
            </w:pPr>
            <w:r>
              <w:rPr>
                <w:color w:val="1A1A2E"/>
                <w:sz w:val="18"/>
                <w:szCs w:val="18"/>
              </w:rPr>
              <w:t xml:space="preserve">AI tool analytics</w:t>
            </w:r>
          </w:p>
        </w:tc>
        <w:tc>
          <w:tcPr>
            <w:tcW w:type="dxa" w:w="2800"/>
            <w:shd w:fill="FFFFFF" w:val="clear"/>
            <w:vAlign w:val="center"/>
          </w:tcPr>
          <w:p>
            <w:pPr>
              <w:spacing w:after="80" w:before="80"/>
            </w:pPr>
            <w:r>
              <w:rPr>
                <w:color w:val="1A1A2E"/>
                <w:sz w:val="18"/>
                <w:szCs w:val="18"/>
              </w:rPr>
              <w:t xml:space="preserve">Copilot / Cursor dashboard</w:t>
            </w:r>
          </w:p>
        </w:tc>
        <w:tc>
          <w:tcPr>
            <w:tcW w:type="dxa" w:w="4560"/>
            <w:shd w:fill="FFFFFF" w:val="clear"/>
            <w:vAlign w:val="center"/>
          </w:tcPr>
          <w:p>
            <w:pPr>
              <w:spacing w:after="80" w:before="80"/>
            </w:pPr>
            <w:r>
              <w:rPr>
                <w:color w:val="1A1A2E"/>
                <w:sz w:val="18"/>
                <w:szCs w:val="18"/>
              </w:rPr>
              <w:t xml:space="preserve">Raw acceptance rate, prompt count</w:t>
            </w:r>
          </w:p>
        </w:tc>
      </w:tr>
      <w:tr>
        <w:tc>
          <w:tcPr>
            <w:tcW w:type="dxa" w:w="2000"/>
            <w:shd w:fill="F2F4F7" w:val="clear"/>
            <w:vAlign w:val="center"/>
          </w:tcPr>
          <w:p>
            <w:pPr>
              <w:spacing w:after="80" w:before="80"/>
            </w:pPr>
            <w:r>
              <w:rPr>
                <w:color w:val="1A1A2E"/>
                <w:sz w:val="18"/>
                <w:szCs w:val="18"/>
              </w:rPr>
              <w:t xml:space="preserve">Developer survey</w:t>
            </w:r>
          </w:p>
        </w:tc>
        <w:tc>
          <w:tcPr>
            <w:tcW w:type="dxa" w:w="2800"/>
            <w:shd w:fill="F2F4F7" w:val="clear"/>
            <w:vAlign w:val="center"/>
          </w:tcPr>
          <w:p>
            <w:pPr>
              <w:spacing w:after="80" w:before="80"/>
            </w:pPr>
            <w:r>
              <w:rPr>
                <w:color w:val="1A1A2E"/>
                <w:sz w:val="18"/>
                <w:szCs w:val="18"/>
              </w:rPr>
              <w:t xml:space="preserve">Google Forms / Slack pulse</w:t>
            </w:r>
          </w:p>
        </w:tc>
        <w:tc>
          <w:tcPr>
            <w:tcW w:type="dxa" w:w="4560"/>
            <w:shd w:fill="F2F4F7" w:val="clear"/>
            <w:vAlign w:val="center"/>
          </w:tcPr>
          <w:p>
            <w:pPr>
              <w:spacing w:after="80" w:before="80"/>
            </w:pPr>
            <w:r>
              <w:rPr>
                <w:color w:val="1A1A2E"/>
                <w:sz w:val="18"/>
                <w:szCs w:val="18"/>
              </w:rPr>
              <w:t xml:space="preserve">Cognitive load score</w:t>
            </w:r>
          </w:p>
        </w:tc>
      </w:tr>
    </w:tbl>
    <w:p>
      <w:pPr>
        <w:pBdr>
          <w:bottom w:val="single" w:color="D0D5DD" w:sz="6"/>
        </w:pBdr>
        <w:spacing w:after="160" w:before="160"/>
      </w:pPr>
      <w:r>
        <w:t xml:space="preserve"/>
      </w:r>
    </w:p>
    <w:p>
      <w:pPr>
        <w:pStyle w:val="Heading1"/>
        <w:spacing w:after="120" w:before="360"/>
        <w:rPr>
          <w:b/>
          <w:bCs/>
          <w:color w:val="1E3A5F"/>
          <w:sz w:val="28"/>
          <w:szCs w:val="28"/>
        </w:rPr>
      </w:pPr>
      <w:r>
        <w:t xml:space="preserve">7. Recommended Rollout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1600"/>
        <w:gridCol w:w="3600"/>
        <w:gridCol w:w="2760"/>
      </w:tblGrid>
      <w:tr>
        <w:trPr>
          <w:tblHeader/>
        </w:trPr>
        <w:tc>
          <w:tcPr>
            <w:tcW w:type="dxa" w:w="1400"/>
            <w:shd w:fill="1E3A5F" w:val="clear"/>
            <w:vAlign w:val="center"/>
          </w:tcPr>
          <w:p>
            <w:pPr>
              <w:spacing w:after="80" w:before="80"/>
              <w:jc w:val="left"/>
            </w:pPr>
            <w:r>
              <w:rPr>
                <w:b/>
                <w:bCs/>
                <w:color w:val="FFFFFF"/>
                <w:sz w:val="18"/>
                <w:szCs w:val="18"/>
              </w:rPr>
              <w:t xml:space="preserve">Phase</w:t>
            </w:r>
          </w:p>
        </w:tc>
        <w:tc>
          <w:tcPr>
            <w:tcW w:type="dxa" w:w="1600"/>
            <w:shd w:fill="1E3A5F" w:val="clear"/>
            <w:vAlign w:val="center"/>
          </w:tcPr>
          <w:p>
            <w:pPr>
              <w:spacing w:after="80" w:before="80"/>
              <w:jc w:val="left"/>
            </w:pPr>
            <w:r>
              <w:rPr>
                <w:b/>
                <w:bCs/>
                <w:color w:val="FFFFFF"/>
                <w:sz w:val="18"/>
                <w:szCs w:val="18"/>
              </w:rPr>
              <w:t xml:space="preserve">Timeframe</w:t>
            </w:r>
          </w:p>
        </w:tc>
        <w:tc>
          <w:tcPr>
            <w:tcW w:type="dxa" w:w="3600"/>
            <w:shd w:fill="1E3A5F" w:val="clear"/>
            <w:vAlign w:val="center"/>
          </w:tcPr>
          <w:p>
            <w:pPr>
              <w:spacing w:after="80" w:before="80"/>
              <w:jc w:val="left"/>
            </w:pPr>
            <w:r>
              <w:rPr>
                <w:b/>
                <w:bCs/>
                <w:color w:val="FFFFFF"/>
                <w:sz w:val="18"/>
                <w:szCs w:val="18"/>
              </w:rPr>
              <w:t xml:space="preserve">Actions</w:t>
            </w:r>
          </w:p>
        </w:tc>
        <w:tc>
          <w:tcPr>
            <w:tcW w:type="dxa" w:w="2760"/>
            <w:shd w:fill="1E3A5F" w:val="clear"/>
            <w:vAlign w:val="center"/>
          </w:tcPr>
          <w:p>
            <w:pPr>
              <w:spacing w:after="80" w:before="80"/>
              <w:jc w:val="left"/>
            </w:pPr>
            <w:r>
              <w:rPr>
                <w:b/>
                <w:bCs/>
                <w:color w:val="FFFFFF"/>
                <w:sz w:val="18"/>
                <w:szCs w:val="18"/>
              </w:rPr>
              <w:t xml:space="preserve">Metrics Activated</w:t>
            </w:r>
          </w:p>
        </w:tc>
      </w:tr>
      <w:tr>
        <w:tc>
          <w:tcPr>
            <w:tcW w:type="dxa" w:w="1400"/>
            <w:shd w:fill="FFFFFF" w:val="clear"/>
            <w:vAlign w:val="center"/>
          </w:tcPr>
          <w:p>
            <w:pPr>
              <w:spacing w:after="80" w:before="80"/>
            </w:pPr>
            <w:r>
              <w:rPr>
                <w:color w:val="1A1A2E"/>
                <w:sz w:val="18"/>
                <w:szCs w:val="18"/>
              </w:rPr>
              <w:t xml:space="preserve">1 — Baseline</w:t>
            </w:r>
          </w:p>
        </w:tc>
        <w:tc>
          <w:tcPr>
            <w:tcW w:type="dxa" w:w="1600"/>
            <w:shd w:fill="FFFFFF" w:val="clear"/>
            <w:vAlign w:val="center"/>
          </w:tcPr>
          <w:p>
            <w:pPr>
              <w:spacing w:after="80" w:before="80"/>
            </w:pPr>
            <w:r>
              <w:rPr>
                <w:color w:val="1A1A2E"/>
                <w:sz w:val="18"/>
                <w:szCs w:val="18"/>
              </w:rPr>
              <w:t xml:space="preserve">Month 1</w:t>
            </w:r>
          </w:p>
        </w:tc>
        <w:tc>
          <w:tcPr>
            <w:tcW w:type="dxa" w:w="3600"/>
            <w:shd w:fill="FFFFFF" w:val="clear"/>
            <w:vAlign w:val="center"/>
          </w:tcPr>
          <w:p>
            <w:pPr>
              <w:spacing w:after="80" w:before="80"/>
            </w:pPr>
            <w:r>
              <w:rPr>
                <w:color w:val="1A1A2E"/>
                <w:sz w:val="18"/>
                <w:szCs w:val="18"/>
              </w:rPr>
              <w:t xml:space="preserve">Add PR label, Jira field, export script, pipeline scan</w:t>
            </w:r>
          </w:p>
        </w:tc>
        <w:tc>
          <w:tcPr>
            <w:tcW w:type="dxa" w:w="2760"/>
            <w:shd w:fill="FFFFFF" w:val="clear"/>
            <w:vAlign w:val="center"/>
          </w:tcPr>
          <w:p>
            <w:pPr>
              <w:spacing w:after="80" w:before="80"/>
            </w:pPr>
            <w:r>
              <w:rPr>
                <w:color w:val="1A1A2E"/>
                <w:sz w:val="18"/>
                <w:szCs w:val="18"/>
              </w:rPr>
              <w:t xml:space="preserve">3.4, 3.5, 3.6, 3.9</w:t>
            </w:r>
          </w:p>
        </w:tc>
      </w:tr>
      <w:tr>
        <w:tc>
          <w:tcPr>
            <w:tcW w:type="dxa" w:w="1400"/>
            <w:shd w:fill="F2F4F7" w:val="clear"/>
            <w:vAlign w:val="center"/>
          </w:tcPr>
          <w:p>
            <w:pPr>
              <w:spacing w:after="80" w:before="80"/>
            </w:pPr>
            <w:r>
              <w:rPr>
                <w:color w:val="1A1A2E"/>
                <w:sz w:val="18"/>
                <w:szCs w:val="18"/>
              </w:rPr>
              <w:t xml:space="preserve">2 — Tracking</w:t>
            </w:r>
          </w:p>
        </w:tc>
        <w:tc>
          <w:tcPr>
            <w:tcW w:type="dxa" w:w="1600"/>
            <w:shd w:fill="F2F4F7" w:val="clear"/>
            <w:vAlign w:val="center"/>
          </w:tcPr>
          <w:p>
            <w:pPr>
              <w:spacing w:after="80" w:before="80"/>
            </w:pPr>
            <w:r>
              <w:rPr>
                <w:color w:val="1A1A2E"/>
                <w:sz w:val="18"/>
                <w:szCs w:val="18"/>
              </w:rPr>
              <w:t xml:space="preserve">Months 2–3</w:t>
            </w:r>
          </w:p>
        </w:tc>
        <w:tc>
          <w:tcPr>
            <w:tcW w:type="dxa" w:w="3600"/>
            <w:shd w:fill="F2F4F7" w:val="clear"/>
            <w:vAlign w:val="center"/>
          </w:tcPr>
          <w:p>
            <w:pPr>
              <w:spacing w:after="80" w:before="80"/>
            </w:pPr>
            <w:r>
              <w:rPr>
                <w:color w:val="1A1A2E"/>
                <w:sz w:val="18"/>
                <w:szCs w:val="18"/>
              </w:rPr>
              <w:t xml:space="preserve">Run first defect query at 90 days, add revert rate tracking</w:t>
            </w:r>
          </w:p>
        </w:tc>
        <w:tc>
          <w:tcPr>
            <w:tcW w:type="dxa" w:w="2760"/>
            <w:shd w:fill="F2F4F7" w:val="clear"/>
            <w:vAlign w:val="center"/>
          </w:tcPr>
          <w:p>
            <w:pPr>
              <w:spacing w:after="80" w:before="80"/>
            </w:pPr>
            <w:r>
              <w:rPr>
                <w:color w:val="1A1A2E"/>
                <w:sz w:val="18"/>
                <w:szCs w:val="18"/>
              </w:rPr>
              <w:t xml:space="preserve">3.1, 3.2, 3.8, 3.10</w:t>
            </w:r>
          </w:p>
        </w:tc>
      </w:tr>
      <w:tr>
        <w:tc>
          <w:tcPr>
            <w:tcW w:type="dxa" w:w="1400"/>
            <w:shd w:fill="FFFFFF" w:val="clear"/>
            <w:vAlign w:val="center"/>
          </w:tcPr>
          <w:p>
            <w:pPr>
              <w:spacing w:after="80" w:before="80"/>
            </w:pPr>
            <w:r>
              <w:rPr>
                <w:color w:val="1A1A2E"/>
                <w:sz w:val="18"/>
                <w:szCs w:val="18"/>
              </w:rPr>
              <w:t xml:space="preserve">3 — Optimise</w:t>
            </w:r>
          </w:p>
        </w:tc>
        <w:tc>
          <w:tcPr>
            <w:tcW w:type="dxa" w:w="1600"/>
            <w:shd w:fill="FFFFFF" w:val="clear"/>
            <w:vAlign w:val="center"/>
          </w:tcPr>
          <w:p>
            <w:pPr>
              <w:spacing w:after="80" w:before="80"/>
            </w:pPr>
            <w:r>
              <w:rPr>
                <w:color w:val="1A1A2E"/>
                <w:sz w:val="18"/>
                <w:szCs w:val="18"/>
              </w:rPr>
              <w:t xml:space="preserve">Months 4–6</w:t>
            </w:r>
          </w:p>
        </w:tc>
        <w:tc>
          <w:tcPr>
            <w:tcW w:type="dxa" w:w="3600"/>
            <w:shd w:fill="FFFFFF" w:val="clear"/>
            <w:vAlign w:val="center"/>
          </w:tcPr>
          <w:p>
            <w:pPr>
              <w:spacing w:after="80" w:before="80"/>
            </w:pPr>
            <w:r>
              <w:rPr>
                <w:color w:val="1A1A2E"/>
                <w:sz w:val="18"/>
                <w:szCs w:val="18"/>
              </w:rPr>
              <w:t xml:space="preserve">Add cognitive load survey, calculate meta-metric</w:t>
            </w:r>
          </w:p>
        </w:tc>
        <w:tc>
          <w:tcPr>
            <w:tcW w:type="dxa" w:w="2760"/>
            <w:shd w:fill="FFFFFF" w:val="clear"/>
            <w:vAlign w:val="center"/>
          </w:tcPr>
          <w:p>
            <w:pPr>
              <w:spacing w:after="80" w:before="80"/>
            </w:pPr>
            <w:r>
              <w:rPr>
                <w:color w:val="1A1A2E"/>
                <w:sz w:val="18"/>
                <w:szCs w:val="18"/>
              </w:rPr>
              <w:t xml:space="preserve">All metrics + meta-metric</w:t>
            </w:r>
          </w:p>
        </w:tc>
      </w:tr>
    </w:tbl>
    <w:p>
      <w:pPr>
        <w:pBdr>
          <w:bottom w:val="single" w:color="D0D5DD" w:sz="6"/>
        </w:pBdr>
        <w:spacing w:after="160" w:before="160"/>
      </w:pPr>
      <w:r>
        <w:t xml:space="preserve"/>
      </w:r>
    </w:p>
    <w:p>
      <w:pPr>
        <w:pStyle w:val="Heading1"/>
        <w:spacing w:after="120" w:before="360"/>
        <w:rPr>
          <w:b/>
          <w:bCs/>
          <w:color w:val="1E3A5F"/>
          <w:sz w:val="28"/>
          <w:szCs w:val="28"/>
        </w:rPr>
      </w:pPr>
      <w:r>
        <w:t xml:space="preserve">8. Summary</w:t>
      </w:r>
    </w:p>
    <w:p>
      <w:pPr>
        <w:spacing w:after="100" w:before="60"/>
      </w:pPr>
      <w:r>
        <w:rPr>
          <w:color w:val="1A1A2E"/>
          <w:sz w:val="20"/>
          <w:szCs w:val="20"/>
        </w:rPr>
        <w:t xml:space="preserve">This framework provides a complete, first-principles-grounded view of AI coding agent success. The twelve metrics cover correctness, efficiency, and safety — the three fundamental requirements of any tool that claims to help engineers write better software faster.</w:t>
      </w:r>
    </w:p>
    <w:p>
      <w:pPr>
        <w:spacing w:after="0" w:before="60"/>
      </w:pPr>
      <w:r>
        <w:t xml:space="preserve"/>
      </w:r>
    </w:p>
    <w:p>
      <w:pPr>
        <w:spacing w:after="100" w:before="60"/>
      </w:pPr>
      <w:r>
        <w:rPr>
          <w:color w:val="1A1A2E"/>
          <w:sz w:val="20"/>
          <w:szCs w:val="20"/>
        </w:rPr>
        <w:t xml:space="preserve">The practical recommendation is to start with the four-step minimum viable setup in Section 6.1, run it for one quarter as a baseline, and layer in additional metrics as the measurement practice matures. A single quarter of data before agent adoption and one quarter after is sufficient to produce a statistically meaningful before/after comparison.</w:t>
      </w:r>
    </w:p>
    <w:p>
      <w:pPr>
        <w:spacing w:after="0" w:before="60"/>
      </w:pPr>
      <w:r>
        <w:t xml:space="preserve"/>
      </w:r>
    </w:p>
    <w:p>
      <w:pPr>
        <w:spacing w:after="100" w:before="60"/>
      </w:pPr>
      <w:r>
        <w:rPr>
          <w:color w:val="1A1A2E"/>
          <w:sz w:val="20"/>
          <w:szCs w:val="20"/>
        </w:rPr>
        <w:t xml:space="preserve">Avoid the temptation to report on metrics that are easy to collect but easy to game — particularly raw acceptance rate and lines of code generated. The metrics in this proposal are harder to collect but harder to inflate, which makes them genuinely useful for decision-making.</w:t>
      </w:r>
    </w:p>
    <w:p>
      <w:pPr>
        <w:spacing w:after="0" w:before="200"/>
      </w:pPr>
      <w:r>
        <w:t xml:space="preserve"/>
      </w:r>
    </w:p>
    <w:p>
      <w:pPr>
        <w:pBdr>
          <w:bottom w:val="single" w:color="D0D5DD" w:sz="6"/>
        </w:pBdr>
        <w:spacing w:after="160" w:before="160"/>
      </w:pPr>
      <w:r>
        <w:t xml:space="preserve"/>
      </w:r>
    </w:p>
    <w:p>
      <w:pPr>
        <w:spacing w:after="0" w:before="80"/>
        <w:jc w:val="center"/>
      </w:pPr>
      <w:r>
        <w:rPr>
          <w:i/>
          <w:iCs/>
          <w:color w:val="6B7280"/>
          <w:sz w:val="16"/>
          <w:szCs w:val="16"/>
        </w:rPr>
        <w:t xml:space="preserve">AI Coding Agent Metrics Proposal  ·  Engineering Team  ·  August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rPr>
      <w:rFonts w:ascii="Calibri" w:cs="Calibri" w:eastAsia="Calibri" w:hAnsi="Calibri"/>
      <w:color w:val="1A1A2E"/>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2026-08-20T16:12:20.393Z</dcterms:created>
  <dcterms:modified xsi:type="dcterms:W3CDTF">2026-08-20T16:12:20.415Z</dcterms:modified>
</cp:coreProperties>
</file>

<file path=docProps/custom.xml><?xml version="1.0" encoding="utf-8"?>
<Properties xmlns="http://schemas.openxmlformats.org/officeDocument/2006/custom-properties" xmlns:vt="http://schemas.openxmlformats.org/officeDocument/2006/docPropsVTypes"/>
</file>