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Acme Corp Annual Report 2025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3 expands on market conditions, customer demand and the competitive landscape in plain narrative prose.</w:t>
      </w:r>
    </w:p>
    <w:p>
      <w:pPr>
        <w:pStyle w:val="Heading2"/>
        <w:bidi w:val="0"/>
        <w:jc w:val="left"/>
        <w:rPr/>
      </w:pPr>
      <w:r>
        <w:rPr/>
        <w:t>Financial highlights</w:t>
      </w:r>
    </w:p>
    <w:p>
      <w:pPr>
        <w:pStyle w:val="TextBody"/>
        <w:bidi w:val="0"/>
        <w:spacing w:before="0" w:after="283"/>
        <w:jc w:val="left"/>
        <w:rPr/>
      </w:pPr>
      <w:r>
        <w:rPr/>
        <w:t>Table 1: Revenue by Region (in $ millions)</w:t>
      </w:r>
    </w:p>
    <w:tbl>
      <w:tblPr>
        <w:tblW w:w="32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826"/>
        <w:gridCol w:w="871"/>
      </w:tblGrid>
      <w:tr>
        <w:trPr>
          <w:tblHeader w:val="true"/>
        </w:trPr>
        <w:tc>
          <w:tcPr>
            <w:tcW w:w="153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7" w:type="dxa"/>
            <w:gridSpan w:val="2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</w:tr>
      <w:tr>
        <w:trPr>
          <w:tblHeader w:val="true"/>
        </w:trPr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Region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2025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2024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 America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1,234.5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1,102.0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Europe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845.2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790.4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Asia Pacific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612.8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540.3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Latin America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(12.0)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2,680.5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2,441.2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Table 2: Operating Expenses (in $ millions)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21"/>
        <w:gridCol w:w="1524"/>
        <w:gridCol w:w="1792"/>
      </w:tblGrid>
      <w:tr>
        <w:trPr>
          <w:tblHeader w:val="true"/>
        </w:trPr>
        <w:tc>
          <w:tcPr>
            <w:tcW w:w="632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15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2025</w:t>
            </w:r>
          </w:p>
        </w:tc>
        <w:tc>
          <w:tcPr>
            <w:tcW w:w="17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2024</w:t>
            </w:r>
          </w:p>
        </w:tc>
      </w:tr>
      <w:tr>
        <w:trPr/>
        <w:tc>
          <w:tcPr>
            <w:tcW w:w="632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Research &amp; development</w:t>
            </w:r>
          </w:p>
        </w:tc>
        <w:tc>
          <w:tcPr>
            <w:tcW w:w="1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410.2</w:t>
            </w:r>
          </w:p>
        </w:tc>
        <w:tc>
          <w:tcPr>
            <w:tcW w:w="1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380.9</w:t>
            </w:r>
          </w:p>
        </w:tc>
      </w:tr>
      <w:tr>
        <w:trPr/>
        <w:tc>
          <w:tcPr>
            <w:tcW w:w="632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Sales and marketing</w:t>
            </w:r>
          </w:p>
        </w:tc>
        <w:tc>
          <w:tcPr>
            <w:tcW w:w="1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298.7</w:t>
            </w:r>
          </w:p>
        </w:tc>
        <w:tc>
          <w:tcPr>
            <w:tcW w:w="1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301.1</w:t>
            </w:r>
          </w:p>
        </w:tc>
      </w:tr>
      <w:tr>
        <w:trPr/>
        <w:tc>
          <w:tcPr>
            <w:tcW w:w="632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General and administrative</w:t>
            </w:r>
          </w:p>
        </w:tc>
        <w:tc>
          <w:tcPr>
            <w:tcW w:w="1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120.4</w:t>
            </w:r>
          </w:p>
        </w:tc>
        <w:tc>
          <w:tcPr>
            <w:tcW w:w="1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115.0</w:t>
            </w:r>
            <w:r>
              <w:rPr>
                <w:position w:val="7"/>
                <w:sz w:val="16"/>
              </w:rPr>
              <w:t>a</w:t>
            </w:r>
          </w:p>
        </w:tc>
      </w:tr>
      <w:tr>
        <w:trPr/>
        <w:tc>
          <w:tcPr>
            <w:tcW w:w="632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operating expenses</w:t>
            </w:r>
          </w:p>
        </w:tc>
        <w:tc>
          <w:tcPr>
            <w:tcW w:w="15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829.3</w:t>
            </w:r>
          </w:p>
        </w:tc>
        <w:tc>
          <w:tcPr>
            <w:tcW w:w="17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797.0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(a) Restated for discontinued operations.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3 expands on market conditions, customer demand and the competitive landscape in plain narrative prose.</w:t>
      </w:r>
    </w:p>
    <w:p>
      <w:pPr>
        <w:pStyle w:val="Heading2"/>
        <w:bidi w:val="0"/>
        <w:jc w:val="left"/>
        <w:rPr/>
      </w:pPr>
      <w:r>
        <w:rPr/>
        <w:t>Store network</w:t>
      </w:r>
    </w:p>
    <w:p>
      <w:pPr>
        <w:pStyle w:val="TextBody"/>
        <w:bidi w:val="0"/>
        <w:spacing w:before="0" w:after="283"/>
        <w:jc w:val="left"/>
        <w:rPr/>
      </w:pPr>
      <w:r>
        <w:rPr/>
        <w:t>Table 3: Store Locations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6"/>
        <w:gridCol w:w="2032"/>
        <w:gridCol w:w="1606"/>
        <w:gridCol w:w="3883"/>
      </w:tblGrid>
      <w:tr>
        <w:trPr>
          <w:tblHeader w:val="true"/>
        </w:trPr>
        <w:tc>
          <w:tcPr>
            <w:tcW w:w="211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City</w:t>
            </w:r>
          </w:p>
        </w:tc>
        <w:tc>
          <w:tcPr>
            <w:tcW w:w="20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Country</w:t>
            </w:r>
          </w:p>
        </w:tc>
        <w:tc>
          <w:tcPr>
            <w:tcW w:w="16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Stores</w:t>
            </w:r>
          </w:p>
        </w:tc>
        <w:tc>
          <w:tcPr>
            <w:tcW w:w="38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Floor area (sq ft)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675,000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937,000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561,000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692,000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823,000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447,000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578,000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840,000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971,000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333,000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464,000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595,000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726,000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988,000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481,000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367,000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629,000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891,000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515,000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646,000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777,000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532,000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663,000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925,000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680,000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IN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