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60"/>
      </w:pPr>
      <w:r>
        <w:rPr>
          <w:rFonts w:ascii="Noto Sans KR" w:hAnsi="Noto Sans KR" w:eastAsia="Noto Sans KR"/>
          <w:b/>
          <w:color w:val="E67E22"/>
          <w:sz w:val="20"/>
        </w:rPr>
        <w:t>PROJECT CONCEPT BRIEF</w:t>
      </w:r>
    </w:p>
    <w:p>
      <w:pPr>
        <w:spacing w:after="160"/>
      </w:pPr>
      <w:r>
        <w:rPr>
          <w:rFonts w:ascii="Noto Sans KR" w:hAnsi="Noto Sans KR" w:eastAsia="Noto Sans KR"/>
          <w:b/>
          <w:color w:val="17324D"/>
          <w:sz w:val="56"/>
        </w:rPr>
        <w:t>PRS 공시 투명성 지수</w:t>
      </w:r>
    </w:p>
    <w:p>
      <w:pPr>
        <w:spacing w:after="160"/>
      </w:pPr>
      <w:r>
        <w:rPr>
          <w:rFonts w:ascii="Noto Sans KR" w:hAnsi="Noto Sans KR" w:eastAsia="Noto Sans KR"/>
          <w:b/>
          <w:color w:val="187C85"/>
          <w:sz w:val="34"/>
        </w:rPr>
        <w:t>PRSTI — PRS Transparency Index</w:t>
      </w:r>
    </w:p>
    <w:p>
      <w:pPr>
        <w:spacing w:after="360"/>
        <w:pBdr>
          <w:bottom w:val="single" w:sz="22" w:space="4" w:color="E67E22"/>
        </w:pBdr>
      </w:pPr>
      <w:r>
        <w:rPr>
          <w:rFonts w:ascii="Noto Sans KR" w:hAnsi="Noto Sans KR" w:eastAsia="Noto Sans KR"/>
          <w:color w:val="667085"/>
          <w:sz w:val="25"/>
        </w:rPr>
        <w:t>회계 연구를 정량 평가모형과 자동화 웹 서비스로 확장하는 프로젝트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22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프로젝트 목적</w:t>
            </w:r>
          </w:p>
        </w:tc>
        <w:tc>
          <w:tcPr>
            <w:tcW w:type="dxa" w:w="7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color w:val="1F2937"/>
                <w:sz w:val="19"/>
              </w:rPr>
              <w:t>PRS 발행기업의 공시 투명성을 정량 평가하고 부족한 항목과 개선 방향을 자동 제시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핵심 산출물</w:t>
            </w:r>
          </w:p>
        </w:tc>
        <w:tc>
          <w:tcPr>
            <w:tcW w:type="dxa" w:w="7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color w:val="1F2937"/>
                <w:sz w:val="19"/>
              </w:rPr>
              <w:t>평가지표·규칙 엔진·공시 추출 모듈·웹 대시보드·근거 기반 보고서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권장 MVP</w:t>
            </w:r>
          </w:p>
        </w:tc>
        <w:tc>
          <w:tcPr>
            <w:tcW w:type="dxa" w:w="7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color w:val="1F2937"/>
                <w:sz w:val="19"/>
              </w:rPr>
              <w:t>Python 점수 엔진 + DART 수집 + Streamlit 웹 애플리케이션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작성 기준일</w:t>
            </w:r>
          </w:p>
        </w:tc>
        <w:tc>
          <w:tcPr>
            <w:tcW w:type="dxa" w:w="7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color w:val="1F2937"/>
                <w:sz w:val="19"/>
              </w:rPr>
              <w:t>2026년 7월 20일</w:t>
            </w:r>
          </w:p>
        </w:tc>
      </w:tr>
    </w:tbl>
    <w:p>
      <w:pPr>
        <w:spacing w:after="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5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E67E22"/>
                <w:sz w:val="21"/>
              </w:rPr>
              <w:t>한 문장 정의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1F2937"/>
                <w:sz w:val="21"/>
              </w:rPr>
              <w:t>기업의 PRS 관련 공시를 수집·분석해 투명성을 100점으로 평가하고, 모든 점수에 원문 근거와 판정 이유를 제공하는 설명 가능한 회계·RegTech 서비스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프로젝트 배경과 기회</w:t>
      </w:r>
    </w:p>
    <w:p>
      <w:pPr>
        <w:pStyle w:val="BodyText"/>
      </w:pPr>
      <w:r>
        <w:rPr>
          <w:rFonts w:ascii="Noto Sans KR" w:hAnsi="Noto Sans KR" w:eastAsia="Noto Sans KR"/>
          <w:color w:val="1F2937"/>
        </w:rPr>
        <w:t>기존 PRS 연구에서는 주가수익스와프가 자본조달·현물거래·가격보전 조건이 결합된 복합금융상품임에도 기업별 공시 위치와 표현, 계약조건의 상세 수준이 달라 투자자가 거래의 경제적 실질과 잠재적 현금유출 위험을 비교하기 어렵다는 문제를 확인했다.</w:t>
      </w:r>
    </w:p>
    <w:p>
      <w:pPr>
        <w:pStyle w:val="BodyText"/>
      </w:pPr>
      <w:r>
        <w:rPr>
          <w:rFonts w:ascii="Noto Sans KR" w:hAnsi="Noto Sans KR" w:eastAsia="Noto Sans KR"/>
          <w:color w:val="1F2937"/>
        </w:rPr>
        <w:t>이 프로젝트는 논문에서 제안한 통합 공시 가이드라인을 기계가 읽을 수 있는 평가기준으로 변환하고, DART 공시에서 근거를 추출해 점수와 개선안을 자동 산출하는 것을 목표로 한다.</w:t>
      </w:r>
    </w:p>
    <w:p>
      <w:pPr>
        <w:pStyle w:val="Heading2"/>
      </w:pPr>
      <w:r>
        <w:t>1.1 ARIX 사례에서 가져올 설계 원칙</w:t>
      </w:r>
    </w:p>
    <w:p>
      <w:pPr>
        <w:pStyle w:val="BodyText"/>
      </w:pPr>
      <w:r>
        <w:rPr>
          <w:rFonts w:ascii="Noto Sans KR" w:hAnsi="Noto Sans KR" w:eastAsia="Noto Sans KR"/>
          <w:color w:val="1F2937"/>
        </w:rPr>
        <w:t>전자신문과 삼일PwC가 개발한 ARIX는 기업의 AI 준비 상태를 리더십·기술·데이터·보안·비즈니스 적용의 여러 영역으로 나눠 정량·정성 진단하고, 결과를 투자 우선순위와 실행 로드맵으로 연결한다. PRSTI는 이와 같은 ‘다영역 진단 → 점수화 → 개선 로드맵’ 구조를 PRS 공시에 적용한다.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단일 점수가 아니라 여러 평가영역과 세부 항목으로 진단한다.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정량 점수와 정성적 판정 이유를 함께 제공한다.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진단 결과를 부족한 공시 항목과 개선 권고로 연결한다.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시범 기업에 적용해 기준의 타당성과 구분 능력을 반복 검증한다.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F4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187C85"/>
                <w:sz w:val="21"/>
              </w:rPr>
              <w:t>차별점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1F2937"/>
                <w:sz w:val="21"/>
              </w:rPr>
              <w:t>ARIX가 인터뷰와 현장진단을 포함하는 기업 AX 준비도 평가라면, PRSTI는 공개 공시자료를 기반으로 반복 가능하고 추적 가능한 PRS 공시 투명성 평가를 지향한다.</w:t>
            </w:r>
          </w:p>
        </w:tc>
      </w:tr>
    </w:tbl>
    <w:p>
      <w:pPr>
        <w:spacing w:after="0"/>
      </w:pPr>
    </w:p>
    <w:p>
      <w:pPr>
        <w:pStyle w:val="Heading2"/>
      </w:pPr>
      <w:r>
        <w:t>1.2 해결하려는 핵심 질문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기업의 PRS 거래가 투자자의 판단에 충분할 정도로 식별 가능하게 공시되어 있는가?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계약 구조와 가격보전·정산·재매입 조건이 구체적으로 드러나는가?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회계처리 판단과 부채성·유동성 위험을 공시만으로 이해할 수 있는가?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기업 간 공시 수준을 동일한 기준으로 비교하고 재현할 수 있는가?</w:t>
      </w:r>
    </w:p>
    <w:p>
      <w:pPr>
        <w:pStyle w:val="Heading1"/>
      </w:pPr>
      <w:r>
        <w:t>2. 제품 정의와 사용자 흐름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4050"/>
        <w:gridCol w:w="3820"/>
      </w:tblGrid>
      <w:tr>
        <w:trPr>
          <w:tblHeader w:val="true"/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단계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시스템 동작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사용자에게 보이는 결과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1. 대상 선택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기업명·사업연도·보고서 범위 입력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평가 대상과 기준 버전 표시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2. 공시 수집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DART에서 사업·반기·주요사항보고서 수집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수집 문서 목록과 누락 경고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3. 근거 추출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PRS 관련 문구·주석·표·계약조건 탐색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항목별 원문 근거 후보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4. 점수 계산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루브릭과 가중치로 결정론적 계산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영역점수·총점·신뢰도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5. 검토·보고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사용자 판정 수정 및 보고서 생성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근거 링크·누락 항목·개선안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PRS 공시 투명성 지표 초안</w:t>
      </w:r>
    </w:p>
    <w:p>
      <w:pPr>
        <w:pStyle w:val="BodyText"/>
      </w:pPr>
      <w:r>
        <w:rPr>
          <w:rFonts w:ascii="Noto Sans KR" w:hAnsi="Noto Sans KR" w:eastAsia="Noto Sans KR"/>
          <w:color w:val="1F2937"/>
        </w:rPr>
        <w:t>초기 버전은 5개 평가영역과 100점 체계를 사용한다. 각 영역은 논문의 통합 공시 항목을 투자자의 판단 순서에 맞춰 재구성한 것이다. 가중치는 파일로 분리해 검증 결과에 따라 변경할 수 있게 한다.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220"/>
        <w:gridCol w:w="110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F4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평가영역</w:t>
            </w:r>
          </w:p>
        </w:tc>
        <w:tc>
          <w:tcPr>
            <w:tcW w:type="dxa" w:w="6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F4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주요 평가항목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F4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배점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거래 식별성</w:t>
            </w:r>
          </w:p>
        </w:tc>
        <w:tc>
          <w:tcPr>
            <w:tcW w:type="dxa" w:w="6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PRS 명칭, 계약 목적, 계약 당사자, 공시 위치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계약 구조</w:t>
            </w:r>
          </w:p>
        </w:tc>
        <w:tc>
          <w:tcPr>
            <w:tcW w:type="dxa" w:w="6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거래 규모, 기초자산, 만기, 정산 방식, 셀다운·콜옵션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회계처리 투명성</w:t>
            </w:r>
          </w:p>
        </w:tc>
        <w:tc>
          <w:tcPr>
            <w:tcW w:type="dxa" w:w="6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회계처리 방법, 판단 근거, 부채·자본 분류, 진성매각 판단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위험 정보</w:t>
            </w:r>
          </w:p>
        </w:tc>
        <w:tc>
          <w:tcPr>
            <w:tcW w:type="dxa" w:w="6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가격보전 조건, 신용위험, 유동성 위험, 재매입 의무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정량성과 비교가능성</w:t>
            </w:r>
          </w:p>
        </w:tc>
        <w:tc>
          <w:tcPr>
            <w:tcW w:type="dxa" w:w="6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재무비율 영향, 잠재적 부채, 조달비용, 전기·타사 비교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합계</w:t>
            </w:r>
          </w:p>
        </w:tc>
        <w:tc>
          <w:tcPr>
            <w:tcW w:type="dxa" w:w="6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100</w:t>
            </w:r>
          </w:p>
        </w:tc>
      </w:tr>
    </w:tbl>
    <w:p>
      <w:pPr>
        <w:spacing w:after="0"/>
      </w:pPr>
    </w:p>
    <w:p>
      <w:pPr>
        <w:pStyle w:val="Heading2"/>
      </w:pPr>
      <w:r>
        <w:t>3.1 세부 항목 판정척도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50"/>
        <w:gridCol w:w="4070"/>
      </w:tblGrid>
      <w:tr>
        <w:trPr>
          <w:tblHeader w:val="true"/>
          <w:cantSplit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5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점수</w:t>
            </w:r>
          </w:p>
        </w:tc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5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판정 기준</w:t>
            </w:r>
          </w:p>
        </w:tc>
        <w:tc>
          <w:tcPr>
            <w:tcW w:type="dxa" w:w="40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5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0</w:t>
            </w:r>
          </w:p>
        </w:tc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관련 내용이 없거나 공시에서 찾을 수 없음</w:t>
            </w:r>
          </w:p>
        </w:tc>
        <w:tc>
          <w:tcPr>
            <w:tcW w:type="dxa" w:w="40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정산 방식·재매입 조건 미공시</w:t>
            </w:r>
          </w:p>
        </w:tc>
      </w:tr>
      <w:tr>
        <w:trPr>
          <w:cantSplit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1</w:t>
            </w:r>
          </w:p>
        </w:tc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항목은 언급했지만 투자 판단에 필요한 정보가 불완전함</w:t>
            </w:r>
          </w:p>
        </w:tc>
        <w:tc>
          <w:tcPr>
            <w:tcW w:type="dxa" w:w="40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만기 언급은 있으나 구체적 날짜·금액 없음</w:t>
            </w:r>
          </w:p>
        </w:tc>
      </w:tr>
      <w:tr>
        <w:trPr>
          <w:cantSplit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2</w:t>
            </w:r>
          </w:p>
        </w:tc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금액·조건·판단 근거가 구체적이고 검증 가능하게 공시됨</w:t>
            </w:r>
          </w:p>
        </w:tc>
        <w:tc>
          <w:tcPr>
            <w:tcW w:type="dxa" w:w="40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계약 규모, 기초자산, 정산식과 위험을 함께 제시</w:t>
            </w:r>
          </w:p>
        </w:tc>
      </w:tr>
    </w:tbl>
    <w:p>
      <w:pPr>
        <w:spacing w:after="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2E74B5"/>
                <w:sz w:val="21"/>
              </w:rPr>
              <w:t>계산 원칙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1F2937"/>
                <w:sz w:val="21"/>
              </w:rPr>
              <w:t>영역점수 = (해당 영역 획득점수 ÷ 해당 영역 최대점수) × 영역배점. 총점은 영역점수의 합으로 계산하며, 적용한 지표 버전을 결과에 표시한다.</w:t>
            </w:r>
          </w:p>
        </w:tc>
      </w:tr>
    </w:tbl>
    <w:p>
      <w:pPr>
        <w:spacing w:after="0"/>
      </w:pPr>
    </w:p>
    <w:p>
      <w:pPr>
        <w:pStyle w:val="Heading2"/>
      </w:pPr>
      <w:r>
        <w:t>3.2 등급 표기 제안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100"/>
        <w:gridCol w:w="6720"/>
      </w:tblGrid>
      <w:tr>
        <w:trPr>
          <w:tblHeader w:val="true"/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총점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등급</w:t>
            </w:r>
          </w:p>
        </w:tc>
        <w:tc>
          <w:tcPr>
            <w:tcW w:type="dxa" w:w="6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해석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85–100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A</w:t>
            </w:r>
          </w:p>
        </w:tc>
        <w:tc>
          <w:tcPr>
            <w:tcW w:type="dxa" w:w="6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핵심 계약·회계·위험 정보가 비교 가능하게 공시됨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70–84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B</w:t>
            </w:r>
          </w:p>
        </w:tc>
        <w:tc>
          <w:tcPr>
            <w:tcW w:type="dxa" w:w="6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중요 항목은 확인되지만 일부 조건·정량정보가 부족함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50–69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C</w:t>
            </w:r>
          </w:p>
        </w:tc>
        <w:tc>
          <w:tcPr>
            <w:tcW w:type="dxa" w:w="6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거래 존재는 식별되나 투자 판단을 위한 세부정보가 제한됨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0–49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D</w:t>
            </w:r>
          </w:p>
        </w:tc>
        <w:tc>
          <w:tcPr>
            <w:tcW w:type="dxa" w:w="6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공시가 분산되거나 핵심 계약·위험 정보를 확인하기 어려움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KR" w:hAnsi="Noto Sans KR" w:eastAsia="Noto Sans KR"/>
          <w:color w:val="1F2937"/>
        </w:rPr>
        <w:t>등급 경계는 시범 기업 점수분포와 전문가 검토 후 확정한다. 초기 화면에서는 총점보다 영역별 근거와 누락 항목을 더 강조한다.</w:t>
      </w:r>
    </w:p>
    <w:p>
      <w:pPr>
        <w:pStyle w:val="Heading1"/>
      </w:pPr>
      <w:r>
        <w:t>4. 기술 설계 원칙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5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E67E22"/>
                <w:sz w:val="21"/>
              </w:rPr>
              <w:t>핵심 원칙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1F2937"/>
                <w:sz w:val="21"/>
              </w:rPr>
              <w:t>AI가 최종 점수를 자의적으로 정하지 않는다. AI는 근거 추출과 판정 후보 제시에 사용하고, 최종 계산은 버전 관리되는 규칙 엔진이 수행한다.</w:t>
            </w:r>
          </w:p>
        </w:tc>
      </w:tr>
    </w:tbl>
    <w:p>
      <w:pPr>
        <w:spacing w:after="0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20"/>
        <w:gridCol w:w="3900"/>
      </w:tblGrid>
      <w:tr>
        <w:trPr>
          <w:tblHeader w:val="true"/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구성요소</w:t>
            </w:r>
          </w:p>
        </w:tc>
        <w:tc>
          <w:tcPr>
            <w:tcW w:type="dxa" w:w="36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책임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통제장치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AI 추출기</w:t>
            </w:r>
          </w:p>
        </w:tc>
        <w:tc>
          <w:tcPr>
            <w:tcW w:type="dxa" w:w="36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문서에서 관련 문장·표·계약조건을 찾아 구조화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근거 원문·문서명·공시일·위치 필수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규칙 엔진</w:t>
            </w:r>
          </w:p>
        </w:tc>
        <w:tc>
          <w:tcPr>
            <w:tcW w:type="dxa" w:w="36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rubric.yaml 기준으로 점수와 등급 계산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같은 입력은 항상 같은 결과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사용자 검토</w:t>
            </w:r>
          </w:p>
        </w:tc>
        <w:tc>
          <w:tcPr>
            <w:tcW w:type="dxa" w:w="36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애매한 근거와 판정값을 승인·수정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변경자·변경 전후·사유 기록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보고 모듈</w:t>
            </w:r>
          </w:p>
        </w:tc>
        <w:tc>
          <w:tcPr>
            <w:tcW w:type="dxa" w:w="36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영역점수·근거·누락 항목·개선안을 출력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지표 버전·데이터 기준일 표시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권장 개발 로드맵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900"/>
        <w:gridCol w:w="3470"/>
      </w:tblGrid>
      <w:tr>
        <w:trPr>
          <w:tblHeader w:val="true"/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F4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단계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F4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핵심 작업</w:t>
            </w:r>
          </w:p>
        </w:tc>
        <w:tc>
          <w:tcPr>
            <w:tcW w:type="dxa" w:w="34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F4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1단계 · 지표 검증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논문 가이드라인을 평가표로 변환하고 기존 사례기업을 수작업 채점</w:t>
            </w:r>
          </w:p>
        </w:tc>
        <w:tc>
          <w:tcPr>
            <w:tcW w:type="dxa" w:w="34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scoring-methodology.md, rubric.yaml, 기준기업 점수표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2단계 · 점수 엔진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입력값으로 영역점수·총점·누락 항목을 계산하는 Python 패키지 구현</w:t>
            </w:r>
          </w:p>
        </w:tc>
        <w:tc>
          <w:tcPr>
            <w:tcW w:type="dxa" w:w="34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scoring 모듈, 단위 테스트, 결과 JSON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3단계 · DART 수집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보고서 목록과 원문을 수집하고 PRS 관련 문단·표를 추출</w:t>
            </w:r>
          </w:p>
        </w:tc>
        <w:tc>
          <w:tcPr>
            <w:tcW w:type="dxa" w:w="34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수집기, 키워드 사전, 원문 근거 저장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4단계 · AI 보조 판정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항목별 근거·후보점수·신뢰도·이유를 구조화된 JSON으로 생성</w:t>
            </w:r>
          </w:p>
        </w:tc>
        <w:tc>
          <w:tcPr>
            <w:tcW w:type="dxa" w:w="34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추출 프롬프트, JSON 스키마, 평가셋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5단계 · 웹 MVP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기업 선택부터 점수·근거·개선안까지 한 화면에서 제공</w:t>
            </w:r>
          </w:p>
        </w:tc>
        <w:tc>
          <w:tcPr>
            <w:tcW w:type="dxa" w:w="34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Streamlit 앱, 대시보드, 보고서 다운로드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6단계 · 고도화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다기업 비교, 사용자 검토, 이력관리, 자동 업데이트</w:t>
            </w:r>
          </w:p>
        </w:tc>
        <w:tc>
          <w:tcPr>
            <w:tcW w:type="dxa" w:w="34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FastAPI·PostgreSQL·Next.js 전환 검토</w:t>
            </w:r>
          </w:p>
        </w:tc>
      </w:tr>
    </w:tbl>
    <w:p>
      <w:pPr>
        <w:spacing w:after="0"/>
      </w:pPr>
    </w:p>
    <w:p>
      <w:pPr>
        <w:pStyle w:val="Heading2"/>
      </w:pPr>
      <w:r>
        <w:t>5.1 MVP 범위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분석 대상은 논문에서 다룬 대표 기업 3~5곳과 하나의 기준연도로 제한한다.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사용자가 기업을 선택하거나 공시 파일을 업로드하면 관련 근거 후보를 표시한다.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각 항목의 판정값을 사람이 수정할 수 있고 총점이 즉시 재계산된다.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총점보다 영역별 점수·원문 근거·누락 공시·개선 권고를 중심으로 보여준다.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결과를 JSON과 PDF 또는 Excel 형식으로 내보낼 수 있게 한다.</w:t>
      </w:r>
    </w:p>
    <w:p>
      <w:pPr>
        <w:pStyle w:val="Heading2"/>
      </w:pPr>
      <w:r>
        <w:t>5.2 MVP 이후 권장 기술 스택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220"/>
      </w:tblGrid>
      <w:tr>
        <w:trPr>
          <w:tblHeader w:val="true"/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영역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MVP</w:t>
            </w:r>
          </w:p>
        </w:tc>
        <w:tc>
          <w:tcPr>
            <w:tcW w:type="dxa" w:w="4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고도화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화면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Streamlit</w:t>
            </w:r>
          </w:p>
        </w:tc>
        <w:tc>
          <w:tcPr>
            <w:tcW w:type="dxa" w:w="4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Next.js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API·분석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Python</w:t>
            </w:r>
          </w:p>
        </w:tc>
        <w:tc>
          <w:tcPr>
            <w:tcW w:type="dxa" w:w="4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FastAPI + Python 패키지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데이터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SQLite·JSON</w:t>
            </w:r>
          </w:p>
        </w:tc>
        <w:tc>
          <w:tcPr>
            <w:tcW w:type="dxa" w:w="4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PostgreSQL + 객체 저장소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문서 수집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DART Open API</w:t>
            </w:r>
          </w:p>
        </w:tc>
        <w:tc>
          <w:tcPr>
            <w:tcW w:type="dxa" w:w="4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스케줄 수집·변경 감지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AI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구조화된 추출용 LLM</w:t>
            </w:r>
          </w:p>
        </w:tc>
        <w:tc>
          <w:tcPr>
            <w:tcW w:type="dxa" w:w="4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평가셋·다중모델 검증·비용통제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배포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Render 또는 Streamlit Community Cloud</w:t>
            </w:r>
          </w:p>
        </w:tc>
        <w:tc>
          <w:tcPr>
            <w:tcW w:type="dxa" w:w="4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Vercel + API 서버</w:t>
            </w:r>
          </w:p>
        </w:tc>
      </w:tr>
    </w:tbl>
    <w:p>
      <w:pPr>
        <w:spacing w:after="0"/>
      </w:pPr>
    </w:p>
    <w:p>
      <w:pPr>
        <w:pStyle w:val="Heading1"/>
      </w:pPr>
      <w:r>
        <w:t>6. 프로젝트 저장소 구조</w:t>
      </w:r>
    </w:p>
    <w:p>
      <w:pPr>
        <w:ind w:left="259" w:right="259"/>
        <w:shd w:fill="F7F8FA"/>
      </w:pPr>
      <w:r>
        <w:rPr>
          <w:rFonts w:ascii="DejaVu Sans Mono" w:hAnsi="DejaVu Sans Mono" w:eastAsia="DejaVu Sans Mono"/>
          <w:color w:val="17324D"/>
          <w:sz w:val="17"/>
        </w:rPr>
        <w:t>prs-transparency-index/</w:t>
        <w:br/>
        <w:t>├── CLAUDE.md</w:t>
        <w:br/>
        <w:t>├── README.md</w:t>
        <w:br/>
        <w:t>├── pyproject.toml</w:t>
        <w:br/>
        <w:t>├── .env.example</w:t>
        <w:br/>
        <w:t>├── docs/</w:t>
        <w:br/>
        <w:t>│   ├── project-charter.md</w:t>
        <w:br/>
        <w:t>│   ├── accounting-definition.md</w:t>
        <w:br/>
        <w:t>│   ├── scoring-methodology.md</w:t>
        <w:br/>
        <w:t>│   ├── data-source-policy.md</w:t>
        <w:br/>
        <w:t>│   └── validation-plan.md</w:t>
        <w:br/>
        <w:t>├── rubric/</w:t>
        <w:br/>
        <w:t>│   ├── rubric.yaml</w:t>
        <w:br/>
        <w:t>│   └── improvement-guides.yaml</w:t>
        <w:br/>
        <w:t>├── src/</w:t>
        <w:br/>
        <w:t>│   ├── dart/</w:t>
        <w:br/>
        <w:t>│   ├── extraction/</w:t>
        <w:br/>
        <w:t>│   ├── scoring/</w:t>
        <w:br/>
        <w:t>│   ├── reporting/</w:t>
        <w:br/>
        <w:t>│   └── models/</w:t>
        <w:br/>
        <w:t>├── app/streamlit_app.py</w:t>
        <w:br/>
        <w:t>├── tests/</w:t>
        <w:br/>
        <w:t>│   ├── fixtures/</w:t>
        <w:br/>
        <w:t>│   ├── test_scoring.py</w:t>
        <w:br/>
        <w:t>│   └── test_extraction.py</w:t>
        <w:br/>
        <w:t>└── data/{raw,processed,samples}/</w:t>
      </w:r>
    </w:p>
    <w:p>
      <w:r>
        <w:br w:type="page"/>
      </w:r>
    </w:p>
    <w:p>
      <w:pPr>
        <w:pStyle w:val="Heading1"/>
      </w:pPr>
      <w:r>
        <w:t>7. CLAUDE.md 핵심 운영 원칙</w:t>
      </w:r>
    </w:p>
    <w:p>
      <w:pPr>
        <w:pStyle w:val="BodyText"/>
      </w:pPr>
      <w:r>
        <w:rPr>
          <w:rFonts w:ascii="Noto Sans KR" w:hAnsi="Noto Sans KR" w:eastAsia="Noto Sans KR"/>
          <w:color w:val="1F2937"/>
        </w:rPr>
        <w:t>Claude VSCode와 하네스가 개발 과정에서 회계적 정확성, 재현성, 근거 추적성을 유지하도록 저장소 루트의 CLAUDE.md에 다음 원칙을 둔다.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LLM이 최종 점수를 자의적으로 계산하지 않는다.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점수는 rubric.yaml의 규칙과 버전으로만 계산한다.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모든 판정에는 문서명, 공시일자, 원문 근거와 위치를 저장한다.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근거가 없으면 추정하지 않고 not_found로 처리한다.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실제 공시, 샘플 데이터와 가상 데이터를 명확히 구분한다.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회계처리의 적정성에 관한 감사의견처럼 표현하지 않는다.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지표 버전과 적용한 평가기준을 모든 결과에 표시한다.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기능 변경 시 단위 테스트와 대표 기업 회귀 테스트를 실행한다.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AI 판정값은 suggested_score로 저장하고 확정점수와 분리한다.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사용자 수정은 변경 전후 값과 사유를 보존한다.</w:t>
      </w:r>
    </w:p>
    <w:p>
      <w:pPr>
        <w:pStyle w:val="Heading1"/>
      </w:pPr>
      <w:r>
        <w:t>8. 검증 계획과 위험관리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380"/>
        <w:gridCol w:w="4190"/>
      </w:tblGrid>
      <w:tr>
        <w:trPr>
          <w:tblHeader w:val="true"/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5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위험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5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왜 중요한가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5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대응 방안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공시 표현의 다양성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동일 조건도 기업마다 다른 명칭·위치로 공시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동의어 사전, 문맥 검색, 수동 검토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AI 환각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없는 계약조건이나 판단 근거를 생성할 수 있음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원문 인용 필수, 근거 없는 판정 금지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지표 자의성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가중치가 연구자의 주관으로 보일 수 있음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전문가 검토, 민감도 분석, 버전 공개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초기 데이터 부족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PRS 사례 수가 제한적이고 분포가 편향될 수 있음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사례 확대 전 MVP 범위와 한계 명시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법적 오해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점수가 감사의견·투자판단으로 오인될 수 있음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연구·정보제공 목적과 면책 문구 표시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재현성 저하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공시 개정과 모델 변경으로 결과가 달라질 수 있음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원문 스냅샷, 기준일, 모델·루브릭 버전 저장</w:t>
            </w:r>
          </w:p>
        </w:tc>
      </w:tr>
    </w:tbl>
    <w:p>
      <w:pPr>
        <w:spacing w:after="0"/>
      </w:pPr>
    </w:p>
    <w:p>
      <w:pPr>
        <w:pStyle w:val="Heading2"/>
      </w:pPr>
      <w:r>
        <w:t>8.1 지표 타당성 검증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내용타당성: 논문의 공시 가이드라인과 세부 항목이 빠짐없이 연결되는지 확인한다.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판정일치도: 동일 공시를 두 명 이상이 평가해 항목별 일치도를 비교한다.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민감도 분석: 가중치 변화가 기업 순위와 등급에 미치는 영향을 점검한다.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회귀 테스트: 루브릭 또는 추출기 변경 후 기준기업 점수가 예상 범위에서 유지되는지 확인한다.</w:t>
      </w:r>
    </w:p>
    <w:p>
      <w:pPr>
        <w:pStyle w:val="ListBullet"/>
      </w:pPr>
      <w:r>
        <w:rPr>
          <w:rFonts w:ascii="Noto Sans KR" w:hAnsi="Noto Sans KR" w:eastAsia="Noto Sans KR"/>
          <w:color w:val="1F2937"/>
        </w:rPr>
        <w:t>오류 분석: AI가 놓친 근거와 잘못 제시한 근거를 유형별로 기록해 검색·프롬프트를 개선한다.</w:t>
      </w:r>
    </w:p>
    <w:p>
      <w:pPr>
        <w:pStyle w:val="Heading1"/>
      </w:pPr>
      <w:r>
        <w:t>9. 포트폴리오 가치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170"/>
      </w:tblGrid>
      <w:tr>
        <w:trPr>
          <w:tblHeader w:val="true"/>
          <w:cantSplit/>
        </w:trP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역량</w:t>
            </w:r>
          </w:p>
        </w:tc>
        <w:tc>
          <w:tcPr>
            <w:tcW w:type="dxa" w:w="7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17324D"/>
                <w:sz w:val="19"/>
              </w:rPr>
              <w:t>프로젝트에서 보여주는 증거</w:t>
            </w:r>
          </w:p>
        </w:tc>
      </w:tr>
      <w:tr>
        <w:trPr>
          <w:cantSplit/>
        </w:trP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회계 도메인 전문성</w:t>
            </w:r>
          </w:p>
        </w:tc>
        <w:tc>
          <w:tcPr>
            <w:tcW w:type="dxa" w:w="7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PRS 회계·공시 연구를 평가 가능한 데이터 구조로 전환</w:t>
            </w:r>
          </w:p>
        </w:tc>
      </w:tr>
      <w:tr>
        <w:trPr>
          <w:cantSplit/>
        </w:trP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데이터 엔지니어링</w:t>
            </w:r>
          </w:p>
        </w:tc>
        <w:tc>
          <w:tcPr>
            <w:tcW w:type="dxa" w:w="7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DART 공시 수집, 문서 파싱, 근거와 메타데이터 저장</w:t>
            </w:r>
          </w:p>
        </w:tc>
      </w:tr>
      <w:tr>
        <w:trPr>
          <w:cantSplit/>
        </w:trP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AI 활용</w:t>
            </w:r>
          </w:p>
        </w:tc>
        <w:tc>
          <w:tcPr>
            <w:tcW w:type="dxa" w:w="7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비정형 공시에서 구조화된 근거를 추출하고 신뢰도를 관리</w:t>
            </w:r>
          </w:p>
        </w:tc>
      </w:tr>
      <w:tr>
        <w:trPr>
          <w:cantSplit/>
        </w:trP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알고리즘 설계</w:t>
            </w:r>
          </w:p>
        </w:tc>
        <w:tc>
          <w:tcPr>
            <w:tcW w:type="dxa" w:w="7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설명 가능한 루브릭, 가중치, 결정론적 계산 엔진 구현</w:t>
            </w:r>
          </w:p>
        </w:tc>
      </w:tr>
      <w:tr>
        <w:trPr>
          <w:cantSplit/>
        </w:trP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제품 개발</w:t>
            </w:r>
          </w:p>
        </w:tc>
        <w:tc>
          <w:tcPr>
            <w:tcW w:type="dxa" w:w="7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사용자 검토와 보고서까지 포함한 웹 서비스 구축</w:t>
            </w:r>
          </w:p>
        </w:tc>
      </w:tr>
      <w:tr>
        <w:trPr>
          <w:cantSplit/>
        </w:trP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통제·검증</w:t>
            </w:r>
          </w:p>
        </w:tc>
        <w:tc>
          <w:tcPr>
            <w:tcW w:type="dxa" w:w="7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color w:val="1F2937"/>
                <w:sz w:val="18"/>
              </w:rPr>
              <w:t>버전관리, 회귀 테스트, 감사 추적성과 한계 공시</w:t>
            </w:r>
          </w:p>
        </w:tc>
      </w:tr>
    </w:tbl>
    <w:p>
      <w:pPr>
        <w:spacing w:after="0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  <w:cantSplit/>
        </w:trPr>
        <w:tc>
          <w:tcPr>
            <w:tcW w:type="dxa" w:w="9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F4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187C85"/>
                <w:sz w:val="21"/>
              </w:rPr>
              <w:t>포트폴리오 핵심 문장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1F2937"/>
                <w:sz w:val="21"/>
              </w:rPr>
              <w:t>회계 논문에서 제안한 PRS 통합 공시 가이드라인을 정량 평가모형으로 구조화하고, DART 공시의 원문 근거를 기반으로 투명성 점수와 개선안을 자동 산출하는 설명 가능한 RegTech 웹 서비스를 개발했다.</w:t>
            </w:r>
          </w:p>
        </w:tc>
      </w:tr>
    </w:tbl>
    <w:p>
      <w:pPr>
        <w:spacing w:after="0"/>
      </w:pPr>
    </w:p>
    <w:p>
      <w:pPr>
        <w:pStyle w:val="Heading1"/>
      </w:pPr>
      <w:r>
        <w:t>10. 바로 시작할 작업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논문의 통합 공시 항목을 전부 추출해 scoring-methodology.md의 후보 목록으로 만든다.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각 항목에 0·1·2점 판정기준과 인정 가능한 원문 예시를 작성한다.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논문 사례기업 중 3곳을 선정해 수작업 기준점수를 만든다.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rubric.yaml 스키마와 Python 점수 엔진의 입출력 JSON을 확정한다.</w:t>
      </w:r>
    </w:p>
    <w:p>
      <w:pPr>
        <w:pStyle w:val="ListNumber"/>
      </w:pPr>
      <w:r>
        <w:rPr>
          <w:rFonts w:ascii="Noto Sans KR" w:hAnsi="Noto Sans KR" w:eastAsia="Noto Sans KR"/>
          <w:color w:val="1F2937"/>
        </w:rPr>
        <w:t>점수 엔진 단위 테스트를 통과시킨 뒤 DART 수집과 AI 추출로 확장한다.</w:t>
      </w:r>
    </w:p>
    <w:p>
      <w:pPr>
        <w:pStyle w:val="Heading1"/>
      </w:pPr>
      <w:r>
        <w:t>참고자료</w:t>
      </w:r>
    </w:p>
    <w:p>
      <w:pPr>
        <w:pStyle w:val="BodyText"/>
      </w:pPr>
      <w:r>
        <w:rPr>
          <w:rFonts w:ascii="Noto Sans KR" w:hAnsi="Noto Sans KR" w:eastAsia="Noto Sans KR"/>
          <w:b/>
          <w:color w:val="1F2937"/>
        </w:rPr>
        <w:t xml:space="preserve">전자신문·삼일PwC ARIX 소개: </w:t>
      </w:r>
      <w:hyperlink r:id="rId11">
        <w:r>
          <w:rPr>
            <w:color w:val="2E74B5"/>
            <w:u w:val="single"/>
            <w:rFonts w:eastAsia="Noto Sans KR" w:ascii="Noto Sans KR" w:hAnsi="Noto Sans KR"/>
          </w:rPr>
          <w:t>“우리 회사 AX 점수는?”…AI 준비지수 ARIX 개발</w:t>
        </w:r>
      </w:hyperlink>
    </w:p>
    <w:p>
      <w:pPr>
        <w:pStyle w:val="BodyText"/>
      </w:pPr>
      <w:r>
        <w:rPr>
          <w:rFonts w:ascii="Noto Sans KR" w:hAnsi="Noto Sans KR" w:eastAsia="Noto Sans KR"/>
          <w:color w:val="1F2937"/>
        </w:rPr>
        <w:t>본 문서는 초기 제품기획 초안이다. 지표의 최종 항목·배점·등급기준은 논문 원문 재검토, 사례기업 적용, 회계 전문가 검토와 민감도 분석을 거쳐 확정한다.</w:t>
      </w:r>
    </w:p>
    <w:sectPr>
      <w:headerReference w:type="default" r:id="rId9"/>
      <w:footerReference w:type="default" r:id="rId10"/>
      <w:pgSz w:w="12240" w:h="15840"/>
      <w:pgMar w:top="1224" w:right="1296" w:bottom="1152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/>
        <w:color w:val="667085"/>
        <w:sz w:val="17"/>
      </w:rPr>
      <w:t>프로젝트 기획 초안  ·  2026.07.20</w:t>
    </w:r>
    <w:r>
      <w:rPr>
        <w:rFonts w:ascii="Noto Sans KR" w:hAnsi="Noto Sans KR" w:eastAsia="Noto Sans KR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D0D5DD"/>
      </w:pBdr>
    </w:pPr>
    <w:r>
      <w:rPr>
        <w:rFonts w:ascii="Noto Sans KR" w:hAnsi="Noto Sans KR" w:eastAsia="Noto Sans KR"/>
        <w:b/>
        <w:color w:val="667085"/>
        <w:sz w:val="17"/>
      </w:rPr>
      <w:t>PRSTI  |  PRS Transparency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KR" w:hAnsi="Noto Sans KR" w:eastAsia="Noto Sans KR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87C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Noto Sans KR" w:hAnsi="Noto Sans KR" w:eastAsia="Noto Sans KR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Noto Sans KR" w:hAnsi="Noto Sans KR" w:eastAsia="Noto Sans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rFonts w:ascii="Noto Sans KR" w:hAnsi="Noto Sans KR" w:eastAsia="Noto Sans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Noto Sans KR" w:hAnsi="Noto Sans KR" w:eastAsia="Noto Sans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tnews.com/202604200002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PRS 공시 투명성 지수(PRSTI) 프로젝트 기획 초안</dc:title>
  <dc:subject>PRS 공시 가이드라인 기반 자동 평가 웹 서비스</dc:subject>
  <dc:creator/>
  <cp:keywords>PRS, 공시 투명성, RegTech, DART, AI,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