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fc606f95857086b9049179116788b20b941b80"/>
    <w:p>
      <w:pPr>
        <w:pStyle w:val="Heading1"/>
      </w:pPr>
      <w:r>
        <w:t xml:space="preserve">Итоговый отчёт по лабораторной работе «Transfer Learning»</w:t>
      </w:r>
    </w:p>
    <w:p>
      <w:pPr>
        <w:pStyle w:val="FirstParagraph"/>
      </w:pPr>
      <w:r>
        <w:t xml:space="preserve">Студент: Тимофеев Роман Сергеевич, группа 131. Дата: 14.10.2026.</w:t>
      </w:r>
    </w:p>
    <w:bookmarkStart w:id="21" w:name="цель-и-подготовка-данных"/>
    <w:p>
      <w:pPr>
        <w:pStyle w:val="Heading2"/>
      </w:pPr>
      <w:r>
        <w:t xml:space="preserve">Цель и подготовка данных</w:t>
      </w:r>
    </w:p>
    <w:p>
      <w:pPr>
        <w:pStyle w:val="FirstParagraph"/>
      </w:pPr>
      <w:r>
        <w:t xml:space="preserve">Классификация изображений птиц, кошек и собак с transfer learning. Для веб-этапа собраны 300 качественных фотографий: 100 на класс; обучение 80 на класс, тест 20 на класс, разделение 80/20. Птицы: CUB-200-2011; кошки и собаки: Sijuade/Cats-Dogs-Birds.</w:t>
      </w:r>
      <w:r>
        <w:t xml:space="preserve"> </w:t>
      </w:r>
      <w:hyperlink r:id="rId20">
        <w:r>
          <w:rPr>
            <w:rStyle w:val="Hyperlink"/>
          </w:rPr>
          <w:t xml:space="preserve">Скачать архив</w:t>
        </w:r>
      </w:hyperlink>
      <w:r>
        <w:t xml:space="preserve">. Самостоятельная модель обучается на отдельном CIFAR-10 (bird/cat/dog): 3600 train, 900 validation, 3000 independent test.</w:t>
      </w:r>
    </w:p>
    <w:bookmarkEnd w:id="21"/>
    <w:bookmarkStart w:id="29" w:name="teachable-machine-google"/>
    <w:p>
      <w:pPr>
        <w:pStyle w:val="Heading2"/>
      </w:pPr>
      <w:r>
        <w:t xml:space="preserve">Teachable Machine (Google)</w:t>
      </w:r>
    </w:p>
    <w:p>
      <w:pPr>
        <w:pStyle w:val="FirstParagraph"/>
      </w:pPr>
      <w:r>
        <w:t xml:space="preserve">Опубликованный обученный проект: https://teachablemachine.withgoogle.com/models/rPbqmrUgK/ . Настройки: 25 эпох, batch 16, learning rate 0.001. Доступность metadata.json, model.json и файла весов проверена GitHub Actions. На 60 отложенных изображениях: Accuracy</w:t>
      </w:r>
      <w:r>
        <w:t xml:space="preserve"> </w:t>
      </w:r>
      <w:r>
        <w:rPr>
          <w:bCs/>
          <w:b/>
        </w:rPr>
        <w:t xml:space="preserve">95.00% (57/60)</w:t>
      </w:r>
      <w:r>
        <w:t xml:space="preserve">, macro Precision</w:t>
      </w:r>
      <w:r>
        <w:t xml:space="preserve"> </w:t>
      </w:r>
      <w:r>
        <w:rPr>
          <w:bCs/>
          <w:b/>
        </w:rPr>
        <w:t xml:space="preserve">95.07%</w:t>
      </w:r>
      <w:r>
        <w:t xml:space="preserve">, macro Recall</w:t>
      </w:r>
      <w:r>
        <w:t xml:space="preserve"> </w:t>
      </w:r>
      <w:r>
        <w:rPr>
          <w:bCs/>
          <w:b/>
        </w:rPr>
        <w:t xml:space="preserve">95.00%</w:t>
      </w:r>
      <w:r>
        <w:t xml:space="preserve">, macro F1</w:t>
      </w:r>
      <w:r>
        <w:t xml:space="preserve"> </w:t>
      </w:r>
      <w:r>
        <w:rPr>
          <w:bCs/>
          <w:b/>
        </w:rPr>
        <w:t xml:space="preserve">95.00%</w:t>
      </w:r>
      <w:r>
        <w:t xml:space="preserve">, log-loss</w:t>
      </w:r>
      <w:r>
        <w:t xml:space="preserve"> </w:t>
      </w:r>
      <w:r>
        <w:rPr>
          <w:bCs/>
          <w:b/>
        </w:rPr>
        <w:t xml:space="preserve">0.09558</w:t>
      </w:r>
      <w:r>
        <w:t xml:space="preserve">. По классам правильно распознаны bird 20/20, cat 18/20, dog 19/20. Матрица ошибок (bird/cat/dog):</w:t>
      </w:r>
      <w:r>
        <w:t xml:space="preserve"> </w:t>
      </w:r>
      <w:r>
        <w:rPr>
          <w:rStyle w:val="VerbatimChar"/>
        </w:rPr>
        <w:t xml:space="preserve">[[20,0,0],[0,18,2],[0,1,19]]</w:t>
      </w:r>
      <w:r>
        <w:t xml:space="preserve">. График и результаты:</w:t>
      </w:r>
      <w:r>
        <w:t xml:space="preserve"> </w:t>
      </w:r>
      <w:hyperlink r:id="rId22">
        <w:r>
          <w:rPr>
            <w:rStyle w:val="Hyperlink"/>
          </w:rPr>
          <w:t xml:space="preserve">матрица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JSON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CSV 60 предсказаний</w:t>
        </w:r>
      </w:hyperlink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Успешный запуск тестирования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4572000"/>
            <wp:effectExtent b="0" l="0" r="0" t="0"/>
            <wp:docPr descr="Матрица ошибок Teachable Machine (60 тестовых фотографий)" title="" id="27" name="Picture"/>
            <a:graphic>
              <a:graphicData uri="http://schemas.openxmlformats.org/drawingml/2006/picture">
                <pic:pic>
                  <pic:nvPicPr>
                    <pic:cNvPr descr="../results/teachable_machine_confusion_matrix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Матрица ошибок Teachable Machine (60 тестовых фотографий)</w:t>
      </w:r>
    </w:p>
    <w:bookmarkEnd w:id="29"/>
    <w:bookmarkStart w:id="39" w:name="Xfae72b731ce86d449318eb51072cdba26b24aab"/>
    <w:p>
      <w:pPr>
        <w:pStyle w:val="Heading2"/>
      </w:pPr>
      <w:r>
        <w:t xml:space="preserve">Собственная MobileNetV2 (ImageNet → CIFAR-10)</w:t>
      </w:r>
    </w:p>
    <w:p>
      <w:pPr>
        <w:pStyle w:val="FirstParagraph"/>
      </w:pPr>
      <w:r>
        <w:t xml:space="preserve">Рассмотрены ResNet50, MobileNetV2, EfficientNet, VGG16; выбрана MobileNetV2 ввиду эффективности на CPU. Архитектура: Frozen MobileNetV2 + GlobalAveragePooling2D + Dense(128,ReLU) + Dropout(0.3) + Dense(3,softmax). Предобработка и аугментация; Adam, LR 0.001, batch 32, 8 эпох, validation 20%. Среда: Python 3.11, TensorFlow 2.19.1, GitHub Actions (CPU). Результаты: train accuracy</w:t>
      </w:r>
      <w:r>
        <w:t xml:space="preserve"> </w:t>
      </w:r>
      <w:r>
        <w:rPr>
          <w:bCs/>
          <w:b/>
        </w:rPr>
        <w:t xml:space="preserve">92.06%</w:t>
      </w:r>
      <w:r>
        <w:t xml:space="preserve">, validation accuracy</w:t>
      </w:r>
      <w:r>
        <w:t xml:space="preserve"> </w:t>
      </w:r>
      <w:r>
        <w:rPr>
          <w:bCs/>
          <w:b/>
        </w:rPr>
        <w:t xml:space="preserve">85.33%</w:t>
      </w:r>
      <w:r>
        <w:t xml:space="preserve">; train loss 0.2004, validation loss 0.3254. На тесте CIFAR-10:</w:t>
      </w:r>
      <w:r>
        <w:t xml:space="preserve"> </w:t>
      </w:r>
      <w:r>
        <w:rPr>
          <w:bCs/>
          <w:b/>
        </w:rPr>
        <w:t xml:space="preserve">Accuracy 86.30%, macro Precision 86.26%, macro Recall 86.30%, macro F1 86.27%</w:t>
      </w:r>
      <w:r>
        <w:t xml:space="preserve">; обучение 69.44 с. Лучший recall — bird 92.20%, худший — cat 80.30%.</w:t>
      </w:r>
      <w:r>
        <w:t xml:space="preserve"> </w:t>
      </w:r>
      <w:hyperlink r:id="rId30">
        <w:r>
          <w:rPr>
            <w:rStyle w:val="Hyperlink"/>
          </w:rPr>
          <w:t xml:space="preserve">H5-модель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матрица ошибок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кривые обучения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метрики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ноутбук</w:t>
        </w:r>
      </w:hyperlink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Успешный запуск обучения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Матрица ошибок MobileNetV2 на тесте CIFAR-10" title="" id="37" name="Picture"/>
            <a:graphic>
              <a:graphicData uri="http://schemas.openxmlformats.org/drawingml/2006/picture">
                <pic:pic>
                  <pic:nvPicPr>
                    <pic:cNvPr descr="../results/confusion_matrix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Матрица ошибок MobileNetV2 на тесте CIFAR-10</w:t>
      </w:r>
    </w:p>
    <w:bookmarkEnd w:id="39"/>
    <w:bookmarkStart w:id="40" w:name="сравнение-и-выводы"/>
    <w:p>
      <w:pPr>
        <w:pStyle w:val="Heading2"/>
      </w:pPr>
      <w:r>
        <w:t xml:space="preserve">Сравнение и выводы</w:t>
      </w:r>
    </w:p>
    <w:p>
      <w:pPr>
        <w:pStyle w:val="FirstParagraph"/>
      </w:pPr>
      <w:r>
        <w:t xml:space="preserve">Teachable Machine проще использовать и предоставляет удобный интерфейс и публичную ссылку. Собственная Python-разработка требует настройки окружения, но позволяет полностью контролировать архитектуру, обучение, метрики и воспроизводимость.</w:t>
      </w:r>
      <w:r>
        <w:t xml:space="preserve"> </w:t>
      </w:r>
      <w:r>
        <w:rPr>
          <w:bCs/>
          <w:b/>
        </w:rPr>
        <w:t xml:space="preserve">95.00% и 86.30% нельзя сравнивать напрямую</w:t>
      </w:r>
      <w:r>
        <w:t xml:space="preserve">, поскольку испытания проведены на принципиально разных датасетах. Оба подхода успешно реализованы и подтверждены настоящими результатами. Отдельные публикации на Google Drive, Yandex Disk и в Yandex Datasphere не подтверждены; эти пункты исходного бланка остаются открытыми.</w:t>
      </w:r>
    </w:p>
    <w:p>
      <w:pPr>
        <w:pStyle w:val="BodyText"/>
      </w:pPr>
      <w:r>
        <w:t xml:space="preserve">Исходники и прочие результаты: https://github.com/mythical-crypto/university-notes 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hyperlink" Id="rId31" Target="../results/confusion_matrix.png" TargetMode="External" /><Relationship Type="http://schemas.openxmlformats.org/officeDocument/2006/relationships/hyperlink" Id="rId20" Target="../results/dataset_100_per_class.zip" TargetMode="External" /><Relationship Type="http://schemas.openxmlformats.org/officeDocument/2006/relationships/hyperlink" Id="rId32" Target="../results/main_learning.png" TargetMode="External" /><Relationship Type="http://schemas.openxmlformats.org/officeDocument/2006/relationships/hyperlink" Id="rId33" Target="../results/metrics.json" TargetMode="External" /><Relationship Type="http://schemas.openxmlformats.org/officeDocument/2006/relationships/hyperlink" Id="rId30" Target="../results/mobilenetv2_cifar3.h5" TargetMode="External" /><Relationship Type="http://schemas.openxmlformats.org/officeDocument/2006/relationships/hyperlink" Id="rId22" Target="../results/teachable_machine_confusion_matrix.png" TargetMode="External" /><Relationship Type="http://schemas.openxmlformats.org/officeDocument/2006/relationships/hyperlink" Id="rId23" Target="../results/teachable_machine_test_metrics.json" TargetMode="External" /><Relationship Type="http://schemas.openxmlformats.org/officeDocument/2006/relationships/hyperlink" Id="rId24" Target="../results/teachable_machine_test_predictions.csv" TargetMode="External" /><Relationship Type="http://schemas.openxmlformats.org/officeDocument/2006/relationships/hyperlink" Id="rId34" Target="../&#1051;&#1072;&#1073;&#1086;&#1088;&#1072;&#1090;&#1086;&#1088;&#1085;&#1072;&#1103;_Transfer_Learning_CIFAR10.ipynb" TargetMode="External" /><Relationship Type="http://schemas.openxmlformats.org/officeDocument/2006/relationships/hyperlink" Id="rId35" Target="https://github.com/mythical-crypto/university-notes/actions/runs/38549153693" TargetMode="External" /><Relationship Type="http://schemas.openxmlformats.org/officeDocument/2006/relationships/hyperlink" Id="rId25" Target="https://github.com/mythical-crypto/university-notes/actions/runs/385756988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results/confusion_matrix.png" TargetMode="External" /><Relationship Type="http://schemas.openxmlformats.org/officeDocument/2006/relationships/hyperlink" Id="rId20" Target="../results/dataset_100_per_class.zip" TargetMode="External" /><Relationship Type="http://schemas.openxmlformats.org/officeDocument/2006/relationships/hyperlink" Id="rId32" Target="../results/main_learning.png" TargetMode="External" /><Relationship Type="http://schemas.openxmlformats.org/officeDocument/2006/relationships/hyperlink" Id="rId33" Target="../results/metrics.json" TargetMode="External" /><Relationship Type="http://schemas.openxmlformats.org/officeDocument/2006/relationships/hyperlink" Id="rId30" Target="../results/mobilenetv2_cifar3.h5" TargetMode="External" /><Relationship Type="http://schemas.openxmlformats.org/officeDocument/2006/relationships/hyperlink" Id="rId22" Target="../results/teachable_machine_confusion_matrix.png" TargetMode="External" /><Relationship Type="http://schemas.openxmlformats.org/officeDocument/2006/relationships/hyperlink" Id="rId23" Target="../results/teachable_machine_test_metrics.json" TargetMode="External" /><Relationship Type="http://schemas.openxmlformats.org/officeDocument/2006/relationships/hyperlink" Id="rId24" Target="../results/teachable_machine_test_predictions.csv" TargetMode="External" /><Relationship Type="http://schemas.openxmlformats.org/officeDocument/2006/relationships/hyperlink" Id="rId34" Target="../&#1051;&#1072;&#1073;&#1086;&#1088;&#1072;&#1090;&#1086;&#1088;&#1085;&#1072;&#1103;_Transfer_Learning_CIFAR10.ipynb" TargetMode="External" /><Relationship Type="http://schemas.openxmlformats.org/officeDocument/2006/relationships/hyperlink" Id="rId35" Target="https://github.com/mythical-crypto/university-notes/actions/runs/38549153693" TargetMode="External" /><Relationship Type="http://schemas.openxmlformats.org/officeDocument/2006/relationships/hyperlink" Id="rId25" Target="https://github.com/mythical-crypto/university-notes/actions/runs/385756988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2026-10-14T14:11:59Z</dcterms:created>
  <dcterms:modified xsi:type="dcterms:W3CDTF">2026-10-14T14:11:59Z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