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Leave, Attendance and Employee Benefits Policy</w:t>
      </w:r>
    </w:p>
    <w:p>
      <w:pPr>
        <w:jc w:val="center"/>
      </w:pPr>
      <w:r>
        <w:rPr>
          <w:sz w:val="18"/>
        </w:rPr>
        <w:t>Version 1.0 | Effective Date: 25 August 2026 | Classification: Internal</w:t>
      </w:r>
    </w:p>
    <w:p>
      <w:pPr>
        <w:pStyle w:val="Heading1"/>
      </w:pPr>
      <w:r>
        <w:t>1. Working Hours</w:t>
      </w:r>
    </w:p>
    <w:p>
      <w:r>
        <w:t>Standard working hours are 9:30 AM to 6:30 PM, Monday to Friday, subject to project requirements and approved flexible-working arrangements.</w:t>
      </w:r>
    </w:p>
    <w:p>
      <w:pPr>
        <w:pStyle w:val="Heading1"/>
      </w:pPr>
      <w:r>
        <w:t>2. Leave Entitlement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FCE5CD"/>
          </w:tcPr>
          <w:p>
            <w:r>
              <w:t>Leave Type</w:t>
            </w:r>
          </w:p>
        </w:tc>
        <w:tc>
          <w:tcPr>
            <w:tcW w:type="dxa" w:w="2520"/>
            <w:shd w:fill="FCE5CD"/>
          </w:tcPr>
          <w:p>
            <w:r>
              <w:t>Annual Entitlement</w:t>
            </w:r>
          </w:p>
        </w:tc>
        <w:tc>
          <w:tcPr>
            <w:tcW w:type="dxa" w:w="2520"/>
            <w:shd w:fill="FCE5CD"/>
          </w:tcPr>
          <w:p>
            <w:r>
              <w:t>Carry Forward</w:t>
            </w:r>
          </w:p>
        </w:tc>
        <w:tc>
          <w:tcPr>
            <w:tcW w:type="dxa" w:w="2520"/>
            <w:shd w:fill="FCE5CD"/>
          </w:tcPr>
          <w:p>
            <w:r>
              <w:t>Approval</w:t>
            </w:r>
          </w:p>
        </w:tc>
      </w:tr>
      <w:tr>
        <w:tc>
          <w:tcPr>
            <w:tcW w:type="dxa" w:w="2520"/>
          </w:tcPr>
          <w:p>
            <w:r>
              <w:t>Privilege Leave</w:t>
            </w:r>
          </w:p>
        </w:tc>
        <w:tc>
          <w:tcPr>
            <w:tcW w:type="dxa" w:w="2520"/>
          </w:tcPr>
          <w:p>
            <w:r>
              <w:t>18 days</w:t>
            </w:r>
          </w:p>
        </w:tc>
        <w:tc>
          <w:tcPr>
            <w:tcW w:type="dxa" w:w="2520"/>
          </w:tcPr>
          <w:p>
            <w:r>
              <w:t>Up to 30 days</w:t>
            </w:r>
          </w:p>
        </w:tc>
        <w:tc>
          <w:tcPr>
            <w:tcW w:type="dxa" w:w="2520"/>
          </w:tcPr>
          <w:p>
            <w:r>
              <w:t>Manager approval required</w:t>
            </w:r>
          </w:p>
        </w:tc>
      </w:tr>
      <w:tr>
        <w:tc>
          <w:tcPr>
            <w:tcW w:type="dxa" w:w="2520"/>
          </w:tcPr>
          <w:p>
            <w:r>
              <w:t>Casual Leave</w:t>
            </w:r>
          </w:p>
        </w:tc>
        <w:tc>
          <w:tcPr>
            <w:tcW w:type="dxa" w:w="2520"/>
          </w:tcPr>
          <w:p>
            <w:r>
              <w:t>6 days</w:t>
            </w:r>
          </w:p>
        </w:tc>
        <w:tc>
          <w:tcPr>
            <w:tcW w:type="dxa" w:w="2520"/>
          </w:tcPr>
          <w:p>
            <w:r>
              <w:t>No</w:t>
            </w:r>
          </w:p>
        </w:tc>
        <w:tc>
          <w:tcPr>
            <w:tcW w:type="dxa" w:w="2520"/>
          </w:tcPr>
          <w:p>
            <w:r>
              <w:t>Manager approval required</w:t>
            </w:r>
          </w:p>
        </w:tc>
      </w:tr>
      <w:tr>
        <w:tc>
          <w:tcPr>
            <w:tcW w:type="dxa" w:w="2520"/>
          </w:tcPr>
          <w:p>
            <w:r>
              <w:t>Sick Leave</w:t>
            </w:r>
          </w:p>
        </w:tc>
        <w:tc>
          <w:tcPr>
            <w:tcW w:type="dxa" w:w="2520"/>
          </w:tcPr>
          <w:p>
            <w:r>
              <w:t>8 days</w:t>
            </w:r>
          </w:p>
        </w:tc>
        <w:tc>
          <w:tcPr>
            <w:tcW w:type="dxa" w:w="2520"/>
          </w:tcPr>
          <w:p>
            <w:r>
              <w:t>No</w:t>
            </w:r>
          </w:p>
        </w:tc>
        <w:tc>
          <w:tcPr>
            <w:tcW w:type="dxa" w:w="2520"/>
          </w:tcPr>
          <w:p>
            <w:r>
              <w:t>Notify manager as early as possible</w:t>
            </w:r>
          </w:p>
        </w:tc>
      </w:tr>
      <w:tr>
        <w:tc>
          <w:tcPr>
            <w:tcW w:type="dxa" w:w="2520"/>
          </w:tcPr>
          <w:p>
            <w:r>
              <w:t>Bereavement Leave</w:t>
            </w:r>
          </w:p>
        </w:tc>
        <w:tc>
          <w:tcPr>
            <w:tcW w:type="dxa" w:w="2520"/>
          </w:tcPr>
          <w:p>
            <w:r>
              <w:t>3 working days</w:t>
            </w:r>
          </w:p>
        </w:tc>
        <w:tc>
          <w:tcPr>
            <w:tcW w:type="dxa" w:w="2520"/>
          </w:tcPr>
          <w:p>
            <w:r>
              <w:t>No</w:t>
            </w:r>
          </w:p>
        </w:tc>
        <w:tc>
          <w:tcPr>
            <w:tcW w:type="dxa" w:w="2520"/>
          </w:tcPr>
          <w:p>
            <w:r>
              <w:t>Manager and HR notification</w:t>
            </w:r>
          </w:p>
        </w:tc>
      </w:tr>
    </w:tbl>
    <w:p>
      <w:pPr>
        <w:pStyle w:val="Heading1"/>
      </w:pPr>
      <w:r>
        <w:t>3. Leave Application</w:t>
      </w:r>
    </w:p>
    <w:p>
      <w:r>
        <w:t>Planned leave should normally be submitted in the HR portal at least three working days in advance. Emergency or sick leave may be reported on the same day, followed by portal submission when the employee is able to do so.</w:t>
      </w:r>
    </w:p>
    <w:p>
      <w:pPr>
        <w:pStyle w:val="Heading1"/>
      </w:pPr>
      <w:r>
        <w:t>4. Attendance</w:t>
      </w:r>
    </w:p>
    <w:p>
      <w:r>
        <w:t>Employees are responsible for recording attendance through the approved system. Repeated missing attendance records may delay payroll processing or require manager confirmation.</w:t>
      </w:r>
    </w:p>
    <w:p>
      <w:pPr>
        <w:pStyle w:val="Heading1"/>
      </w:pPr>
      <w:r>
        <w:t>5. Medical Insurance</w:t>
      </w:r>
    </w:p>
    <w:p>
      <w:r>
        <w:t>Eligible employees are enrolled in the company group medical insurance plan from their date of joining. Coverage details, dependent eligibility, network hospitals, and claim procedures are available in the benefits portal.</w:t>
      </w:r>
    </w:p>
    <w:p>
      <w:pPr>
        <w:pStyle w:val="Heading1"/>
      </w:pPr>
      <w:r>
        <w:t>6. Payroll</w:t>
      </w:r>
    </w:p>
    <w:p>
      <w:pPr>
        <w:pStyle w:val="ListBullet"/>
      </w:pPr>
      <w:r>
        <w:t>Salary is normally credited on the last working day of each month.</w:t>
      </w:r>
    </w:p>
    <w:p>
      <w:pPr>
        <w:pStyle w:val="ListBullet"/>
      </w:pPr>
      <w:r>
        <w:t>Employees must verify bank account and tax information in the HR portal.</w:t>
      </w:r>
    </w:p>
    <w:p>
      <w:pPr>
        <w:pStyle w:val="ListBullet"/>
      </w:pPr>
      <w:r>
        <w:t>Payslips are made available electronically after payroll processing.</w:t>
      </w:r>
    </w:p>
    <w:p>
      <w:pPr>
        <w:pStyle w:val="ListBullet"/>
      </w:pPr>
      <w:r>
        <w:t>Payroll discrepancies should be reported to HR Operations within five working days.</w:t>
      </w:r>
    </w:p>
    <w:p>
      <w:pPr>
        <w:pStyle w:val="Heading1"/>
      </w:pPr>
      <w:r>
        <w:t>7. Reimbursement</w:t>
      </w:r>
    </w:p>
    <w:p>
      <w:r>
        <w:t>Approved business expenses must be supported by valid invoices or digital receipts and submitted within 15 calendar days after the expense or trip. Claims submitted later may require additional manager or department-head approval.</w:t>
      </w:r>
    </w:p>
    <w:p>
      <w:pPr>
        <w:pStyle w:val="Heading1"/>
      </w:pPr>
      <w:r>
        <w:t>8. Policy Note</w:t>
      </w:r>
    </w:p>
    <w:p>
      <w:r>
        <w:t>This sample policy is designed for internal onboarding and test purposes. Actual statutory and company benefits may vary based on location, grade, and employment terms.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Northstar Digital Solutions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