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t xml:space="preserve"/>
      </w:r>
    </w:p>
    <w:p>
      <w:pPr>
        <w:spacing w:before="0" w:after="80"/>
      </w:pPr>
      <w:r>
        <w:rPr>
          <w:rFonts w:ascii="Georgia" w:cs="Georgia" w:eastAsia="Georgia" w:hAnsi="Georgia"/>
          <w:color w:val="1E1C18"/>
          <w:sz w:val="48"/>
          <w:szCs w:val="48"/>
        </w:rPr>
        <w:t xml:space="preserve">clairbook</w:t>
      </w:r>
    </w:p>
    <w:p>
      <w:pPr>
        <w:spacing w:before="0" w:after="320"/>
      </w:pPr>
      <w:r>
        <w:rPr>
          <w:rFonts w:ascii="Arial" w:cs="Arial" w:eastAsia="Arial" w:hAnsi="Arial"/>
          <w:color w:val="9A9288"/>
          <w:sz w:val="24"/>
          <w:szCs w:val="24"/>
        </w:rPr>
        <w:t xml:space="preserve">Pricing &amp; monetization strategy</w:t>
      </w:r>
    </w:p>
    <w:p>
      <w:pPr>
        <w:pBdr>
          <w:bottom w:val="single" w:color="D8D4CE" w:sz="4" w:space="1"/>
        </w:pBdr>
        <w:spacing w:before="240" w:after="240"/>
      </w:pPr>
      <w:r>
        <w:t xml:space="preserve"/>
      </w:r>
    </w:p>
    <w:p>
      <w:pPr>
        <w:pStyle w:val="Heading2"/>
        <w:spacing w:before="360" w:after="120"/>
      </w:pPr>
      <w:r>
        <w:rPr>
          <w:rFonts w:ascii="Georgia" w:cs="Georgia" w:eastAsia="Georgia" w:hAnsi="Georgia"/>
          <w:color w:val="1E1C18"/>
          <w:sz w:val="26"/>
          <w:szCs w:val="26"/>
        </w:rPr>
        <w:t xml:space="preserve">Overview</w:t>
      </w:r>
    </w:p>
    <w:p>
      <w:pPr>
        <w:spacing w:before="80" w:after="80"/>
      </w:pPr>
      <w:r>
        <w:rPr>
          <w:rFonts w:ascii="Arial" w:cs="Arial" w:eastAsia="Arial" w:hAnsi="Arial"/>
          <w:color w:val="1E1C18"/>
          <w:sz w:val="22"/>
          <w:szCs w:val="22"/>
        </w:rPr>
        <w:t xml:space="preserve">Clairbook is a focused marketplace for wellness, spiritual, beauty, and coaching practitioners. This document outlines the pricing structure, founding member offer, and monetization approach for initial launch.</w:t>
      </w:r>
    </w:p>
    <w:p>
      <w:pPr>
        <w:spacing w:before="80" w:after="80"/>
      </w:pPr>
      <w:r>
        <w:rPr>
          <w:rFonts w:ascii="Arial" w:cs="Arial" w:eastAsia="Arial" w:hAnsi="Arial"/>
          <w:color w:val="1E1C18"/>
          <w:sz w:val="22"/>
          <w:szCs w:val="22"/>
        </w:rPr>
        <w:t xml:space="preserve">The core philosophy: one clear tier to start, a 60-day free trial to lower the barrier to entry, and a founding member offer to generate early revenue and build community before public launch.</w:t>
      </w:r>
    </w:p>
    <w:p>
      <w:pPr>
        <w:pBdr>
          <w:bottom w:val="single" w:color="D8D4CE" w:sz="4" w:space="1"/>
        </w:pBdr>
        <w:spacing w:before="240" w:after="240"/>
      </w:pPr>
      <w:r>
        <w:t xml:space="preserve"/>
      </w:r>
    </w:p>
    <w:p>
      <w:pPr>
        <w:pStyle w:val="Heading2"/>
        <w:spacing w:before="360" w:after="120"/>
      </w:pPr>
      <w:r>
        <w:rPr>
          <w:rFonts w:ascii="Georgia" w:cs="Georgia" w:eastAsia="Georgia" w:hAnsi="Georgia"/>
          <w:color w:val="1E1C18"/>
          <w:sz w:val="26"/>
          <w:szCs w:val="26"/>
        </w:rPr>
        <w:t xml:space="preserve">Subscription tiers</w:t>
      </w:r>
    </w:p>
    <w:p>
      <w:pPr>
        <w:spacing w:before="80" w:after="80"/>
      </w:pPr>
      <w:r>
        <w:rPr>
          <w:rFonts w:ascii="Arial" w:cs="Arial" w:eastAsia="Arial" w:hAnsi="Arial"/>
          <w:color w:val="1E1C18"/>
          <w:sz w:val="22"/>
          <w:szCs w:val="22"/>
        </w:rPr>
        <w:t xml:space="preserve">At launch, Clairbook will offer two tiers. Starting with a single tier is also acceptable — the Featured tier can be introduced once the practitioner base is large enough that priority placement has real meaning.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single" w:color="D8D4CE" w:sz="1"/>
              <w:left w:val="single" w:color="D8D4CE" w:sz="1"/>
              <w:bottom w:val="single" w:color="D8D4CE" w:sz="1"/>
              <w:right w:val="single" w:color="D8D4CE" w:sz="1"/>
            </w:tcBorders>
            <w:shd w:fill="F0ECE4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C18"/>
                <w:sz w:val="22"/>
                <w:szCs w:val="22"/>
              </w:rPr>
              <w:t xml:space="preserve"/>
            </w:r>
          </w:p>
        </w:tc>
        <w:tc>
          <w:tcPr>
            <w:tcW w:type="dxa" w:w="3080"/>
            <w:tcBorders>
              <w:top w:val="single" w:color="D8D4CE" w:sz="1"/>
              <w:left w:val="single" w:color="D8D4CE" w:sz="1"/>
              <w:bottom w:val="single" w:color="D8D4CE" w:sz="1"/>
              <w:right w:val="single" w:color="D8D4CE" w:sz="1"/>
            </w:tcBorders>
            <w:shd w:fill="4A7C5E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Listed</w:t>
            </w:r>
          </w:p>
        </w:tc>
        <w:tc>
          <w:tcPr>
            <w:tcW w:type="dxa" w:w="3080"/>
            <w:tcBorders>
              <w:top w:val="single" w:color="D8D4CE" w:sz="1"/>
              <w:left w:val="single" w:color="D8D4CE" w:sz="1"/>
              <w:bottom w:val="single" w:color="D8D4CE" w:sz="1"/>
              <w:right w:val="single" w:color="D8D4CE" w:sz="1"/>
            </w:tcBorders>
            <w:shd w:fill="4A7C5E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Featured</w:t>
            </w:r>
          </w:p>
        </w:tc>
      </w:tr>
      <w:tr>
        <w:tc>
          <w:tcPr>
            <w:tcW w:type="dxa" w:w="3200"/>
            <w:tcBorders>
              <w:top w:val="single" w:color="D8D4CE" w:sz="1"/>
              <w:left w:val="single" w:color="D8D4CE" w:sz="1"/>
              <w:bottom w:val="single" w:color="D8D4CE" w:sz="1"/>
              <w:right w:val="single" w:color="D8D4CE" w:sz="1"/>
            </w:tcBorders>
            <w:shd w:fill="EAF2E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1C18"/>
                <w:sz w:val="21"/>
                <w:szCs w:val="21"/>
              </w:rPr>
              <w:t xml:space="preserve">Monthly price</w:t>
            </w:r>
          </w:p>
        </w:tc>
        <w:tc>
          <w:tcPr>
            <w:tcW w:type="dxa" w:w="3080"/>
            <w:tcBorders>
              <w:top w:val="single" w:color="D8D4CE" w:sz="1"/>
              <w:left w:val="single" w:color="D8D4CE" w:sz="1"/>
              <w:bottom w:val="single" w:color="D8D4CE" w:sz="1"/>
              <w:right w:val="single" w:color="D8D4CE" w:sz="1"/>
            </w:tcBorders>
            <w:shd w:fill="EAF2E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C18"/>
                <w:sz w:val="21"/>
                <w:szCs w:val="21"/>
              </w:rPr>
              <w:t xml:space="preserve">$9.99 / month</w:t>
            </w:r>
          </w:p>
        </w:tc>
        <w:tc>
          <w:tcPr>
            <w:tcW w:type="dxa" w:w="3080"/>
            <w:tcBorders>
              <w:top w:val="single" w:color="D8D4CE" w:sz="1"/>
              <w:left w:val="single" w:color="D8D4CE" w:sz="1"/>
              <w:bottom w:val="single" w:color="D8D4CE" w:sz="1"/>
              <w:right w:val="single" w:color="D8D4CE" w:sz="1"/>
            </w:tcBorders>
            <w:shd w:fill="EAF2E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C18"/>
                <w:sz w:val="21"/>
                <w:szCs w:val="21"/>
              </w:rPr>
              <w:t xml:space="preserve">$24.99 / month</w:t>
            </w:r>
          </w:p>
        </w:tc>
      </w:tr>
      <w:tr>
        <w:tc>
          <w:tcPr>
            <w:tcW w:type="dxa" w:w="3200"/>
            <w:tcBorders>
              <w:top w:val="single" w:color="D8D4CE" w:sz="1"/>
              <w:left w:val="single" w:color="D8D4CE" w:sz="1"/>
              <w:bottom w:val="single" w:color="D8D4CE" w:sz="1"/>
              <w:right w:val="single" w:color="D8D4CE" w:sz="1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1C18"/>
                <w:sz w:val="21"/>
                <w:szCs w:val="21"/>
              </w:rPr>
              <w:t xml:space="preserve">Annual price</w:t>
            </w:r>
          </w:p>
        </w:tc>
        <w:tc>
          <w:tcPr>
            <w:tcW w:type="dxa" w:w="3080"/>
            <w:tcBorders>
              <w:top w:val="single" w:color="D8D4CE" w:sz="1"/>
              <w:left w:val="single" w:color="D8D4CE" w:sz="1"/>
              <w:bottom w:val="single" w:color="D8D4CE" w:sz="1"/>
              <w:right w:val="single" w:color="D8D4CE" w:sz="1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C18"/>
                <w:sz w:val="21"/>
                <w:szCs w:val="21"/>
              </w:rPr>
              <w:t xml:space="preserve">$79 / year</w:t>
            </w:r>
          </w:p>
        </w:tc>
        <w:tc>
          <w:tcPr>
            <w:tcW w:type="dxa" w:w="3080"/>
            <w:tcBorders>
              <w:top w:val="single" w:color="D8D4CE" w:sz="1"/>
              <w:left w:val="single" w:color="D8D4CE" w:sz="1"/>
              <w:bottom w:val="single" w:color="D8D4CE" w:sz="1"/>
              <w:right w:val="single" w:color="D8D4CE" w:sz="1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C18"/>
                <w:sz w:val="21"/>
                <w:szCs w:val="21"/>
              </w:rPr>
              <w:t xml:space="preserve">$199 / year</w:t>
            </w:r>
          </w:p>
        </w:tc>
      </w:tr>
      <w:tr>
        <w:tc>
          <w:tcPr>
            <w:tcW w:type="dxa" w:w="3200"/>
            <w:tcBorders>
              <w:top w:val="single" w:color="D8D4CE" w:sz="1"/>
              <w:left w:val="single" w:color="D8D4CE" w:sz="1"/>
              <w:bottom w:val="single" w:color="D8D4CE" w:sz="1"/>
              <w:right w:val="single" w:color="D8D4CE" w:sz="1"/>
            </w:tcBorders>
            <w:shd w:fill="EAF2E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1C18"/>
                <w:sz w:val="21"/>
                <w:szCs w:val="21"/>
              </w:rPr>
              <w:t xml:space="preserve">Free trial</w:t>
            </w:r>
          </w:p>
        </w:tc>
        <w:tc>
          <w:tcPr>
            <w:tcW w:type="dxa" w:w="3080"/>
            <w:tcBorders>
              <w:top w:val="single" w:color="D8D4CE" w:sz="1"/>
              <w:left w:val="single" w:color="D8D4CE" w:sz="1"/>
              <w:bottom w:val="single" w:color="D8D4CE" w:sz="1"/>
              <w:right w:val="single" w:color="D8D4CE" w:sz="1"/>
            </w:tcBorders>
            <w:shd w:fill="EAF2E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C18"/>
                <w:sz w:val="21"/>
                <w:szCs w:val="21"/>
              </w:rPr>
              <w:t xml:space="preserve">60 days, no card required</w:t>
            </w:r>
          </w:p>
        </w:tc>
        <w:tc>
          <w:tcPr>
            <w:tcW w:type="dxa" w:w="3080"/>
            <w:tcBorders>
              <w:top w:val="single" w:color="D8D4CE" w:sz="1"/>
              <w:left w:val="single" w:color="D8D4CE" w:sz="1"/>
              <w:bottom w:val="single" w:color="D8D4CE" w:sz="1"/>
              <w:right w:val="single" w:color="D8D4CE" w:sz="1"/>
            </w:tcBorders>
            <w:shd w:fill="EAF2E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C18"/>
                <w:sz w:val="21"/>
                <w:szCs w:val="21"/>
              </w:rPr>
              <w:t xml:space="preserve">60 days, no card required</w:t>
            </w:r>
          </w:p>
        </w:tc>
      </w:tr>
      <w:tr>
        <w:tc>
          <w:tcPr>
            <w:tcW w:type="dxa" w:w="3200"/>
            <w:tcBorders>
              <w:top w:val="single" w:color="D8D4CE" w:sz="1"/>
              <w:left w:val="single" w:color="D8D4CE" w:sz="1"/>
              <w:bottom w:val="single" w:color="D8D4CE" w:sz="1"/>
              <w:right w:val="single" w:color="D8D4CE" w:sz="1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C18"/>
                <w:sz w:val="21"/>
                <w:szCs w:val="21"/>
              </w:rPr>
              <w:t xml:space="preserve">Public profile + booking page</w:t>
            </w:r>
          </w:p>
        </w:tc>
        <w:tc>
          <w:tcPr>
            <w:tcW w:type="dxa" w:w="3080"/>
            <w:tcBorders>
              <w:top w:val="single" w:color="D8D4CE" w:sz="1"/>
              <w:left w:val="single" w:color="D8D4CE" w:sz="1"/>
              <w:bottom w:val="single" w:color="D8D4CE" w:sz="1"/>
              <w:right w:val="single" w:color="D8D4CE" w:sz="1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C18"/>
                <w:sz w:val="21"/>
                <w:szCs w:val="21"/>
              </w:rPr>
              <w:t xml:space="preserve">✓</w:t>
            </w:r>
          </w:p>
        </w:tc>
        <w:tc>
          <w:tcPr>
            <w:tcW w:type="dxa" w:w="3080"/>
            <w:tcBorders>
              <w:top w:val="single" w:color="D8D4CE" w:sz="1"/>
              <w:left w:val="single" w:color="D8D4CE" w:sz="1"/>
              <w:bottom w:val="single" w:color="D8D4CE" w:sz="1"/>
              <w:right w:val="single" w:color="D8D4CE" w:sz="1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C18"/>
                <w:sz w:val="21"/>
                <w:szCs w:val="21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D8D4CE" w:sz="1"/>
              <w:left w:val="single" w:color="D8D4CE" w:sz="1"/>
              <w:bottom w:val="single" w:color="D8D4CE" w:sz="1"/>
              <w:right w:val="single" w:color="D8D4CE" w:sz="1"/>
            </w:tcBorders>
            <w:shd w:fill="EAF2E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C18"/>
                <w:sz w:val="21"/>
                <w:szCs w:val="21"/>
              </w:rPr>
              <w:t xml:space="preserve">Service listings</w:t>
            </w:r>
          </w:p>
        </w:tc>
        <w:tc>
          <w:tcPr>
            <w:tcW w:type="dxa" w:w="3080"/>
            <w:tcBorders>
              <w:top w:val="single" w:color="D8D4CE" w:sz="1"/>
              <w:left w:val="single" w:color="D8D4CE" w:sz="1"/>
              <w:bottom w:val="single" w:color="D8D4CE" w:sz="1"/>
              <w:right w:val="single" w:color="D8D4CE" w:sz="1"/>
            </w:tcBorders>
            <w:shd w:fill="EAF2E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C18"/>
                <w:sz w:val="21"/>
                <w:szCs w:val="21"/>
              </w:rPr>
              <w:t xml:space="preserve">Up to 5</w:t>
            </w:r>
          </w:p>
        </w:tc>
        <w:tc>
          <w:tcPr>
            <w:tcW w:type="dxa" w:w="3080"/>
            <w:tcBorders>
              <w:top w:val="single" w:color="D8D4CE" w:sz="1"/>
              <w:left w:val="single" w:color="D8D4CE" w:sz="1"/>
              <w:bottom w:val="single" w:color="D8D4CE" w:sz="1"/>
              <w:right w:val="single" w:color="D8D4CE" w:sz="1"/>
            </w:tcBorders>
            <w:shd w:fill="EAF2E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C18"/>
                <w:sz w:val="21"/>
                <w:szCs w:val="21"/>
              </w:rPr>
              <w:t xml:space="preserve">Unlimited</w:t>
            </w:r>
          </w:p>
        </w:tc>
      </w:tr>
      <w:tr>
        <w:tc>
          <w:tcPr>
            <w:tcW w:type="dxa" w:w="3200"/>
            <w:tcBorders>
              <w:top w:val="single" w:color="D8D4CE" w:sz="1"/>
              <w:left w:val="single" w:color="D8D4CE" w:sz="1"/>
              <w:bottom w:val="single" w:color="D8D4CE" w:sz="1"/>
              <w:right w:val="single" w:color="D8D4CE" w:sz="1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C18"/>
                <w:sz w:val="21"/>
                <w:szCs w:val="21"/>
              </w:rPr>
              <w:t xml:space="preserve">Discovery placement</w:t>
            </w:r>
          </w:p>
        </w:tc>
        <w:tc>
          <w:tcPr>
            <w:tcW w:type="dxa" w:w="3080"/>
            <w:tcBorders>
              <w:top w:val="single" w:color="D8D4CE" w:sz="1"/>
              <w:left w:val="single" w:color="D8D4CE" w:sz="1"/>
              <w:bottom w:val="single" w:color="D8D4CE" w:sz="1"/>
              <w:right w:val="single" w:color="D8D4CE" w:sz="1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C18"/>
                <w:sz w:val="21"/>
                <w:szCs w:val="21"/>
              </w:rPr>
              <w:t xml:space="preserve">Standard</w:t>
            </w:r>
          </w:p>
        </w:tc>
        <w:tc>
          <w:tcPr>
            <w:tcW w:type="dxa" w:w="3080"/>
            <w:tcBorders>
              <w:top w:val="single" w:color="D8D4CE" w:sz="1"/>
              <w:left w:val="single" w:color="D8D4CE" w:sz="1"/>
              <w:bottom w:val="single" w:color="D8D4CE" w:sz="1"/>
              <w:right w:val="single" w:color="D8D4CE" w:sz="1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C18"/>
                <w:sz w:val="21"/>
                <w:szCs w:val="21"/>
              </w:rPr>
              <w:t xml:space="preserve">Priority</w:t>
            </w:r>
          </w:p>
        </w:tc>
      </w:tr>
      <w:tr>
        <w:tc>
          <w:tcPr>
            <w:tcW w:type="dxa" w:w="3200"/>
            <w:tcBorders>
              <w:top w:val="single" w:color="D8D4CE" w:sz="1"/>
              <w:left w:val="single" w:color="D8D4CE" w:sz="1"/>
              <w:bottom w:val="single" w:color="D8D4CE" w:sz="1"/>
              <w:right w:val="single" w:color="D8D4CE" w:sz="1"/>
            </w:tcBorders>
            <w:shd w:fill="EAF2E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C18"/>
                <w:sz w:val="21"/>
                <w:szCs w:val="21"/>
              </w:rPr>
              <w:t xml:space="preserve">Verified badge</w:t>
            </w:r>
          </w:p>
        </w:tc>
        <w:tc>
          <w:tcPr>
            <w:tcW w:type="dxa" w:w="3080"/>
            <w:tcBorders>
              <w:top w:val="single" w:color="D8D4CE" w:sz="1"/>
              <w:left w:val="single" w:color="D8D4CE" w:sz="1"/>
              <w:bottom w:val="single" w:color="D8D4CE" w:sz="1"/>
              <w:right w:val="single" w:color="D8D4CE" w:sz="1"/>
            </w:tcBorders>
            <w:shd w:fill="EAF2E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C18"/>
                <w:sz w:val="21"/>
                <w:szCs w:val="21"/>
              </w:rPr>
              <w:t xml:space="preserve">—</w:t>
            </w:r>
          </w:p>
        </w:tc>
        <w:tc>
          <w:tcPr>
            <w:tcW w:type="dxa" w:w="3080"/>
            <w:tcBorders>
              <w:top w:val="single" w:color="D8D4CE" w:sz="1"/>
              <w:left w:val="single" w:color="D8D4CE" w:sz="1"/>
              <w:bottom w:val="single" w:color="D8D4CE" w:sz="1"/>
              <w:right w:val="single" w:color="D8D4CE" w:sz="1"/>
            </w:tcBorders>
            <w:shd w:fill="EAF2E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C18"/>
                <w:sz w:val="21"/>
                <w:szCs w:val="21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D8D4CE" w:sz="1"/>
              <w:left w:val="single" w:color="D8D4CE" w:sz="1"/>
              <w:bottom w:val="single" w:color="D8D4CE" w:sz="1"/>
              <w:right w:val="single" w:color="D8D4CE" w:sz="1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C18"/>
                <w:sz w:val="21"/>
                <w:szCs w:val="21"/>
              </w:rPr>
              <w:t xml:space="preserve">Analytics dashboard</w:t>
            </w:r>
          </w:p>
        </w:tc>
        <w:tc>
          <w:tcPr>
            <w:tcW w:type="dxa" w:w="3080"/>
            <w:tcBorders>
              <w:top w:val="single" w:color="D8D4CE" w:sz="1"/>
              <w:left w:val="single" w:color="D8D4CE" w:sz="1"/>
              <w:bottom w:val="single" w:color="D8D4CE" w:sz="1"/>
              <w:right w:val="single" w:color="D8D4CE" w:sz="1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C18"/>
                <w:sz w:val="21"/>
                <w:szCs w:val="21"/>
              </w:rPr>
              <w:t xml:space="preserve">—</w:t>
            </w:r>
          </w:p>
        </w:tc>
        <w:tc>
          <w:tcPr>
            <w:tcW w:type="dxa" w:w="3080"/>
            <w:tcBorders>
              <w:top w:val="single" w:color="D8D4CE" w:sz="1"/>
              <w:left w:val="single" w:color="D8D4CE" w:sz="1"/>
              <w:bottom w:val="single" w:color="D8D4CE" w:sz="1"/>
              <w:right w:val="single" w:color="D8D4CE" w:sz="1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C18"/>
                <w:sz w:val="21"/>
                <w:szCs w:val="21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D8D4CE" w:sz="1"/>
              <w:left w:val="single" w:color="D8D4CE" w:sz="1"/>
              <w:bottom w:val="single" w:color="D8D4CE" w:sz="1"/>
              <w:right w:val="single" w:color="D8D4CE" w:sz="1"/>
            </w:tcBorders>
            <w:shd w:fill="EAF2E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C18"/>
                <w:sz w:val="21"/>
                <w:szCs w:val="21"/>
              </w:rPr>
              <w:t xml:space="preserve">Early access to new features</w:t>
            </w:r>
          </w:p>
        </w:tc>
        <w:tc>
          <w:tcPr>
            <w:tcW w:type="dxa" w:w="3080"/>
            <w:tcBorders>
              <w:top w:val="single" w:color="D8D4CE" w:sz="1"/>
              <w:left w:val="single" w:color="D8D4CE" w:sz="1"/>
              <w:bottom w:val="single" w:color="D8D4CE" w:sz="1"/>
              <w:right w:val="single" w:color="D8D4CE" w:sz="1"/>
            </w:tcBorders>
            <w:shd w:fill="EAF2E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C18"/>
                <w:sz w:val="21"/>
                <w:szCs w:val="21"/>
              </w:rPr>
              <w:t xml:space="preserve">—</w:t>
            </w:r>
          </w:p>
        </w:tc>
        <w:tc>
          <w:tcPr>
            <w:tcW w:type="dxa" w:w="3080"/>
            <w:tcBorders>
              <w:top w:val="single" w:color="D8D4CE" w:sz="1"/>
              <w:left w:val="single" w:color="D8D4CE" w:sz="1"/>
              <w:bottom w:val="single" w:color="D8D4CE" w:sz="1"/>
              <w:right w:val="single" w:color="D8D4CE" w:sz="1"/>
            </w:tcBorders>
            <w:shd w:fill="EAF2E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C18"/>
                <w:sz w:val="21"/>
                <w:szCs w:val="21"/>
              </w:rPr>
              <w:t xml:space="preserve">✓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5A5650"/>
          <w:sz w:val="22"/>
          <w:szCs w:val="22"/>
        </w:rPr>
        <w:t xml:space="preserve">Both tiers include a 60-day free trial with no credit card required at sign-up. The trial converts automatically at the end of the period.</w:t>
      </w:r>
    </w:p>
    <w:p>
      <w:pPr>
        <w:pBdr>
          <w:bottom w:val="single" w:color="D8D4CE" w:sz="4" w:space="1"/>
        </w:pBdr>
        <w:spacing w:before="240" w:after="240"/>
      </w:pPr>
      <w:r>
        <w:t xml:space="preserve"/>
      </w:r>
    </w:p>
    <w:p>
      <w:pPr>
        <w:pStyle w:val="Heading2"/>
        <w:spacing w:before="360" w:after="120"/>
      </w:pPr>
      <w:r>
        <w:rPr>
          <w:rFonts w:ascii="Georgia" w:cs="Georgia" w:eastAsia="Georgia" w:hAnsi="Georgia"/>
          <w:color w:val="1E1C18"/>
          <w:sz w:val="26"/>
          <w:szCs w:val="26"/>
        </w:rPr>
        <w:t xml:space="preserve">Payment processing</w:t>
      </w:r>
    </w:p>
    <w:p>
      <w:pPr>
        <w:spacing w:before="80" w:after="80"/>
      </w:pPr>
      <w:r>
        <w:rPr>
          <w:rFonts w:ascii="Arial" w:cs="Arial" w:eastAsia="Arial" w:hAnsi="Arial"/>
          <w:color w:val="1E1C18"/>
          <w:sz w:val="22"/>
          <w:szCs w:val="22"/>
        </w:rPr>
        <w:t xml:space="preserve">Payment processing will be introduced after launch. Suggested rate: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1C18"/>
          <w:sz w:val="22"/>
          <w:szCs w:val="22"/>
        </w:rPr>
        <w:t xml:space="preserve">2.75% – 2.9% + $0.30 per transaction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1C18"/>
          <w:sz w:val="22"/>
          <w:szCs w:val="22"/>
        </w:rPr>
        <w:t xml:space="preserve">Competitive with Vagaro (2.2–3.5% + $0.15–$0.19) without undercutting quality perception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1C18"/>
          <w:sz w:val="22"/>
          <w:szCs w:val="22"/>
        </w:rPr>
        <w:t xml:space="preserve">Position as “we only make money when you make money” — builds trust with practitioners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5A5650"/>
          <w:sz w:val="22"/>
          <w:szCs w:val="22"/>
        </w:rPr>
        <w:t xml:space="preserve">Do not layer processing fees on top of the subscription in a confusing way. Transparency here is a meaningful differentiator from competitors.</w:t>
      </w:r>
    </w:p>
    <w:p>
      <w:pPr>
        <w:pBdr>
          <w:bottom w:val="single" w:color="D8D4CE" w:sz="4" w:space="1"/>
        </w:pBdr>
        <w:spacing w:before="240" w:after="240"/>
      </w:pPr>
      <w:r>
        <w:t xml:space="preserve"/>
      </w:r>
    </w:p>
    <w:p>
      <w:pPr>
        <w:pStyle w:val="Heading2"/>
        <w:spacing w:before="360" w:after="120"/>
      </w:pPr>
      <w:r>
        <w:rPr>
          <w:rFonts w:ascii="Georgia" w:cs="Georgia" w:eastAsia="Georgia" w:hAnsi="Georgia"/>
          <w:color w:val="1E1C18"/>
          <w:sz w:val="26"/>
          <w:szCs w:val="26"/>
        </w:rPr>
        <w:t xml:space="preserve">Founding member offer</w:t>
      </w:r>
    </w:p>
    <w:p>
      <w:pPr>
        <w:spacing w:before="80" w:after="80"/>
      </w:pPr>
      <w:r>
        <w:rPr>
          <w:rFonts w:ascii="Arial" w:cs="Arial" w:eastAsia="Arial" w:hAnsi="Arial"/>
          <w:color w:val="1E1C18"/>
          <w:sz w:val="22"/>
          <w:szCs w:val="22"/>
        </w:rPr>
        <w:t xml:space="preserve">To generate early revenue before public launch and reward early adopters, a founding member offer will be made available on the waitlist page.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8D4CE" w:sz="1"/>
              <w:left w:val="single" w:color="D8D4CE" w:sz="1"/>
              <w:bottom w:val="single" w:color="D8D4CE" w:sz="1"/>
              <w:right w:val="single" w:color="D8D4CE" w:sz="1"/>
            </w:tcBorders>
            <w:shd w:fill="EAF2E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Price</w:t>
            </w:r>
          </w:p>
        </w:tc>
        <w:tc>
          <w:tcPr>
            <w:tcW w:type="dxa" w:w="6160"/>
            <w:tcBorders>
              <w:top w:val="single" w:color="D8D4CE" w:sz="1"/>
              <w:left w:val="single" w:color="D8D4CE" w:sz="1"/>
              <w:bottom w:val="single" w:color="D8D4CE" w:sz="1"/>
              <w:right w:val="single" w:color="D8D4CE" w:sz="1"/>
            </w:tcBorders>
            <w:shd w:fill="EAF2E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$79 / year (normally $119.88)</w:t>
            </w:r>
          </w:p>
        </w:tc>
      </w:tr>
      <w:tr>
        <w:tc>
          <w:tcPr>
            <w:tcW w:type="dxa" w:w="3200"/>
            <w:tcBorders>
              <w:top w:val="single" w:color="D8D4CE" w:sz="1"/>
              <w:left w:val="single" w:color="D8D4CE" w:sz="1"/>
              <w:bottom w:val="single" w:color="D8D4CE" w:sz="1"/>
              <w:right w:val="single" w:color="D8D4CE" w:sz="1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Cap</w:t>
            </w:r>
          </w:p>
        </w:tc>
        <w:tc>
          <w:tcPr>
            <w:tcW w:type="dxa" w:w="6160"/>
            <w:tcBorders>
              <w:top w:val="single" w:color="D8D4CE" w:sz="1"/>
              <w:left w:val="single" w:color="D8D4CE" w:sz="1"/>
              <w:bottom w:val="single" w:color="D8D4CE" w:sz="1"/>
              <w:right w:val="single" w:color="D8D4CE" w:sz="1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100 practitioners maximum</w:t>
            </w:r>
          </w:p>
        </w:tc>
      </w:tr>
      <w:tr>
        <w:tc>
          <w:tcPr>
            <w:tcW w:type="dxa" w:w="3200"/>
            <w:tcBorders>
              <w:top w:val="single" w:color="D8D4CE" w:sz="1"/>
              <w:left w:val="single" w:color="D8D4CE" w:sz="1"/>
              <w:bottom w:val="single" w:color="D8D4CE" w:sz="1"/>
              <w:right w:val="single" w:color="D8D4CE" w:sz="1"/>
            </w:tcBorders>
            <w:shd w:fill="EAF2E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Rate lock</w:t>
            </w:r>
          </w:p>
        </w:tc>
        <w:tc>
          <w:tcPr>
            <w:tcW w:type="dxa" w:w="6160"/>
            <w:tcBorders>
              <w:top w:val="single" w:color="D8D4CE" w:sz="1"/>
              <w:left w:val="single" w:color="D8D4CE" w:sz="1"/>
              <w:bottom w:val="single" w:color="D8D4CE" w:sz="1"/>
              <w:right w:val="single" w:color="D8D4CE" w:sz="1"/>
            </w:tcBorders>
            <w:shd w:fill="EAF2E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Locked permanently — never increases</w:t>
            </w:r>
          </w:p>
        </w:tc>
      </w:tr>
      <w:tr>
        <w:tc>
          <w:tcPr>
            <w:tcW w:type="dxa" w:w="3200"/>
            <w:tcBorders>
              <w:top w:val="single" w:color="D8D4CE" w:sz="1"/>
              <w:left w:val="single" w:color="D8D4CE" w:sz="1"/>
              <w:bottom w:val="single" w:color="D8D4CE" w:sz="1"/>
              <w:right w:val="single" w:color="D8D4CE" w:sz="1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Billing</w:t>
            </w:r>
          </w:p>
        </w:tc>
        <w:tc>
          <w:tcPr>
            <w:tcW w:type="dxa" w:w="6160"/>
            <w:tcBorders>
              <w:top w:val="single" w:color="D8D4CE" w:sz="1"/>
              <w:left w:val="single" w:color="D8D4CE" w:sz="1"/>
              <w:bottom w:val="single" w:color="D8D4CE" w:sz="1"/>
              <w:right w:val="single" w:color="D8D4CE" w:sz="1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Charged now. Full refund if we don’t launch.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1E1C18"/>
          <w:sz w:val="22"/>
          <w:szCs w:val="22"/>
        </w:rPr>
        <w:t xml:space="preserve">What founding members receive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1C18"/>
          <w:sz w:val="22"/>
          <w:szCs w:val="22"/>
        </w:rPr>
        <w:t xml:space="preserve">Public practitioner profile, live on launch day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1C18"/>
          <w:sz w:val="22"/>
          <w:szCs w:val="22"/>
        </w:rPr>
        <w:t xml:space="preserve">Personal booking page, shareable immediately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1C18"/>
          <w:sz w:val="22"/>
          <w:szCs w:val="22"/>
        </w:rPr>
        <w:t xml:space="preserve">Priority placement in search and discovery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1C18"/>
          <w:sz w:val="22"/>
          <w:szCs w:val="22"/>
        </w:rPr>
        <w:t xml:space="preserve">Verified “founding member” badge on their profile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1C18"/>
          <w:sz w:val="22"/>
          <w:szCs w:val="22"/>
        </w:rPr>
        <w:t xml:space="preserve">Direct input into platform development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1C18"/>
          <w:sz w:val="22"/>
          <w:szCs w:val="22"/>
        </w:rPr>
        <w:t xml:space="preserve">Early access to every new feature shipped</w:t>
      </w:r>
    </w:p>
    <w:p>
      <w:pPr>
        <w:spacing w:before="120" w:after="0"/>
      </w:pPr>
      <w:r>
        <w:t xml:space="preserve"/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1E1C18"/>
          <w:sz w:val="22"/>
          <w:szCs w:val="22"/>
        </w:rPr>
        <w:t xml:space="preserve">Why this works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1C18"/>
          <w:sz w:val="22"/>
          <w:szCs w:val="22"/>
        </w:rPr>
        <w:t xml:space="preserve">Annual upfront generates immediate cash for development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1C18"/>
          <w:sz w:val="22"/>
          <w:szCs w:val="22"/>
        </w:rPr>
        <w:t xml:space="preserve">“Founding” framing signals exclusivity, not discounting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1C18"/>
          <w:sz w:val="22"/>
          <w:szCs w:val="22"/>
        </w:rPr>
        <w:t xml:space="preserve">The 100-practitioner cap creates genuine scarcity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1C18"/>
          <w:sz w:val="22"/>
          <w:szCs w:val="22"/>
        </w:rPr>
        <w:t xml:space="preserve">Permanent rate lock rewards early trust and improves long-term retention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1C18"/>
          <w:sz w:val="22"/>
          <w:szCs w:val="22"/>
        </w:rPr>
        <w:t xml:space="preserve">Full refund policy removes risk and signals honesty</w:t>
      </w:r>
    </w:p>
    <w:p>
      <w:pPr>
        <w:pBdr>
          <w:bottom w:val="single" w:color="D8D4CE" w:sz="4" w:space="1"/>
        </w:pBdr>
        <w:spacing w:before="240" w:after="240"/>
      </w:pPr>
      <w:r>
        <w:t xml:space="preserve"/>
      </w:r>
    </w:p>
    <w:p>
      <w:pPr>
        <w:pStyle w:val="Heading2"/>
        <w:spacing w:before="360" w:after="120"/>
      </w:pPr>
      <w:r>
        <w:rPr>
          <w:rFonts w:ascii="Georgia" w:cs="Georgia" w:eastAsia="Georgia" w:hAnsi="Georgia"/>
          <w:color w:val="1E1C18"/>
          <w:sz w:val="26"/>
          <w:szCs w:val="26"/>
        </w:rPr>
        <w:t xml:space="preserve">Pricing positioning</w:t>
      </w:r>
    </w:p>
    <w:p>
      <w:pPr>
        <w:spacing w:before="80" w:after="80"/>
      </w:pPr>
      <w:r>
        <w:rPr>
          <w:rFonts w:ascii="Arial" w:cs="Arial" w:eastAsia="Arial" w:hAnsi="Arial"/>
          <w:color w:val="1E1C18"/>
          <w:sz w:val="22"/>
          <w:szCs w:val="22"/>
        </w:rPr>
        <w:t xml:space="preserve">The goal is to feel specific and considered, not cheap. A few principles: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1C18"/>
          <w:sz w:val="22"/>
          <w:szCs w:val="22"/>
        </w:rPr>
        <w:t xml:space="preserve">Never use the words “affordable” or “low cost” in Clairbook’s own copy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1C18"/>
          <w:sz w:val="22"/>
          <w:szCs w:val="22"/>
        </w:rPr>
        <w:t xml:space="preserve">Let the price speak for itself alongside the value it unlocks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1C18"/>
          <w:sz w:val="22"/>
          <w:szCs w:val="22"/>
        </w:rPr>
        <w:t xml:space="preserve">Light vetting or an approval process signals that being on Clairbook means something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1C18"/>
          <w:sz w:val="22"/>
          <w:szCs w:val="22"/>
        </w:rPr>
        <w:t xml:space="preserve">Annual pricing improves cash flow and signals confidence in retention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5A5650"/>
          <w:sz w:val="22"/>
          <w:szCs w:val="22"/>
        </w:rPr>
        <w:t xml:space="preserve">Vagaro charges practitioners to be on the platform and layers on add-on fees that create confusion and resentment. Clairbook’s advantage is simplicity and specificity — a platform that actually understands the work being offered.</w:t>
      </w:r>
    </w:p>
    <w:p>
      <w:pPr>
        <w:pBdr>
          <w:bottom w:val="single" w:color="D8D4CE" w:sz="4" w:space="1"/>
        </w:pBdr>
        <w:spacing w:before="240" w:after="240"/>
      </w:pPr>
      <w:r>
        <w:t xml:space="preserve"/>
      </w:r>
    </w:p>
    <w:p>
      <w:pPr>
        <w:pStyle w:val="Heading2"/>
        <w:spacing w:before="360" w:after="120"/>
      </w:pPr>
      <w:r>
        <w:rPr>
          <w:rFonts w:ascii="Georgia" w:cs="Georgia" w:eastAsia="Georgia" w:hAnsi="Georgia"/>
          <w:color w:val="1E1C18"/>
          <w:sz w:val="26"/>
          <w:szCs w:val="26"/>
        </w:rPr>
        <w:t xml:space="preserve">Notes &amp; next steps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1C18"/>
          <w:sz w:val="22"/>
          <w:szCs w:val="22"/>
        </w:rPr>
        <w:t xml:space="preserve">Incorporate as LLC before accepting any payments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1C18"/>
          <w:sz w:val="22"/>
          <w:szCs w:val="22"/>
        </w:rPr>
        <w:t xml:space="preserve">Set up Stripe or a comparable processor for founding member billing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1C18"/>
          <w:sz w:val="22"/>
          <w:szCs w:val="22"/>
        </w:rPr>
        <w:t xml:space="preserve">Build the waitlist page with the founding member offer as the primary CTA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1C18"/>
          <w:sz w:val="22"/>
          <w:szCs w:val="22"/>
        </w:rPr>
        <w:t xml:space="preserve">Cap founding memberships at 100 and track manually until launch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1C18"/>
          <w:sz w:val="22"/>
          <w:szCs w:val="22"/>
        </w:rPr>
        <w:t xml:space="preserve">Revisit the Featured tier once the practitioner base has enough depth that priority placement is meaningful</w:t>
      </w:r>
    </w:p>
    <w:p>
      <w:pPr>
        <w:spacing w:before="320" w:after="0"/>
      </w:pPr>
      <w:r>
        <w:t xml:space="preserve"/>
      </w:r>
    </w:p>
    <w:p>
      <w:pPr>
        <w:spacing w:before="0" w:after="0"/>
      </w:pPr>
      <w:r>
        <w:rPr>
          <w:rFonts w:ascii="Arial" w:cs="Arial" w:eastAsia="Arial" w:hAnsi="Arial"/>
          <w:color w:val="C0B8B0"/>
          <w:sz w:val="18"/>
          <w:szCs w:val="18"/>
        </w:rPr>
        <w:t xml:space="preserve">Prepared for internal use — clairbook, 2025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Georgia" w:cs="Georgia" w:eastAsia="Georgia" w:hAnsi="Georgia"/>
      <w:b w:val="false"/>
      <w:bCs w:val="false"/>
      <w:color w:val="1E1C1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</w:pPr>
    <w:rPr>
      <w:rFonts w:ascii="Georgia" w:cs="Georgia" w:eastAsia="Georgia" w:hAnsi="Georgia"/>
      <w:b w:val="false"/>
      <w:bCs w:val="false"/>
      <w:color w:val="1E1C1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2026-03-20T07:23:28.517Z</dcterms:created>
  <dcterms:modified xsi:type="dcterms:W3CDTF">2026-03-20T07:23:28.518Z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